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58F50">
      <w:pPr>
        <w:pStyle w:val="15"/>
        <w:spacing w:line="276" w:lineRule="auto"/>
        <w:jc w:val="center"/>
        <w:rPr>
          <w:b/>
          <w:sz w:val="32"/>
          <w:szCs w:val="32"/>
          <w:highlight w:val="none"/>
        </w:rPr>
      </w:pPr>
    </w:p>
    <w:p w14:paraId="4AB2B23E">
      <w:pPr>
        <w:pStyle w:val="15"/>
        <w:spacing w:line="276" w:lineRule="auto"/>
        <w:jc w:val="center"/>
        <w:rPr>
          <w:b/>
          <w:sz w:val="32"/>
          <w:szCs w:val="32"/>
          <w:highlight w:val="none"/>
        </w:rPr>
      </w:pPr>
      <w:r>
        <w:rPr>
          <w:rFonts w:hint="eastAsia"/>
          <w:b/>
          <w:sz w:val="32"/>
          <w:szCs w:val="32"/>
          <w:highlight w:val="none"/>
        </w:rPr>
        <w:t>渝农商理财有限责任公司</w:t>
      </w:r>
    </w:p>
    <w:p w14:paraId="6CA9FA62">
      <w:pPr>
        <w:spacing w:line="276" w:lineRule="auto"/>
        <w:jc w:val="center"/>
        <w:rPr>
          <w:rFonts w:hint="eastAsia" w:ascii="Times New Roman" w:hAnsi="Times New Roman" w:eastAsiaTheme="minorEastAsia"/>
          <w:b/>
          <w:sz w:val="32"/>
          <w:szCs w:val="32"/>
          <w:highlight w:val="none"/>
          <w:lang w:eastAsia="zh-CN"/>
        </w:rPr>
      </w:pPr>
      <w:r>
        <w:rPr>
          <w:rFonts w:hint="eastAsia" w:ascii="Times New Roman" w:hAnsi="Times New Roman"/>
          <w:b/>
          <w:sz w:val="32"/>
          <w:szCs w:val="32"/>
          <w:highlight w:val="none"/>
          <w:lang w:eastAsia="zh-CN"/>
        </w:rPr>
        <w:t>渝农商理财兴时丰收（最短持有45天）每日开放1号</w:t>
      </w:r>
    </w:p>
    <w:p w14:paraId="365CEB97">
      <w:pPr>
        <w:pStyle w:val="15"/>
        <w:spacing w:line="276" w:lineRule="auto"/>
        <w:jc w:val="center"/>
        <w:rPr>
          <w:b/>
          <w:sz w:val="32"/>
          <w:szCs w:val="32"/>
          <w:highlight w:val="none"/>
        </w:rPr>
      </w:pPr>
      <w:r>
        <w:rPr>
          <w:rFonts w:hint="eastAsia"/>
          <w:b/>
          <w:sz w:val="32"/>
          <w:szCs w:val="32"/>
          <w:highlight w:val="none"/>
        </w:rPr>
        <w:t>理财产品风险揭示书</w:t>
      </w:r>
    </w:p>
    <w:p w14:paraId="4581F263">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highlight w:val="none"/>
        </w:rPr>
      </w:pPr>
    </w:p>
    <w:p w14:paraId="018D8D40">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highlight w:val="none"/>
        </w:rPr>
      </w:pPr>
      <w:r>
        <w:rPr>
          <w:rFonts w:hint="eastAsia" w:ascii="Times New Roman" w:hAnsi="Times New Roman" w:eastAsia="宋体"/>
          <w:bCs/>
          <w:szCs w:val="21"/>
          <w:highlight w:val="none"/>
        </w:rPr>
        <w:t>尊敬的投资者：</w:t>
      </w:r>
    </w:p>
    <w:p w14:paraId="029B37F5">
      <w:pPr>
        <w:spacing w:line="276" w:lineRule="auto"/>
        <w:ind w:firstLine="420" w:firstLineChars="200"/>
        <w:jc w:val="left"/>
        <w:rPr>
          <w:rFonts w:ascii="Times New Roman" w:hAnsi="Times New Roman" w:eastAsia="宋体"/>
          <w:bCs/>
          <w:szCs w:val="21"/>
          <w:highlight w:val="none"/>
        </w:rPr>
      </w:pPr>
      <w:r>
        <w:rPr>
          <w:rFonts w:hint="eastAsia" w:ascii="Times New Roman" w:hAnsi="Times New Roman" w:eastAsia="宋体"/>
          <w:bCs/>
          <w:szCs w:val="21"/>
          <w:highlight w:val="none"/>
        </w:rPr>
        <w:t>由于理财资金管理运用过程中，可能会面临多种风险因素，因此，根据相关监管规定的要求，</w:t>
      </w:r>
      <w:r>
        <w:rPr>
          <w:rFonts w:hint="eastAsia" w:ascii="Times New Roman" w:hAnsi="Times New Roman" w:eastAsia="宋体"/>
          <w:b/>
          <w:bCs/>
          <w:szCs w:val="21"/>
          <w:highlight w:val="none"/>
        </w:rPr>
        <w:t>渝农商理财有限责任公司（以下简称“本公司”或“产品管理人”）作为产品管理人郑重提示</w:t>
      </w:r>
      <w:r>
        <w:rPr>
          <w:rFonts w:hint="eastAsia" w:ascii="Times New Roman" w:hAnsi="Times New Roman" w:eastAsia="宋体"/>
          <w:bCs/>
          <w:szCs w:val="21"/>
          <w:highlight w:val="none"/>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457F1216">
      <w:pPr>
        <w:tabs>
          <w:tab w:val="left" w:pos="420"/>
        </w:tabs>
        <w:spacing w:line="276" w:lineRule="auto"/>
        <w:ind w:firstLine="422" w:firstLineChars="200"/>
        <w:rPr>
          <w:rFonts w:ascii="Times New Roman" w:hAnsi="Times New Roman" w:eastAsia="宋体"/>
          <w:b/>
          <w:szCs w:val="21"/>
          <w:highlight w:val="none"/>
        </w:rPr>
      </w:pPr>
      <w:r>
        <w:rPr>
          <w:rFonts w:hint="eastAsia" w:ascii="Times New Roman" w:hAnsi="Times New Roman" w:eastAsia="宋体"/>
          <w:b/>
          <w:szCs w:val="21"/>
          <w:highlight w:val="none"/>
        </w:rPr>
        <w:t>一、理财非存款、产品有风险、投资须谨慎。</w:t>
      </w:r>
    </w:p>
    <w:p w14:paraId="31495072">
      <w:pPr>
        <w:tabs>
          <w:tab w:val="left" w:pos="420"/>
        </w:tabs>
        <w:spacing w:line="276" w:lineRule="auto"/>
        <w:ind w:firstLine="422" w:firstLineChars="200"/>
        <w:rPr>
          <w:rFonts w:ascii="Times New Roman" w:hAnsi="Times New Roman" w:eastAsia="宋体"/>
          <w:b/>
          <w:szCs w:val="21"/>
          <w:highlight w:val="none"/>
        </w:rPr>
      </w:pPr>
      <w:r>
        <w:rPr>
          <w:rFonts w:hint="eastAsia" w:ascii="Times New Roman" w:hAnsi="Times New Roman" w:eastAsia="宋体"/>
          <w:b/>
          <w:szCs w:val="21"/>
          <w:highlight w:val="none"/>
        </w:rPr>
        <w:t>二、本理财产品不保证本金和收益，</w:t>
      </w:r>
      <w:bookmarkStart w:id="0" w:name="_Hlk90482336"/>
      <w:r>
        <w:rPr>
          <w:rFonts w:hint="eastAsia" w:ascii="Times New Roman" w:hAnsi="Times New Roman" w:eastAsia="宋体"/>
          <w:b/>
          <w:szCs w:val="21"/>
          <w:highlight w:val="none"/>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highlight w:val="none"/>
        </w:rPr>
        <w:t>。</w:t>
      </w:r>
    </w:p>
    <w:p w14:paraId="5139A425">
      <w:pPr>
        <w:tabs>
          <w:tab w:val="left" w:pos="420"/>
        </w:tabs>
        <w:spacing w:line="276" w:lineRule="auto"/>
        <w:ind w:firstLine="422" w:firstLineChars="200"/>
        <w:rPr>
          <w:rFonts w:ascii="Times New Roman" w:hAnsi="Times New Roman" w:eastAsia="宋体"/>
          <w:b/>
          <w:szCs w:val="21"/>
          <w:highlight w:val="none"/>
        </w:rPr>
      </w:pPr>
      <w:r>
        <w:rPr>
          <w:rFonts w:hint="eastAsia" w:ascii="Times New Roman" w:hAnsi="Times New Roman" w:eastAsia="宋体"/>
          <w:b/>
          <w:szCs w:val="21"/>
          <w:highlight w:val="none"/>
        </w:rPr>
        <w:t>示例：若投资者购买本理财产品，本金为 1,000,000.00 元，在资产组合项下资产全部亏损的最不利情况下，理财产品 1,000,000.00 元本金将全部损失。</w:t>
      </w:r>
    </w:p>
    <w:p w14:paraId="78E10BA9">
      <w:pPr>
        <w:pStyle w:val="14"/>
        <w:tabs>
          <w:tab w:val="left" w:pos="420"/>
        </w:tabs>
        <w:spacing w:line="276" w:lineRule="auto"/>
        <w:ind w:firstLine="422"/>
        <w:rPr>
          <w:b/>
          <w:szCs w:val="21"/>
          <w:highlight w:val="none"/>
        </w:rPr>
      </w:pPr>
      <w:r>
        <w:rPr>
          <w:rFonts w:hint="eastAsia"/>
          <w:b/>
          <w:szCs w:val="21"/>
          <w:highlight w:val="none"/>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70721099">
      <w:pPr>
        <w:pStyle w:val="14"/>
        <w:tabs>
          <w:tab w:val="left" w:pos="420"/>
        </w:tabs>
        <w:spacing w:line="276" w:lineRule="auto"/>
        <w:ind w:firstLine="422"/>
        <w:rPr>
          <w:b/>
          <w:szCs w:val="21"/>
          <w:highlight w:val="none"/>
        </w:rPr>
      </w:pPr>
      <w:r>
        <w:rPr>
          <w:rFonts w:hint="eastAsia"/>
          <w:b/>
          <w:szCs w:val="21"/>
          <w:highlight w:val="none"/>
        </w:rPr>
        <w:t>四、本理财产品属于固定收益类非保本浮动收益型，产品无固定期限（</w:t>
      </w:r>
      <w:bookmarkStart w:id="1" w:name="_Hlk90482477"/>
      <w:r>
        <w:rPr>
          <w:rFonts w:hint="eastAsia"/>
          <w:b/>
          <w:szCs w:val="21"/>
          <w:highlight w:val="none"/>
        </w:rPr>
        <w:t>若产品提前终止，以产品实际存续天数为准</w:t>
      </w:r>
      <w:bookmarkEnd w:id="1"/>
      <w:r>
        <w:rPr>
          <w:rFonts w:hint="eastAsia"/>
          <w:b/>
          <w:szCs w:val="21"/>
          <w:highlight w:val="none"/>
        </w:rPr>
        <w:t>），产品管理人对本理财产品的内部风险评级为二级，适合</w:t>
      </w:r>
      <w:r>
        <w:rPr>
          <w:rFonts w:hint="eastAsia" w:cs="Times New Roman"/>
          <w:b/>
          <w:szCs w:val="21"/>
          <w:highlight w:val="none"/>
        </w:rPr>
        <w:t>稳健型、平衡型、积极型、激进型</w:t>
      </w:r>
      <w:r>
        <w:rPr>
          <w:rFonts w:hint="eastAsia"/>
          <w:b/>
          <w:szCs w:val="21"/>
          <w:highlight w:val="none"/>
        </w:rPr>
        <w:t>的</w:t>
      </w:r>
      <w:r>
        <w:rPr>
          <w:rFonts w:hint="eastAsia"/>
          <w:b/>
          <w:szCs w:val="21"/>
          <w:highlight w:val="none"/>
          <w:lang w:eastAsia="zh-CN"/>
        </w:rPr>
        <w:t>个人</w:t>
      </w:r>
      <w:r>
        <w:rPr>
          <w:rFonts w:hint="eastAsia"/>
          <w:b/>
          <w:szCs w:val="21"/>
          <w:highlight w:val="none"/>
        </w:rPr>
        <w:t>投资者</w:t>
      </w:r>
      <w:r>
        <w:rPr>
          <w:rFonts w:hint="eastAsia"/>
          <w:b/>
          <w:szCs w:val="21"/>
          <w:highlight w:val="none"/>
          <w:lang w:eastAsia="zh-CN"/>
        </w:rPr>
        <w:t>，</w:t>
      </w:r>
      <w:r>
        <w:rPr>
          <w:rFonts w:hint="eastAsia"/>
          <w:b/>
          <w:szCs w:val="21"/>
          <w:highlight w:val="none"/>
          <w:lang w:val="en-US" w:eastAsia="zh-CN"/>
        </w:rPr>
        <w:t>机构投资者</w:t>
      </w:r>
      <w:r>
        <w:rPr>
          <w:rFonts w:hint="eastAsia"/>
          <w:b/>
          <w:szCs w:val="21"/>
          <w:highlight w:val="none"/>
        </w:rPr>
        <w:t>购买。</w:t>
      </w:r>
      <w:r>
        <w:rPr>
          <w:rFonts w:hint="eastAsia"/>
          <w:bCs/>
          <w:szCs w:val="21"/>
          <w:highlight w:val="none"/>
        </w:rPr>
        <w:t>产品要素详见《理财产品说明书》。</w:t>
      </w:r>
      <w:r>
        <w:rPr>
          <w:rFonts w:hint="eastAsia"/>
          <w:b/>
          <w:szCs w:val="21"/>
          <w:highlight w:val="none"/>
        </w:rPr>
        <w:t xml:space="preserve"> </w:t>
      </w:r>
    </w:p>
    <w:p w14:paraId="26377E46">
      <w:pPr>
        <w:pStyle w:val="14"/>
        <w:tabs>
          <w:tab w:val="left" w:pos="420"/>
        </w:tabs>
        <w:spacing w:line="276" w:lineRule="auto"/>
        <w:ind w:firstLine="422"/>
        <w:rPr>
          <w:b/>
          <w:szCs w:val="21"/>
          <w:highlight w:val="none"/>
        </w:rPr>
      </w:pPr>
      <w:r>
        <w:rPr>
          <w:rFonts w:hint="eastAsia"/>
          <w:b/>
          <w:szCs w:val="21"/>
          <w:highlight w:val="none"/>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3BFCC6E2">
      <w:pPr>
        <w:pStyle w:val="14"/>
        <w:tabs>
          <w:tab w:val="left" w:pos="420"/>
        </w:tabs>
        <w:spacing w:line="276" w:lineRule="auto"/>
        <w:ind w:firstLine="422"/>
        <w:rPr>
          <w:b/>
          <w:szCs w:val="21"/>
          <w:highlight w:val="none"/>
        </w:rPr>
      </w:pPr>
      <w:r>
        <w:rPr>
          <w:rFonts w:hint="eastAsia"/>
          <w:b/>
          <w:szCs w:val="21"/>
          <w:highlight w:val="none"/>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698E98EA">
      <w:pPr>
        <w:tabs>
          <w:tab w:val="left" w:pos="420"/>
        </w:tabs>
        <w:spacing w:line="276" w:lineRule="auto"/>
        <w:ind w:firstLine="422" w:firstLineChars="200"/>
        <w:rPr>
          <w:rFonts w:ascii="Times New Roman" w:hAnsi="Times New Roman" w:eastAsia="宋体"/>
          <w:b/>
          <w:szCs w:val="21"/>
          <w:highlight w:val="none"/>
        </w:rPr>
      </w:pPr>
      <w:r>
        <w:rPr>
          <w:rFonts w:hint="eastAsia" w:ascii="Times New Roman" w:hAnsi="Times New Roman" w:eastAsia="宋体"/>
          <w:b/>
          <w:szCs w:val="21"/>
          <w:highlight w:val="none"/>
        </w:rPr>
        <w:t>如影响您风险承受能力的因素发生变化，请及时完成风险承受能力评估。</w:t>
      </w:r>
    </w:p>
    <w:p w14:paraId="7EDB7E2A">
      <w:pPr>
        <w:pStyle w:val="14"/>
        <w:tabs>
          <w:tab w:val="left" w:pos="420"/>
        </w:tabs>
        <w:spacing w:line="276" w:lineRule="auto"/>
        <w:rPr>
          <w:bCs/>
          <w:szCs w:val="21"/>
          <w:highlight w:val="none"/>
        </w:rPr>
      </w:pPr>
      <w:r>
        <w:rPr>
          <w:rFonts w:hint="eastAsia"/>
          <w:bCs/>
          <w:szCs w:val="21"/>
          <w:highlight w:val="none"/>
        </w:rPr>
        <w:t>五、请投资者根据自身理财目标、投资经验、财务状况、风险承受能力以及其他相关情况慎重考虑购买理财产品。本风险揭示书列示的风险是指理财产品项下可能涉及的风险，包括但不限于：</w:t>
      </w:r>
    </w:p>
    <w:p w14:paraId="4BB24DFE">
      <w:pPr>
        <w:pStyle w:val="14"/>
        <w:tabs>
          <w:tab w:val="left" w:pos="420"/>
        </w:tabs>
        <w:spacing w:line="276" w:lineRule="auto"/>
        <w:ind w:firstLine="422"/>
        <w:rPr>
          <w:bCs/>
          <w:szCs w:val="21"/>
          <w:highlight w:val="none"/>
        </w:rPr>
      </w:pPr>
      <w:r>
        <w:rPr>
          <w:rFonts w:hint="eastAsia"/>
          <w:b/>
          <w:szCs w:val="21"/>
          <w:highlight w:val="none"/>
        </w:rPr>
        <w:t>1、政策风险：</w:t>
      </w:r>
      <w:r>
        <w:rPr>
          <w:rFonts w:hint="eastAsia"/>
          <w:bCs/>
          <w:szCs w:val="21"/>
          <w:highlight w:val="none"/>
        </w:rPr>
        <w:t>本理财产品在实际运作过程中，如遇到国家宏观政策和相关法律法规发生变化，影响本理财产品的发行、投资和兑付等，则投资者可能面临本金和收益遭受损失的风险。</w:t>
      </w:r>
    </w:p>
    <w:p w14:paraId="57F1D6CF">
      <w:pPr>
        <w:pStyle w:val="14"/>
        <w:tabs>
          <w:tab w:val="left" w:pos="420"/>
        </w:tabs>
        <w:spacing w:line="276" w:lineRule="auto"/>
        <w:ind w:firstLine="422"/>
        <w:rPr>
          <w:bCs/>
          <w:szCs w:val="21"/>
          <w:highlight w:val="none"/>
        </w:rPr>
      </w:pPr>
      <w:r>
        <w:rPr>
          <w:b/>
          <w:bCs/>
          <w:szCs w:val="21"/>
          <w:highlight w:val="none"/>
        </w:rPr>
        <w:t>2</w:t>
      </w:r>
      <w:r>
        <w:rPr>
          <w:rFonts w:hint="eastAsia"/>
          <w:b/>
          <w:bCs/>
          <w:szCs w:val="21"/>
          <w:highlight w:val="none"/>
        </w:rPr>
        <w:t>、信用风险</w:t>
      </w:r>
      <w:r>
        <w:rPr>
          <w:rFonts w:hint="eastAsia"/>
          <w:bCs/>
          <w:szCs w:val="21"/>
          <w:highlight w:val="none"/>
        </w:rPr>
        <w:t>：投资者面临本理财产品所投资的资产或资产组合项下义务人可能出现信用违约情形，则投资者可能面临本金和收益遭受损失的风险。</w:t>
      </w:r>
    </w:p>
    <w:p w14:paraId="7E22158B">
      <w:pPr>
        <w:autoSpaceDE w:val="0"/>
        <w:autoSpaceDN w:val="0"/>
        <w:adjustRightInd w:val="0"/>
        <w:spacing w:line="276" w:lineRule="auto"/>
        <w:ind w:firstLine="422" w:firstLineChars="200"/>
        <w:rPr>
          <w:rFonts w:ascii="Times New Roman" w:hAnsi="Times New Roman" w:eastAsia="宋体" w:cs="Times New Roman"/>
          <w:bCs/>
          <w:szCs w:val="21"/>
          <w:highlight w:val="none"/>
        </w:rPr>
      </w:pPr>
      <w:r>
        <w:rPr>
          <w:rFonts w:ascii="Times New Roman" w:hAnsi="Times New Roman" w:eastAsia="宋体" w:cs="Times New Roman"/>
          <w:b/>
          <w:bCs/>
          <w:szCs w:val="21"/>
          <w:highlight w:val="none"/>
        </w:rPr>
        <w:t>3</w:t>
      </w:r>
      <w:r>
        <w:rPr>
          <w:rFonts w:hint="eastAsia" w:ascii="Times New Roman" w:hAnsi="Times New Roman" w:eastAsia="宋体" w:cs="Times New Roman"/>
          <w:b/>
          <w:bCs/>
          <w:szCs w:val="21"/>
          <w:highlight w:val="none"/>
        </w:rPr>
        <w:t>、市场风险：</w:t>
      </w:r>
      <w:r>
        <w:rPr>
          <w:rFonts w:hint="eastAsia" w:ascii="Times New Roman" w:hAnsi="Times New Roman" w:eastAsia="宋体" w:cs="Times New Roman"/>
          <w:bCs/>
          <w:szCs w:val="21"/>
          <w:highlight w:val="none"/>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highlight w:val="none"/>
        </w:rPr>
        <w:t>可能面临本金和收益遭受损失的风险。</w:t>
      </w:r>
    </w:p>
    <w:p w14:paraId="54A18E96">
      <w:pPr>
        <w:pStyle w:val="14"/>
        <w:spacing w:line="276" w:lineRule="auto"/>
        <w:ind w:firstLine="422"/>
        <w:rPr>
          <w:bCs/>
          <w:szCs w:val="21"/>
          <w:highlight w:val="none"/>
        </w:rPr>
      </w:pPr>
      <w:r>
        <w:rPr>
          <w:rFonts w:hint="eastAsia"/>
          <w:b/>
          <w:szCs w:val="21"/>
          <w:highlight w:val="none"/>
        </w:rPr>
        <w:t>4、流动性风险：</w:t>
      </w:r>
      <w:r>
        <w:rPr>
          <w:rFonts w:hint="eastAsia"/>
          <w:bCs/>
          <w:szCs w:val="21"/>
          <w:highlight w:val="none"/>
        </w:rPr>
        <w:t>在产品存续期内，</w:t>
      </w:r>
      <w:bookmarkStart w:id="2" w:name="_Hlk90482584"/>
      <w:r>
        <w:rPr>
          <w:rFonts w:hint="eastAsia"/>
          <w:bCs/>
          <w:szCs w:val="21"/>
          <w:highlight w:val="none"/>
        </w:rPr>
        <w:t>投资者只能在《理财产品说明书》约定的开放期或开放日（如有）办理赎回</w:t>
      </w:r>
      <w:bookmarkEnd w:id="2"/>
      <w:r>
        <w:rPr>
          <w:rFonts w:hint="eastAsia"/>
          <w:bCs/>
          <w:szCs w:val="21"/>
          <w:highlight w:val="none"/>
        </w:rPr>
        <w:t>，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25D1AED9">
      <w:pPr>
        <w:autoSpaceDE w:val="0"/>
        <w:autoSpaceDN w:val="0"/>
        <w:adjustRightInd w:val="0"/>
        <w:spacing w:line="276" w:lineRule="auto"/>
        <w:ind w:firstLine="422" w:firstLineChars="200"/>
        <w:rPr>
          <w:rFonts w:ascii="Times New Roman" w:hAnsi="Times New Roman" w:eastAsia="宋体" w:cs="Times New Roman"/>
          <w:bCs/>
          <w:szCs w:val="21"/>
          <w:highlight w:val="none"/>
        </w:rPr>
      </w:pPr>
      <w:r>
        <w:rPr>
          <w:rFonts w:ascii="Times New Roman" w:hAnsi="Times New Roman" w:eastAsia="宋体"/>
          <w:b/>
          <w:bCs/>
          <w:szCs w:val="21"/>
          <w:highlight w:val="none"/>
        </w:rPr>
        <w:t>5</w:t>
      </w:r>
      <w:r>
        <w:rPr>
          <w:rFonts w:hint="eastAsia" w:ascii="Times New Roman" w:hAnsi="Times New Roman" w:eastAsia="宋体"/>
          <w:b/>
          <w:bCs/>
          <w:szCs w:val="21"/>
          <w:highlight w:val="none"/>
        </w:rPr>
        <w:t>、管理风险：</w:t>
      </w:r>
      <w:r>
        <w:rPr>
          <w:rFonts w:hint="eastAsia" w:ascii="Times New Roman" w:hAnsi="Times New Roman" w:eastAsia="宋体"/>
          <w:bCs/>
          <w:szCs w:val="21"/>
          <w:highlight w:val="none"/>
        </w:rPr>
        <w:t>由于投资管理各方受经验、技能、执行力等综合因素的限制，可能会影响</w:t>
      </w:r>
      <w:r>
        <w:rPr>
          <w:rFonts w:hint="eastAsia"/>
          <w:bCs/>
          <w:szCs w:val="21"/>
          <w:highlight w:val="none"/>
        </w:rPr>
        <w:t>本理财产品</w:t>
      </w:r>
      <w:r>
        <w:rPr>
          <w:rFonts w:hint="eastAsia" w:ascii="Times New Roman" w:hAnsi="Times New Roman" w:eastAsia="宋体"/>
          <w:bCs/>
          <w:szCs w:val="21"/>
          <w:highlight w:val="none"/>
        </w:rPr>
        <w:t>的投资管理，</w:t>
      </w:r>
      <w:r>
        <w:rPr>
          <w:rFonts w:hint="eastAsia" w:ascii="Times New Roman" w:hAnsi="Times New Roman" w:eastAsia="宋体" w:cs="Times New Roman"/>
          <w:bCs/>
          <w:szCs w:val="21"/>
          <w:highlight w:val="none"/>
        </w:rPr>
        <w:t>则投资者</w:t>
      </w:r>
      <w:r>
        <w:rPr>
          <w:rFonts w:hint="eastAsia" w:ascii="Times New Roman" w:hAnsi="Times New Roman" w:eastAsia="宋体"/>
          <w:bCs/>
          <w:szCs w:val="21"/>
          <w:highlight w:val="none"/>
        </w:rPr>
        <w:t>可能面临本金和收益遭受损失的风险。</w:t>
      </w:r>
    </w:p>
    <w:p w14:paraId="38D43714">
      <w:pPr>
        <w:pStyle w:val="14"/>
        <w:spacing w:line="276" w:lineRule="auto"/>
        <w:ind w:firstLine="422"/>
        <w:rPr>
          <w:bCs/>
          <w:szCs w:val="21"/>
          <w:highlight w:val="none"/>
        </w:rPr>
      </w:pPr>
      <w:r>
        <w:rPr>
          <w:b/>
          <w:szCs w:val="21"/>
          <w:highlight w:val="none"/>
        </w:rPr>
        <w:t>6</w:t>
      </w:r>
      <w:r>
        <w:rPr>
          <w:rFonts w:hint="eastAsia"/>
          <w:b/>
          <w:szCs w:val="21"/>
          <w:highlight w:val="none"/>
        </w:rPr>
        <w:t>、产品不成立风险：</w:t>
      </w:r>
      <w:r>
        <w:rPr>
          <w:rFonts w:hint="eastAsia"/>
          <w:bCs/>
          <w:szCs w:val="21"/>
          <w:highlight w:val="none"/>
        </w:rPr>
        <w:t>如果因募集规模低于《理财产品说明书》约定的最低规模或其他因素导致本理财产品不能成立，投资者将面临再投资风险。</w:t>
      </w:r>
    </w:p>
    <w:p w14:paraId="31234801">
      <w:pPr>
        <w:pStyle w:val="14"/>
        <w:spacing w:line="276" w:lineRule="auto"/>
        <w:ind w:firstLine="422"/>
        <w:rPr>
          <w:bCs/>
          <w:szCs w:val="21"/>
          <w:highlight w:val="none"/>
        </w:rPr>
      </w:pPr>
      <w:r>
        <w:rPr>
          <w:b/>
          <w:szCs w:val="21"/>
          <w:highlight w:val="none"/>
        </w:rPr>
        <w:t>7</w:t>
      </w:r>
      <w:r>
        <w:rPr>
          <w:rFonts w:hint="eastAsia"/>
          <w:b/>
          <w:szCs w:val="21"/>
          <w:highlight w:val="none"/>
        </w:rPr>
        <w:t>、提前终止风险：</w:t>
      </w:r>
      <w:r>
        <w:rPr>
          <w:rFonts w:hint="eastAsia"/>
          <w:bCs/>
          <w:szCs w:val="21"/>
          <w:highlight w:val="none"/>
        </w:rPr>
        <w:t>为保护投资者利益，在本理财产品存续期间本公司有可能根据《理财产品说明书》的约定提前终止本理财产品。投资者面临再投资风险。</w:t>
      </w:r>
    </w:p>
    <w:p w14:paraId="640B03AC">
      <w:pPr>
        <w:pStyle w:val="14"/>
        <w:spacing w:line="276" w:lineRule="auto"/>
        <w:ind w:firstLine="422"/>
        <w:rPr>
          <w:bCs/>
          <w:szCs w:val="21"/>
          <w:highlight w:val="none"/>
        </w:rPr>
      </w:pPr>
      <w:r>
        <w:rPr>
          <w:rFonts w:hint="eastAsia"/>
          <w:b/>
          <w:szCs w:val="21"/>
          <w:highlight w:val="none"/>
        </w:rPr>
        <w:t>8、兑付延期风险：</w:t>
      </w:r>
      <w:r>
        <w:rPr>
          <w:rFonts w:hint="eastAsia"/>
          <w:bCs/>
          <w:szCs w:val="21"/>
          <w:highlight w:val="none"/>
        </w:rPr>
        <w:t>如因本理财产品投资的资产无法及时变现等原因造成不能按时支付本金和收益，则投资者可能面临客户兑付延期、调整等风险，甚至由此投资者可能面临本金和收益遭受损失的风险。</w:t>
      </w:r>
    </w:p>
    <w:p w14:paraId="01EED1E3">
      <w:pPr>
        <w:pStyle w:val="2"/>
        <w:ind w:firstLine="422" w:firstLineChars="200"/>
        <w:rPr>
          <w:rFonts w:ascii="Times New Roman" w:hAnsi="Times New Roman" w:eastAsia="宋体" w:cs="Times New Roman"/>
          <w:b/>
          <w:szCs w:val="21"/>
          <w:highlight w:val="none"/>
        </w:rPr>
      </w:pPr>
      <w:r>
        <w:rPr>
          <w:rFonts w:ascii="Times New Roman" w:hAnsi="Times New Roman" w:eastAsia="宋体" w:cs="Times New Roman"/>
          <w:b/>
          <w:szCs w:val="21"/>
          <w:highlight w:val="none"/>
        </w:rPr>
        <w:t>9</w:t>
      </w:r>
      <w:r>
        <w:rPr>
          <w:rFonts w:hint="eastAsia" w:ascii="Times New Roman" w:hAnsi="Times New Roman" w:eastAsia="宋体" w:cs="Times New Roman"/>
          <w:b/>
          <w:szCs w:val="21"/>
          <w:highlight w:val="none"/>
        </w:rPr>
        <w:t>、设置建仓期的风险：</w:t>
      </w:r>
      <w:r>
        <w:rPr>
          <w:rFonts w:hint="eastAsia"/>
          <w:b/>
          <w:bCs/>
          <w:highlight w:val="none"/>
        </w:rPr>
        <w:t>理财产品可能设立建仓期机制，建仓期内理财产品的投资比例可能无法满足理财产品约定的投资比例限制，从而可能对理财产品的投资收益产生相应影响。</w:t>
      </w:r>
    </w:p>
    <w:p w14:paraId="58964867">
      <w:pPr>
        <w:pStyle w:val="3"/>
        <w:numPr>
          <w:ilvl w:val="255"/>
          <w:numId w:val="0"/>
        </w:numPr>
        <w:tabs>
          <w:tab w:val="left" w:pos="720"/>
        </w:tabs>
        <w:spacing w:after="93" w:afterLines="30"/>
        <w:ind w:firstLine="422" w:firstLineChars="200"/>
        <w:rPr>
          <w:rFonts w:ascii="Times New Roman" w:hAnsi="Times New Roman" w:cs="Times New Roman"/>
          <w:szCs w:val="20"/>
          <w:highlight w:val="none"/>
        </w:rPr>
      </w:pPr>
      <w:r>
        <w:rPr>
          <w:rFonts w:ascii="Times New Roman" w:hAnsi="Times New Roman" w:eastAsia="宋体" w:cs="Times New Roman"/>
          <w:b/>
          <w:kern w:val="2"/>
          <w:sz w:val="21"/>
          <w:szCs w:val="21"/>
          <w:highlight w:val="none"/>
        </w:rPr>
        <w:t>10</w:t>
      </w:r>
      <w:r>
        <w:rPr>
          <w:rFonts w:hint="eastAsia" w:ascii="Times New Roman" w:hAnsi="Times New Roman" w:eastAsia="宋体" w:cs="Times New Roman"/>
          <w:b/>
          <w:kern w:val="2"/>
          <w:sz w:val="21"/>
          <w:szCs w:val="21"/>
          <w:highlight w:val="none"/>
        </w:rPr>
        <w:t>、投资特定标</w:t>
      </w:r>
      <w:r>
        <w:rPr>
          <w:rFonts w:hint="eastAsia" w:ascii="Times New Roman" w:hAnsi="Times New Roman" w:cs="Times New Roman"/>
          <w:b/>
          <w:szCs w:val="20"/>
          <w:highlight w:val="none"/>
        </w:rPr>
        <w:t>的可能引起的其他特殊风险</w:t>
      </w:r>
      <w:r>
        <w:rPr>
          <w:rFonts w:hint="eastAsia" w:ascii="Times New Roman" w:hAnsi="Times New Roman" w:cs="Times New Roman"/>
          <w:szCs w:val="20"/>
          <w:highlight w:val="none"/>
        </w:rPr>
        <w:t>：</w:t>
      </w:r>
    </w:p>
    <w:p w14:paraId="1CF5AD83">
      <w:pPr>
        <w:pStyle w:val="3"/>
        <w:numPr>
          <w:ilvl w:val="255"/>
          <w:numId w:val="0"/>
        </w:numPr>
        <w:tabs>
          <w:tab w:val="left" w:pos="720"/>
        </w:tabs>
        <w:spacing w:after="93" w:afterLines="30"/>
        <w:ind w:firstLine="400" w:firstLineChars="200"/>
        <w:rPr>
          <w:rFonts w:ascii="Times New Roman" w:hAnsi="Times New Roman" w:cs="Times New Roman"/>
          <w:szCs w:val="20"/>
          <w:highlight w:val="none"/>
        </w:rPr>
      </w:pPr>
      <w:r>
        <w:rPr>
          <w:rFonts w:hint="eastAsia" w:ascii="Times New Roman" w:hAnsi="Times New Roman" w:cs="Times New Roman"/>
          <w:szCs w:val="20"/>
          <w:highlight w:val="none"/>
        </w:rPr>
        <w:t>（</w:t>
      </w:r>
      <w:r>
        <w:rPr>
          <w:rFonts w:ascii="Times New Roman" w:hAnsi="Times New Roman" w:cs="Times New Roman"/>
          <w:szCs w:val="20"/>
          <w:highlight w:val="none"/>
        </w:rPr>
        <w:t>1</w:t>
      </w:r>
      <w:r>
        <w:rPr>
          <w:rFonts w:hint="eastAsia" w:ascii="Times New Roman" w:hAnsi="Times New Roman" w:cs="Times New Roman"/>
          <w:szCs w:val="20"/>
          <w:highlight w:val="none"/>
        </w:rPr>
        <w:t>）</w:t>
      </w:r>
      <w:r>
        <w:rPr>
          <w:rFonts w:hint="eastAsia" w:ascii="Times New Roman" w:hAnsi="Times New Roman" w:cs="Times New Roman"/>
          <w:b/>
          <w:szCs w:val="20"/>
          <w:highlight w:val="none"/>
        </w:rPr>
        <w:t>债券投资风险（如有）</w:t>
      </w:r>
      <w:r>
        <w:rPr>
          <w:rFonts w:hint="eastAsia" w:ascii="Times New Roman" w:hAnsi="Times New Roman" w:cs="Times New Roman"/>
          <w:szCs w:val="20"/>
          <w:highlight w:val="none"/>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0AB063F8">
      <w:pPr>
        <w:pStyle w:val="3"/>
        <w:tabs>
          <w:tab w:val="left" w:pos="720"/>
        </w:tabs>
        <w:spacing w:after="93" w:afterLines="30"/>
        <w:ind w:left="0" w:leftChars="0" w:firstLine="400" w:firstLineChars="200"/>
        <w:rPr>
          <w:rFonts w:ascii="Times New Roman" w:hAnsi="Times New Roman" w:cs="Times New Roman"/>
          <w:szCs w:val="20"/>
          <w:highlight w:val="none"/>
        </w:rPr>
      </w:pPr>
      <w:r>
        <w:rPr>
          <w:rFonts w:hint="eastAsia" w:ascii="Times New Roman" w:hAnsi="Times New Roman" w:cs="Times New Roman"/>
          <w:szCs w:val="20"/>
          <w:highlight w:val="none"/>
        </w:rPr>
        <w:t>（</w:t>
      </w:r>
      <w:r>
        <w:rPr>
          <w:rFonts w:ascii="Times New Roman" w:hAnsi="Times New Roman" w:cs="Times New Roman"/>
          <w:szCs w:val="20"/>
          <w:highlight w:val="none"/>
        </w:rPr>
        <w:t>2</w:t>
      </w:r>
      <w:r>
        <w:rPr>
          <w:rFonts w:hint="eastAsia" w:ascii="Times New Roman" w:hAnsi="Times New Roman" w:cs="Times New Roman"/>
          <w:szCs w:val="20"/>
          <w:highlight w:val="none"/>
        </w:rPr>
        <w:t>）</w:t>
      </w:r>
      <w:r>
        <w:rPr>
          <w:rFonts w:hint="eastAsia" w:ascii="Times New Roman" w:hAnsi="Times New Roman" w:cs="Times New Roman"/>
          <w:b/>
          <w:szCs w:val="20"/>
          <w:highlight w:val="none"/>
        </w:rPr>
        <w:t>资产支持证券</w:t>
      </w:r>
      <w:r>
        <w:rPr>
          <w:rFonts w:ascii="Times New Roman" w:hAnsi="Times New Roman" w:cs="Times New Roman"/>
          <w:b/>
          <w:szCs w:val="20"/>
          <w:highlight w:val="none"/>
        </w:rPr>
        <w:t>/</w:t>
      </w:r>
      <w:r>
        <w:rPr>
          <w:rFonts w:hint="eastAsia" w:ascii="Times New Roman" w:hAnsi="Times New Roman" w:cs="Times New Roman"/>
          <w:b/>
          <w:szCs w:val="20"/>
          <w:highlight w:val="none"/>
        </w:rPr>
        <w:t>资产支持票据投资风险（如有）</w:t>
      </w:r>
      <w:r>
        <w:rPr>
          <w:rFonts w:hint="eastAsia" w:ascii="Times New Roman" w:hAnsi="Times New Roman" w:cs="Times New Roman"/>
          <w:szCs w:val="20"/>
          <w:highlight w:val="none"/>
        </w:rPr>
        <w:t>：若资产支持证券或资产支持票据项下的基础资产发生原始权益人破产或基础资产项下现金流未能及时完整取得等情况，可能因此影响投资者收益，甚至使本理财产品遭受损失。</w:t>
      </w:r>
    </w:p>
    <w:p w14:paraId="501710E6">
      <w:pPr>
        <w:pStyle w:val="3"/>
        <w:tabs>
          <w:tab w:val="left" w:pos="720"/>
        </w:tabs>
        <w:spacing w:after="93" w:afterLines="30"/>
        <w:ind w:left="0" w:leftChars="0" w:firstLine="400" w:firstLineChars="200"/>
        <w:rPr>
          <w:rFonts w:ascii="Times New Roman" w:hAnsi="Times New Roman" w:cs="Times New Roman"/>
          <w:szCs w:val="20"/>
          <w:highlight w:val="none"/>
        </w:rPr>
      </w:pPr>
      <w:r>
        <w:rPr>
          <w:rFonts w:hint="eastAsia" w:ascii="Times New Roman" w:hAnsi="Times New Roman" w:cs="Times New Roman"/>
          <w:szCs w:val="20"/>
          <w:highlight w:val="none"/>
        </w:rPr>
        <w:t>（</w:t>
      </w:r>
      <w:r>
        <w:rPr>
          <w:rFonts w:ascii="Times New Roman" w:hAnsi="Times New Roman" w:cs="Times New Roman"/>
          <w:szCs w:val="20"/>
          <w:highlight w:val="none"/>
        </w:rPr>
        <w:t>3</w:t>
      </w:r>
      <w:r>
        <w:rPr>
          <w:rFonts w:hint="eastAsia" w:ascii="Times New Roman" w:hAnsi="Times New Roman" w:cs="Times New Roman"/>
          <w:szCs w:val="20"/>
          <w:highlight w:val="none"/>
        </w:rPr>
        <w:t>）</w:t>
      </w:r>
      <w:r>
        <w:rPr>
          <w:rFonts w:hint="eastAsia" w:ascii="Times New Roman" w:hAnsi="Times New Roman" w:cs="Times New Roman"/>
          <w:b/>
          <w:szCs w:val="20"/>
          <w:highlight w:val="none"/>
        </w:rPr>
        <w:t>可转换债券、可交换债券投资风险（如有）</w:t>
      </w:r>
      <w:r>
        <w:rPr>
          <w:rFonts w:hint="eastAsia" w:ascii="Times New Roman" w:hAnsi="Times New Roman" w:cs="Times New Roman"/>
          <w:szCs w:val="20"/>
          <w:highlight w:val="none"/>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47DA82C4">
      <w:pPr>
        <w:pStyle w:val="3"/>
        <w:tabs>
          <w:tab w:val="left" w:pos="720"/>
        </w:tabs>
        <w:spacing w:after="93" w:afterLines="30"/>
        <w:ind w:left="0" w:leftChars="0" w:firstLine="400" w:firstLineChars="200"/>
        <w:rPr>
          <w:rFonts w:ascii="Times New Roman" w:hAnsi="Times New Roman" w:cs="Times New Roman"/>
          <w:szCs w:val="20"/>
          <w:highlight w:val="none"/>
        </w:rPr>
      </w:pPr>
      <w:r>
        <w:rPr>
          <w:rFonts w:hint="eastAsia" w:ascii="Times New Roman" w:hAnsi="Times New Roman" w:cs="Times New Roman"/>
          <w:szCs w:val="20"/>
          <w:highlight w:val="none"/>
        </w:rPr>
        <w:t>（</w:t>
      </w:r>
      <w:r>
        <w:rPr>
          <w:rFonts w:ascii="Times New Roman" w:hAnsi="Times New Roman" w:cs="Times New Roman"/>
          <w:szCs w:val="20"/>
          <w:highlight w:val="none"/>
        </w:rPr>
        <w:t>4</w:t>
      </w:r>
      <w:r>
        <w:rPr>
          <w:rFonts w:hint="eastAsia" w:ascii="Times New Roman" w:hAnsi="Times New Roman" w:cs="Times New Roman"/>
          <w:szCs w:val="20"/>
          <w:highlight w:val="none"/>
        </w:rPr>
        <w:t>）</w:t>
      </w:r>
      <w:r>
        <w:rPr>
          <w:rFonts w:hint="eastAsia" w:ascii="Times New Roman" w:hAnsi="Times New Roman" w:cs="Times New Roman"/>
          <w:b/>
          <w:szCs w:val="20"/>
          <w:highlight w:val="none"/>
        </w:rPr>
        <w:t>股票投资风险（如有）</w:t>
      </w:r>
      <w:r>
        <w:rPr>
          <w:rFonts w:hint="eastAsia" w:ascii="Times New Roman" w:hAnsi="Times New Roman" w:cs="Times New Roman"/>
          <w:szCs w:val="20"/>
          <w:highlight w:val="none"/>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131BCEAC">
      <w:pPr>
        <w:pStyle w:val="3"/>
        <w:tabs>
          <w:tab w:val="left" w:pos="720"/>
        </w:tabs>
        <w:spacing w:after="93" w:afterLines="30"/>
        <w:ind w:left="0" w:leftChars="0" w:firstLine="400" w:firstLineChars="200"/>
        <w:rPr>
          <w:rFonts w:ascii="Times New Roman" w:hAnsi="Times New Roman" w:cs="Times New Roman"/>
          <w:szCs w:val="20"/>
          <w:highlight w:val="none"/>
        </w:rPr>
      </w:pPr>
      <w:r>
        <w:rPr>
          <w:rFonts w:hint="eastAsia" w:ascii="Times New Roman" w:hAnsi="Times New Roman" w:cs="Times New Roman"/>
          <w:szCs w:val="20"/>
          <w:highlight w:val="none"/>
        </w:rPr>
        <w:t>（</w:t>
      </w:r>
      <w:r>
        <w:rPr>
          <w:rFonts w:ascii="Times New Roman" w:hAnsi="Times New Roman" w:cs="Times New Roman"/>
          <w:szCs w:val="20"/>
          <w:highlight w:val="none"/>
        </w:rPr>
        <w:t>5</w:t>
      </w:r>
      <w:r>
        <w:rPr>
          <w:rFonts w:hint="eastAsia" w:ascii="Times New Roman" w:hAnsi="Times New Roman" w:cs="Times New Roman"/>
          <w:szCs w:val="20"/>
          <w:highlight w:val="none"/>
        </w:rPr>
        <w:t>）</w:t>
      </w:r>
      <w:r>
        <w:rPr>
          <w:rFonts w:hint="eastAsia" w:ascii="Times New Roman" w:hAnsi="Times New Roman" w:cs="Times New Roman"/>
          <w:b/>
          <w:szCs w:val="20"/>
          <w:highlight w:val="none"/>
        </w:rPr>
        <w:t>非标准化债权类资产投资风险（如有）</w:t>
      </w:r>
      <w:r>
        <w:rPr>
          <w:rFonts w:hint="eastAsia" w:ascii="Times New Roman" w:hAnsi="Times New Roman" w:cs="Times New Roman"/>
          <w:szCs w:val="20"/>
          <w:highlight w:val="none"/>
        </w:rPr>
        <w:t>：由于还款履约能力发生变化等原因，融资方</w:t>
      </w:r>
      <w:r>
        <w:rPr>
          <w:rFonts w:ascii="Times New Roman" w:hAnsi="Times New Roman" w:cs="Times New Roman"/>
          <w:szCs w:val="20"/>
          <w:highlight w:val="none"/>
        </w:rPr>
        <w:t>/</w:t>
      </w:r>
      <w:r>
        <w:rPr>
          <w:rFonts w:hint="eastAsia" w:ascii="Times New Roman" w:hAnsi="Times New Roman" w:cs="Times New Roman"/>
          <w:szCs w:val="20"/>
          <w:highlight w:val="none"/>
        </w:rPr>
        <w:t>义务人可能无法偿还或逾期偿还相关融资本金利息，或无法履行相关合同约定的其他义务，或者因融资方</w:t>
      </w:r>
      <w:r>
        <w:rPr>
          <w:rFonts w:ascii="Times New Roman" w:hAnsi="Times New Roman" w:cs="Times New Roman"/>
          <w:szCs w:val="20"/>
          <w:highlight w:val="none"/>
        </w:rPr>
        <w:t>/</w:t>
      </w:r>
      <w:r>
        <w:rPr>
          <w:rFonts w:hint="eastAsia" w:ascii="Times New Roman" w:hAnsi="Times New Roman" w:cs="Times New Roman"/>
          <w:szCs w:val="20"/>
          <w:highlight w:val="none"/>
        </w:rPr>
        <w:t>义务人按照相关合同的约定申请提前</w:t>
      </w:r>
      <w:r>
        <w:rPr>
          <w:rFonts w:ascii="Times New Roman" w:hAnsi="Times New Roman" w:cs="Times New Roman"/>
          <w:szCs w:val="20"/>
          <w:highlight w:val="none"/>
        </w:rPr>
        <w:t>/</w:t>
      </w:r>
      <w:r>
        <w:rPr>
          <w:rFonts w:hint="eastAsia" w:ascii="Times New Roman" w:hAnsi="Times New Roman" w:cs="Times New Roman"/>
          <w:szCs w:val="20"/>
          <w:highlight w:val="none"/>
        </w:rPr>
        <w:t>立即偿还款项或者融资方</w:t>
      </w:r>
      <w:r>
        <w:rPr>
          <w:rFonts w:ascii="Times New Roman" w:hAnsi="Times New Roman" w:cs="Times New Roman"/>
          <w:szCs w:val="20"/>
          <w:highlight w:val="none"/>
        </w:rPr>
        <w:t>/</w:t>
      </w:r>
      <w:r>
        <w:rPr>
          <w:rFonts w:hint="eastAsia" w:ascii="Times New Roman" w:hAnsi="Times New Roman" w:cs="Times New Roman"/>
          <w:szCs w:val="20"/>
          <w:highlight w:val="none"/>
        </w:rPr>
        <w:t>义务人发生相关合同约定的违约情形，或者由于市场原因、政府机构等原因可能导致相关债权被宣布提前</w:t>
      </w:r>
      <w:r>
        <w:rPr>
          <w:rFonts w:ascii="Times New Roman" w:hAnsi="Times New Roman" w:cs="Times New Roman"/>
          <w:szCs w:val="20"/>
          <w:highlight w:val="none"/>
        </w:rPr>
        <w:t>/</w:t>
      </w:r>
      <w:r>
        <w:rPr>
          <w:rFonts w:hint="eastAsia" w:ascii="Times New Roman" w:hAnsi="Times New Roman" w:cs="Times New Roman"/>
          <w:szCs w:val="20"/>
          <w:highlight w:val="none"/>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03BF3D70">
      <w:pPr>
        <w:pStyle w:val="3"/>
        <w:tabs>
          <w:tab w:val="left" w:pos="720"/>
        </w:tabs>
        <w:spacing w:after="93" w:afterLines="30"/>
        <w:ind w:left="0" w:leftChars="0" w:firstLine="400" w:firstLineChars="200"/>
        <w:rPr>
          <w:rFonts w:ascii="Times New Roman" w:hAnsi="Times New Roman" w:cs="Times New Roman"/>
          <w:szCs w:val="20"/>
          <w:highlight w:val="none"/>
        </w:rPr>
      </w:pPr>
      <w:r>
        <w:rPr>
          <w:rFonts w:hint="eastAsia" w:ascii="Times New Roman" w:hAnsi="Times New Roman" w:cs="Times New Roman"/>
          <w:szCs w:val="20"/>
          <w:highlight w:val="none"/>
        </w:rPr>
        <w:t>（</w:t>
      </w:r>
      <w:r>
        <w:rPr>
          <w:rFonts w:hint="eastAsia" w:ascii="Times New Roman" w:hAnsi="Times New Roman" w:cs="Times New Roman"/>
          <w:szCs w:val="20"/>
          <w:highlight w:val="none"/>
          <w:lang w:val="en-US" w:eastAsia="zh-CN"/>
        </w:rPr>
        <w:t>6</w:t>
      </w:r>
      <w:r>
        <w:rPr>
          <w:rFonts w:hint="eastAsia" w:ascii="Times New Roman" w:hAnsi="Times New Roman" w:cs="Times New Roman"/>
          <w:szCs w:val="20"/>
          <w:highlight w:val="none"/>
        </w:rPr>
        <w:t>）</w:t>
      </w:r>
      <w:r>
        <w:rPr>
          <w:rFonts w:hint="eastAsia" w:ascii="Times New Roman" w:hAnsi="Times New Roman" w:cs="Times New Roman"/>
          <w:b/>
          <w:szCs w:val="20"/>
          <w:highlight w:val="none"/>
        </w:rPr>
        <w:t>公募基金、资产管理计划、信托计划、信托受益权等资产投资风险（如有）</w:t>
      </w:r>
      <w:r>
        <w:rPr>
          <w:rFonts w:hint="eastAsia" w:ascii="Times New Roman" w:hAnsi="Times New Roman" w:cs="Times New Roman"/>
          <w:szCs w:val="20"/>
          <w:highlight w:val="none"/>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1C1134B1">
      <w:pPr>
        <w:pStyle w:val="14"/>
        <w:spacing w:line="276" w:lineRule="auto"/>
        <w:ind w:firstLine="422"/>
        <w:rPr>
          <w:b/>
          <w:bCs/>
          <w:szCs w:val="21"/>
          <w:highlight w:val="none"/>
        </w:rPr>
      </w:pPr>
      <w:r>
        <w:rPr>
          <w:rFonts w:hint="eastAsia"/>
          <w:b/>
          <w:bCs/>
          <w:szCs w:val="21"/>
          <w:highlight w:val="none"/>
        </w:rPr>
        <w:t>11、信息传递风险</w:t>
      </w:r>
      <w:r>
        <w:rPr>
          <w:rFonts w:hint="eastAsia"/>
          <w:bCs/>
          <w:szCs w:val="21"/>
          <w:highlight w:val="none"/>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497D9AF9">
      <w:pPr>
        <w:pStyle w:val="14"/>
        <w:spacing w:line="276" w:lineRule="auto"/>
        <w:ind w:firstLine="422"/>
        <w:rPr>
          <w:bCs/>
          <w:szCs w:val="21"/>
          <w:highlight w:val="none"/>
        </w:rPr>
      </w:pPr>
      <w:r>
        <w:rPr>
          <w:rFonts w:hint="eastAsia"/>
          <w:b/>
          <w:bCs/>
          <w:szCs w:val="21"/>
          <w:highlight w:val="none"/>
        </w:rPr>
        <w:t>12、估值风险</w:t>
      </w:r>
      <w:r>
        <w:rPr>
          <w:rFonts w:hint="eastAsia"/>
          <w:bCs/>
          <w:szCs w:val="21"/>
          <w:highlight w:val="none"/>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68D422EC">
      <w:pPr>
        <w:pStyle w:val="14"/>
        <w:spacing w:line="276" w:lineRule="auto"/>
        <w:ind w:firstLine="422"/>
        <w:rPr>
          <w:bCs/>
          <w:szCs w:val="21"/>
          <w:highlight w:val="none"/>
        </w:rPr>
      </w:pPr>
      <w:r>
        <w:rPr>
          <w:b/>
          <w:szCs w:val="21"/>
          <w:highlight w:val="none"/>
        </w:rPr>
        <w:t>13</w:t>
      </w:r>
      <w:r>
        <w:rPr>
          <w:rFonts w:hint="eastAsia"/>
          <w:b/>
          <w:szCs w:val="21"/>
          <w:highlight w:val="none"/>
        </w:rPr>
        <w:t>、关联交易风险：</w:t>
      </w:r>
      <w:r>
        <w:rPr>
          <w:rFonts w:hint="eastAsia"/>
          <w:bCs/>
          <w:szCs w:val="21"/>
          <w:highlight w:val="none"/>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3668A5E0">
      <w:pPr>
        <w:pStyle w:val="14"/>
        <w:spacing w:line="276" w:lineRule="auto"/>
        <w:ind w:firstLine="422"/>
        <w:rPr>
          <w:b/>
          <w:bCs/>
          <w:szCs w:val="21"/>
          <w:highlight w:val="none"/>
        </w:rPr>
      </w:pPr>
      <w:r>
        <w:rPr>
          <w:rFonts w:hint="eastAsia"/>
          <w:b/>
          <w:bCs/>
          <w:szCs w:val="21"/>
          <w:highlight w:val="none"/>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63F05E49">
      <w:pPr>
        <w:pStyle w:val="14"/>
        <w:spacing w:line="276" w:lineRule="auto"/>
        <w:ind w:firstLine="422"/>
        <w:rPr>
          <w:rFonts w:ascii="宋体" w:hAnsi="宋体"/>
          <w:szCs w:val="20"/>
          <w:highlight w:val="none"/>
        </w:rPr>
      </w:pPr>
      <w:r>
        <w:rPr>
          <w:b/>
          <w:bCs/>
          <w:szCs w:val="21"/>
          <w:highlight w:val="none"/>
        </w:rPr>
        <w:t>15</w:t>
      </w:r>
      <w:r>
        <w:rPr>
          <w:rFonts w:hint="eastAsia"/>
          <w:b/>
          <w:bCs/>
          <w:szCs w:val="21"/>
          <w:highlight w:val="none"/>
        </w:rPr>
        <w:t>、</w:t>
      </w:r>
      <w:r>
        <w:rPr>
          <w:rFonts w:hint="eastAsia" w:ascii="宋体" w:hAnsi="宋体"/>
          <w:b/>
          <w:szCs w:val="20"/>
          <w:highlight w:val="none"/>
        </w:rPr>
        <w:t>税收风险</w:t>
      </w:r>
      <w:r>
        <w:rPr>
          <w:rFonts w:hint="eastAsia" w:ascii="宋体" w:hAnsi="宋体"/>
          <w:szCs w:val="20"/>
          <w:highlight w:val="none"/>
        </w:rPr>
        <w:t>：</w:t>
      </w:r>
      <w:r>
        <w:rPr>
          <w:rFonts w:ascii="宋体" w:hAnsi="宋体"/>
          <w:szCs w:val="20"/>
          <w:highlight w:val="none"/>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0DBA6314">
      <w:pPr>
        <w:pStyle w:val="14"/>
        <w:spacing w:line="276" w:lineRule="auto"/>
        <w:rPr>
          <w:rFonts w:hint="eastAsia" w:ascii="宋体" w:hAnsi="宋体"/>
          <w:szCs w:val="20"/>
          <w:highlight w:val="none"/>
        </w:rPr>
      </w:pPr>
      <w:bookmarkStart w:id="3" w:name="_GoBack"/>
      <w:r>
        <w:rPr>
          <w:rFonts w:hint="eastAsia" w:ascii="Times New Roman" w:hAnsi="Times New Roman"/>
          <w:b/>
          <w:szCs w:val="21"/>
          <w:highlight w:val="none"/>
        </w:rPr>
        <w:t>16、不同理财产品份额类别存在差异的风险</w:t>
      </w:r>
      <w:bookmarkEnd w:id="3"/>
      <w:r>
        <w:rPr>
          <w:rFonts w:ascii="宋体" w:hAnsi="宋体"/>
          <w:szCs w:val="20"/>
          <w:highlight w:val="none"/>
        </w:rPr>
        <w:t xml:space="preserve">：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w:t>
      </w:r>
      <w:r>
        <w:rPr>
          <w:rFonts w:hint="eastAsia" w:ascii="宋体" w:hAnsi="宋体"/>
          <w:szCs w:val="20"/>
          <w:highlight w:val="none"/>
        </w:rPr>
        <w:t>、销售（代理销售）机构、适合的投资者、认购（申购）费率、赎回费率、销售服务费率</w:t>
      </w:r>
      <w:r>
        <w:rPr>
          <w:rFonts w:ascii="宋体" w:hAnsi="宋体"/>
          <w:szCs w:val="20"/>
          <w:highlight w:val="none"/>
        </w:rPr>
        <w:t xml:space="preserve"> </w:t>
      </w:r>
      <w:r>
        <w:rPr>
          <w:rFonts w:hint="eastAsia" w:ascii="宋体" w:hAnsi="宋体"/>
          <w:szCs w:val="20"/>
          <w:highlight w:val="none"/>
        </w:rPr>
        <w:t>、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04192C59">
      <w:pPr>
        <w:pStyle w:val="14"/>
        <w:spacing w:line="276" w:lineRule="auto"/>
        <w:ind w:firstLine="422"/>
        <w:rPr>
          <w:b/>
          <w:szCs w:val="21"/>
          <w:highlight w:val="none"/>
        </w:rPr>
      </w:pPr>
      <w:r>
        <w:rPr>
          <w:rFonts w:hint="eastAsia"/>
          <w:b/>
          <w:szCs w:val="21"/>
          <w:highlight w:val="none"/>
        </w:rPr>
        <w:t>本风险揭示书所揭示风险皆为列举性质，未能详尽列明投资者参与本产品所面临的全部风险和可能导致投资者资产损失的所有因素，请投资者充分评估风险。</w:t>
      </w:r>
    </w:p>
    <w:p w14:paraId="49805C90">
      <w:pPr>
        <w:spacing w:after="93" w:afterLines="30"/>
        <w:ind w:firstLine="402" w:firstLineChars="200"/>
        <w:rPr>
          <w:rFonts w:ascii="宋体" w:hAnsi="宋体"/>
          <w:bCs/>
          <w:iCs/>
          <w:sz w:val="20"/>
          <w:szCs w:val="20"/>
          <w:highlight w:val="none"/>
        </w:rPr>
      </w:pPr>
      <w:r>
        <w:rPr>
          <w:rFonts w:hint="eastAsia" w:ascii="宋体" w:hAnsi="宋体"/>
          <w:b/>
          <w:bCs/>
          <w:iCs/>
          <w:sz w:val="20"/>
          <w:szCs w:val="20"/>
          <w:highlight w:val="none"/>
        </w:rPr>
        <w:t>投资者签署本《风险揭示书》、</w:t>
      </w:r>
      <w:r>
        <w:rPr>
          <w:rFonts w:hint="eastAsia" w:ascii="Times New Roman" w:hAnsi="Times New Roman" w:eastAsia="宋体"/>
          <w:bCs/>
          <w:szCs w:val="21"/>
          <w:highlight w:val="none"/>
        </w:rPr>
        <w:t>《理财产品投资协议书》、《销售（代理销售）协议书》、《理财产品说明书》和《投资者权益须知》</w:t>
      </w:r>
      <w:r>
        <w:rPr>
          <w:rFonts w:hint="eastAsia" w:ascii="宋体" w:hAnsi="宋体"/>
          <w:b/>
          <w:bCs/>
          <w:iCs/>
          <w:sz w:val="20"/>
          <w:szCs w:val="20"/>
          <w:highlight w:val="none"/>
        </w:rPr>
        <w:t>，并将资金委托给产品管理人运作是投资者真实的意思表示，投资者已知悉并理解本产品的全部风险，并自愿承担由此带来的一切后果。</w:t>
      </w:r>
      <w:r>
        <w:rPr>
          <w:rFonts w:hint="eastAsia" w:ascii="宋体" w:hAnsi="宋体"/>
          <w:bCs/>
          <w:iCs/>
          <w:sz w:val="20"/>
          <w:szCs w:val="20"/>
          <w:highlight w:val="none"/>
        </w:rPr>
        <w:t>本《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宋体" w:hAnsi="宋体"/>
          <w:bCs/>
          <w:iCs/>
          <w:sz w:val="20"/>
          <w:szCs w:val="20"/>
          <w:highlight w:val="none"/>
        </w:rPr>
        <w:t xml:space="preserve"> </w:t>
      </w:r>
    </w:p>
    <w:p w14:paraId="5FEE05A2">
      <w:pPr>
        <w:spacing w:after="93" w:afterLines="30" w:line="276" w:lineRule="auto"/>
        <w:ind w:firstLine="420" w:firstLineChars="200"/>
        <w:rPr>
          <w:highlight w:val="none"/>
        </w:rPr>
      </w:pP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159C9F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0A4D3947">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渝农商理财有限责任公司理财产品内部风险评级（仅供参考）</w:t>
            </w:r>
          </w:p>
        </w:tc>
      </w:tr>
      <w:tr w14:paraId="289C84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F0ABFF5">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风险等级</w:t>
            </w:r>
          </w:p>
        </w:tc>
        <w:tc>
          <w:tcPr>
            <w:tcW w:w="1134" w:type="dxa"/>
            <w:vAlign w:val="center"/>
          </w:tcPr>
          <w:p w14:paraId="14065E4A">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风险水平</w:t>
            </w:r>
          </w:p>
        </w:tc>
        <w:tc>
          <w:tcPr>
            <w:tcW w:w="4394" w:type="dxa"/>
            <w:vAlign w:val="center"/>
          </w:tcPr>
          <w:p w14:paraId="798CA359">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评级说明</w:t>
            </w:r>
          </w:p>
        </w:tc>
        <w:tc>
          <w:tcPr>
            <w:tcW w:w="1843" w:type="dxa"/>
            <w:vAlign w:val="center"/>
          </w:tcPr>
          <w:p w14:paraId="5AB8F09C">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适合投资者</w:t>
            </w:r>
          </w:p>
        </w:tc>
      </w:tr>
      <w:tr w14:paraId="5AF5F6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9B07A1C">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一级</w:t>
            </w:r>
          </w:p>
        </w:tc>
        <w:tc>
          <w:tcPr>
            <w:tcW w:w="1134" w:type="dxa"/>
            <w:vAlign w:val="center"/>
          </w:tcPr>
          <w:p w14:paraId="17C233D2">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极低风险</w:t>
            </w:r>
          </w:p>
        </w:tc>
        <w:tc>
          <w:tcPr>
            <w:tcW w:w="4394" w:type="dxa"/>
            <w:vAlign w:val="center"/>
          </w:tcPr>
          <w:p w14:paraId="540FE583">
            <w:pPr>
              <w:widowControl/>
              <w:spacing w:line="276" w:lineRule="auto"/>
              <w:jc w:val="left"/>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产品总体风险程度低，产品净值波动性小，净值回撤可能性及幅度小，产品本金出现损失可能性小。</w:t>
            </w:r>
          </w:p>
        </w:tc>
        <w:tc>
          <w:tcPr>
            <w:tcW w:w="1843" w:type="dxa"/>
            <w:vAlign w:val="center"/>
          </w:tcPr>
          <w:p w14:paraId="4F00BBCD">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保守型、稳健型、平衡型、积极型、激进型投资者</w:t>
            </w:r>
          </w:p>
        </w:tc>
      </w:tr>
      <w:tr w14:paraId="3E1436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56E89D1E">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二级</w:t>
            </w:r>
          </w:p>
        </w:tc>
        <w:tc>
          <w:tcPr>
            <w:tcW w:w="1134" w:type="dxa"/>
            <w:vAlign w:val="center"/>
          </w:tcPr>
          <w:p w14:paraId="6C2C6704">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较低风险</w:t>
            </w:r>
          </w:p>
        </w:tc>
        <w:tc>
          <w:tcPr>
            <w:tcW w:w="4394" w:type="dxa"/>
            <w:vAlign w:val="center"/>
          </w:tcPr>
          <w:p w14:paraId="1D6A76D5">
            <w:pPr>
              <w:widowControl/>
              <w:spacing w:line="276" w:lineRule="auto"/>
              <w:jc w:val="left"/>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638486B4">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稳健型、平衡型、积极型、激进型投资者</w:t>
            </w:r>
          </w:p>
        </w:tc>
      </w:tr>
      <w:tr w14:paraId="0F5F3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BC5EA8E">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三级</w:t>
            </w:r>
          </w:p>
        </w:tc>
        <w:tc>
          <w:tcPr>
            <w:tcW w:w="1134" w:type="dxa"/>
            <w:vAlign w:val="center"/>
          </w:tcPr>
          <w:p w14:paraId="47A30DA0">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中等风险</w:t>
            </w:r>
          </w:p>
        </w:tc>
        <w:tc>
          <w:tcPr>
            <w:tcW w:w="4394" w:type="dxa"/>
            <w:vAlign w:val="center"/>
          </w:tcPr>
          <w:p w14:paraId="5B1FDD4A">
            <w:pPr>
              <w:widowControl/>
              <w:spacing w:line="276" w:lineRule="auto"/>
              <w:jc w:val="left"/>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产品总体风险程度适中，产品净值存在一定波动，净值可能发生回撤或发生投资损失，但幅度较小，产品本金出现损失的可能性不容忽视。</w:t>
            </w:r>
          </w:p>
        </w:tc>
        <w:tc>
          <w:tcPr>
            <w:tcW w:w="1843" w:type="dxa"/>
            <w:vAlign w:val="center"/>
          </w:tcPr>
          <w:p w14:paraId="46EC6420">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平衡型、积极型、激进型投资者</w:t>
            </w:r>
          </w:p>
        </w:tc>
      </w:tr>
      <w:tr w14:paraId="683ADD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41AEEEB">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四级</w:t>
            </w:r>
          </w:p>
        </w:tc>
        <w:tc>
          <w:tcPr>
            <w:tcW w:w="1134" w:type="dxa"/>
            <w:vAlign w:val="center"/>
          </w:tcPr>
          <w:p w14:paraId="4644E22F">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中高风险</w:t>
            </w:r>
          </w:p>
        </w:tc>
        <w:tc>
          <w:tcPr>
            <w:tcW w:w="4394" w:type="dxa"/>
            <w:vAlign w:val="center"/>
          </w:tcPr>
          <w:p w14:paraId="1112EB07">
            <w:pPr>
              <w:widowControl/>
              <w:spacing w:line="276" w:lineRule="auto"/>
              <w:jc w:val="left"/>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产品总体风险程度较高，产品净值波动性较明显，净值可能发生一定幅度的回撤，发生投资损失的幅度、可能性较高，产品本金出现损失的可能性高。</w:t>
            </w:r>
          </w:p>
        </w:tc>
        <w:tc>
          <w:tcPr>
            <w:tcW w:w="1843" w:type="dxa"/>
            <w:vAlign w:val="center"/>
          </w:tcPr>
          <w:p w14:paraId="1F5AFE93">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积极型、激进型投资者</w:t>
            </w:r>
          </w:p>
        </w:tc>
      </w:tr>
      <w:tr w14:paraId="4F22D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00911B9">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五级</w:t>
            </w:r>
          </w:p>
        </w:tc>
        <w:tc>
          <w:tcPr>
            <w:tcW w:w="1134" w:type="dxa"/>
            <w:vAlign w:val="center"/>
          </w:tcPr>
          <w:p w14:paraId="2EB76D9B">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高风险</w:t>
            </w:r>
          </w:p>
        </w:tc>
        <w:tc>
          <w:tcPr>
            <w:tcW w:w="4394" w:type="dxa"/>
            <w:vAlign w:val="center"/>
          </w:tcPr>
          <w:p w14:paraId="1E5D3533">
            <w:pPr>
              <w:widowControl/>
              <w:spacing w:line="276" w:lineRule="auto"/>
              <w:jc w:val="left"/>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产品总体风险程度高，产品净值波动明显，净值可能发生较大幅度回撤，发生投资损失的幅度、可能性高，产品本金出现全部损失的可能性不容忽视。</w:t>
            </w:r>
          </w:p>
        </w:tc>
        <w:tc>
          <w:tcPr>
            <w:tcW w:w="1843" w:type="dxa"/>
            <w:vAlign w:val="center"/>
          </w:tcPr>
          <w:p w14:paraId="33435DA8">
            <w:pPr>
              <w:widowControl/>
              <w:spacing w:line="276" w:lineRule="auto"/>
              <w:jc w:val="center"/>
              <w:rPr>
                <w:rFonts w:ascii="Times New Roman" w:hAnsi="Times New Roman" w:eastAsia="宋体" w:cs="仿宋_GB2312"/>
                <w:kern w:val="0"/>
                <w:szCs w:val="21"/>
                <w:highlight w:val="none"/>
              </w:rPr>
            </w:pPr>
            <w:r>
              <w:rPr>
                <w:rFonts w:hint="eastAsia" w:ascii="Times New Roman" w:hAnsi="Times New Roman" w:eastAsia="宋体" w:cs="仿宋_GB2312"/>
                <w:kern w:val="0"/>
                <w:szCs w:val="21"/>
                <w:highlight w:val="none"/>
              </w:rPr>
              <w:t>激进型投资者</w:t>
            </w:r>
          </w:p>
        </w:tc>
      </w:tr>
    </w:tbl>
    <w:p w14:paraId="0C886924">
      <w:pPr>
        <w:pStyle w:val="14"/>
        <w:spacing w:line="276" w:lineRule="auto"/>
        <w:rPr>
          <w:bCs/>
          <w:szCs w:val="21"/>
          <w:highlight w:val="none"/>
        </w:rPr>
      </w:pPr>
    </w:p>
    <w:p w14:paraId="0D6C10D0">
      <w:pPr>
        <w:pStyle w:val="14"/>
        <w:spacing w:line="276" w:lineRule="auto"/>
        <w:rPr>
          <w:bCs/>
          <w:szCs w:val="21"/>
          <w:highlight w:val="none"/>
        </w:rPr>
      </w:pPr>
    </w:p>
    <w:p w14:paraId="36873521">
      <w:pPr>
        <w:pStyle w:val="14"/>
        <w:spacing w:line="276" w:lineRule="auto"/>
        <w:rPr>
          <w:bCs/>
          <w:szCs w:val="21"/>
          <w:highlight w:val="none"/>
        </w:rPr>
      </w:pPr>
    </w:p>
    <w:p w14:paraId="72386D93">
      <w:pPr>
        <w:pStyle w:val="14"/>
        <w:spacing w:line="276" w:lineRule="auto"/>
        <w:rPr>
          <w:bCs/>
          <w:szCs w:val="21"/>
          <w:highlight w:val="none"/>
        </w:rPr>
      </w:pPr>
    </w:p>
    <w:p w14:paraId="6DED75CD">
      <w:pPr>
        <w:pStyle w:val="14"/>
        <w:spacing w:line="276" w:lineRule="auto"/>
        <w:rPr>
          <w:bCs/>
          <w:szCs w:val="21"/>
          <w:highlight w:val="none"/>
        </w:rPr>
      </w:pPr>
    </w:p>
    <w:p w14:paraId="2A33CEF9">
      <w:pPr>
        <w:spacing w:line="276" w:lineRule="auto"/>
        <w:ind w:left="138" w:leftChars="13" w:hanging="111" w:hangingChars="53"/>
        <w:rPr>
          <w:rFonts w:ascii="Times New Roman" w:hAnsi="Times New Roman" w:eastAsia="宋体" w:cs="Arial"/>
          <w:szCs w:val="21"/>
          <w:highlight w:val="none"/>
        </w:rPr>
      </w:pPr>
      <w:r>
        <w:rPr>
          <w:rFonts w:ascii="Times New Roman" w:hAnsi="Times New Roman" w:eastAsia="宋体" w:cs="Arial"/>
          <w:szCs w:val="21"/>
          <w:highlight w:val="none"/>
        </w:rPr>
        <mc:AlternateContent>
          <mc:Choice Requires="wps">
            <w:drawing>
              <wp:inline distT="0" distB="0" distL="0" distR="0">
                <wp:extent cx="5314950" cy="4888865"/>
                <wp:effectExtent l="7620" t="6350" r="11430" b="10160"/>
                <wp:docPr id="111975259"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14:paraId="21902BFE">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4636A1D4">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742AECDF">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6D77B4EF">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bCs/>
                                <w:szCs w:val="21"/>
                              </w:rPr>
                              <w:t>本人</w:t>
                            </w:r>
                            <w:r>
                              <w:rPr>
                                <w:rFonts w:ascii="Times New Roman" w:hAnsi="Times New Roman" w:eastAsia="宋体" w:cs="Arial"/>
                                <w:b/>
                                <w:bCs/>
                                <w:szCs w:val="21"/>
                              </w:rPr>
                              <w:t>/</w:t>
                            </w:r>
                            <w:r>
                              <w:rPr>
                                <w:rFonts w:hint="eastAsia" w:ascii="Times New Roman" w:hAnsi="Times New Roman" w:eastAsia="宋体" w:cs="Arial"/>
                                <w:b/>
                                <w:bCs/>
                                <w:szCs w:val="21"/>
                              </w:rPr>
                              <w:t>本机构已经阅读风险揭示，愿意承担投资风险</w:t>
                            </w:r>
                            <w:r>
                              <w:rPr>
                                <w:rFonts w:hint="eastAsia" w:ascii="Times New Roman" w:hAnsi="Times New Roman" w:eastAsia="宋体" w:cs="Arial"/>
                                <w:szCs w:val="21"/>
                              </w:rPr>
                              <w:t>。”</w:t>
                            </w:r>
                          </w:p>
                          <w:p w14:paraId="5D55AA87">
                            <w:pPr>
                              <w:spacing w:line="276" w:lineRule="auto"/>
                              <w:ind w:firstLine="435"/>
                              <w:rPr>
                                <w:rFonts w:ascii="Times New Roman" w:hAnsi="Times New Roman" w:eastAsia="宋体" w:cs="Arial"/>
                                <w:szCs w:val="21"/>
                                <w:u w:val="single"/>
                              </w:rPr>
                            </w:pPr>
                          </w:p>
                          <w:p w14:paraId="70DB64C3">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50B8BDE3">
                            <w:pPr>
                              <w:spacing w:line="276" w:lineRule="auto"/>
                              <w:rPr>
                                <w:rFonts w:ascii="Times New Roman" w:hAnsi="Times New Roman" w:eastAsia="宋体" w:cs="Arial"/>
                                <w:szCs w:val="21"/>
                              </w:rPr>
                            </w:pPr>
                          </w:p>
                          <w:p w14:paraId="77374343">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4726D406">
                            <w:pPr>
                              <w:spacing w:line="276" w:lineRule="auto"/>
                              <w:rPr>
                                <w:rFonts w:ascii="Times New Roman" w:hAnsi="Times New Roman" w:eastAsia="宋体" w:cs="Arial"/>
                                <w:szCs w:val="21"/>
                              </w:rPr>
                            </w:pPr>
                          </w:p>
                          <w:p w14:paraId="2BC40572">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3F0C1FAA">
                            <w:pPr>
                              <w:spacing w:line="276" w:lineRule="auto"/>
                              <w:rPr>
                                <w:rFonts w:ascii="Times New Roman" w:hAnsi="Times New Roman" w:eastAsia="宋体" w:cs="Arial"/>
                                <w:szCs w:val="21"/>
                              </w:rPr>
                            </w:pPr>
                          </w:p>
                          <w:p w14:paraId="72165956">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7E18E842">
                            <w:pPr>
                              <w:rPr>
                                <w:rFonts w:ascii="Times New Roman" w:hAnsi="Times New Roman" w:eastAsia="宋体" w:cs="Arial"/>
                                <w:szCs w:val="21"/>
                              </w:rPr>
                            </w:pPr>
                          </w:p>
                          <w:p w14:paraId="7977CADC">
                            <w:pPr>
                              <w:rPr>
                                <w:u w:val="single"/>
                              </w:rPr>
                            </w:pPr>
                            <w:r>
                              <w:rPr>
                                <w:rFonts w:hint="eastAsia" w:ascii="Times New Roman" w:hAnsi="Times New Roman" w:eastAsia="宋体" w:cs="Arial"/>
                                <w:szCs w:val="21"/>
                              </w:rPr>
                              <w:t>日期：</w:t>
                            </w:r>
                          </w:p>
                          <w:p w14:paraId="0B4A8B24">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1aTddUAAAAFAQAADwAAAAAAAAABACAAAAAiAAAAZHJzL2Rvd25yZXYu&#10;eG1sUEsBAhQAFAAAAAgAh07iQLrrWSo3AgAAZwQAAA4AAAAAAAAAAQAgAAAAJAEAAGRycy9lMm9E&#10;b2MueG1sUEsFBgAAAAAGAAYAWQEAAM0FAAAAAA==&#10;">
                <v:fill on="f" focussize="0,0"/>
                <v:stroke weight="1pt" color="#333300" miterlimit="8" joinstyle="miter"/>
                <v:imagedata o:title=""/>
                <o:lock v:ext="edit" aspectratio="f"/>
                <v:textbox>
                  <w:txbxContent>
                    <w:p w14:paraId="21902BFE">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4636A1D4">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742AECDF">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6D77B4EF">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bCs/>
                          <w:szCs w:val="21"/>
                        </w:rPr>
                        <w:t>本人</w:t>
                      </w:r>
                      <w:r>
                        <w:rPr>
                          <w:rFonts w:ascii="Times New Roman" w:hAnsi="Times New Roman" w:eastAsia="宋体" w:cs="Arial"/>
                          <w:b/>
                          <w:bCs/>
                          <w:szCs w:val="21"/>
                        </w:rPr>
                        <w:t>/</w:t>
                      </w:r>
                      <w:r>
                        <w:rPr>
                          <w:rFonts w:hint="eastAsia" w:ascii="Times New Roman" w:hAnsi="Times New Roman" w:eastAsia="宋体" w:cs="Arial"/>
                          <w:b/>
                          <w:bCs/>
                          <w:szCs w:val="21"/>
                        </w:rPr>
                        <w:t>本机构已经阅读风险揭示，愿意承担投资风险</w:t>
                      </w:r>
                      <w:r>
                        <w:rPr>
                          <w:rFonts w:hint="eastAsia" w:ascii="Times New Roman" w:hAnsi="Times New Roman" w:eastAsia="宋体" w:cs="Arial"/>
                          <w:szCs w:val="21"/>
                        </w:rPr>
                        <w:t>。”</w:t>
                      </w:r>
                    </w:p>
                    <w:p w14:paraId="5D55AA87">
                      <w:pPr>
                        <w:spacing w:line="276" w:lineRule="auto"/>
                        <w:ind w:firstLine="435"/>
                        <w:rPr>
                          <w:rFonts w:ascii="Times New Roman" w:hAnsi="Times New Roman" w:eastAsia="宋体" w:cs="Arial"/>
                          <w:szCs w:val="21"/>
                          <w:u w:val="single"/>
                        </w:rPr>
                      </w:pPr>
                    </w:p>
                    <w:p w14:paraId="70DB64C3">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50B8BDE3">
                      <w:pPr>
                        <w:spacing w:line="276" w:lineRule="auto"/>
                        <w:rPr>
                          <w:rFonts w:ascii="Times New Roman" w:hAnsi="Times New Roman" w:eastAsia="宋体" w:cs="Arial"/>
                          <w:szCs w:val="21"/>
                        </w:rPr>
                      </w:pPr>
                    </w:p>
                    <w:p w14:paraId="77374343">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4726D406">
                      <w:pPr>
                        <w:spacing w:line="276" w:lineRule="auto"/>
                        <w:rPr>
                          <w:rFonts w:ascii="Times New Roman" w:hAnsi="Times New Roman" w:eastAsia="宋体" w:cs="Arial"/>
                          <w:szCs w:val="21"/>
                        </w:rPr>
                      </w:pPr>
                    </w:p>
                    <w:p w14:paraId="2BC40572">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3F0C1FAA">
                      <w:pPr>
                        <w:spacing w:line="276" w:lineRule="auto"/>
                        <w:rPr>
                          <w:rFonts w:ascii="Times New Roman" w:hAnsi="Times New Roman" w:eastAsia="宋体" w:cs="Arial"/>
                          <w:szCs w:val="21"/>
                        </w:rPr>
                      </w:pPr>
                    </w:p>
                    <w:p w14:paraId="72165956">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7E18E842">
                      <w:pPr>
                        <w:rPr>
                          <w:rFonts w:ascii="Times New Roman" w:hAnsi="Times New Roman" w:eastAsia="宋体" w:cs="Arial"/>
                          <w:szCs w:val="21"/>
                        </w:rPr>
                      </w:pPr>
                    </w:p>
                    <w:p w14:paraId="7977CADC">
                      <w:pPr>
                        <w:rPr>
                          <w:u w:val="single"/>
                        </w:rPr>
                      </w:pPr>
                      <w:r>
                        <w:rPr>
                          <w:rFonts w:hint="eastAsia" w:ascii="Times New Roman" w:hAnsi="Times New Roman" w:eastAsia="宋体" w:cs="Arial"/>
                          <w:szCs w:val="21"/>
                        </w:rPr>
                        <w:t>日期：</w:t>
                      </w:r>
                    </w:p>
                    <w:p w14:paraId="0B4A8B24">
                      <w:pPr>
                        <w:ind w:left="4200" w:firstLine="420"/>
                      </w:pPr>
                    </w:p>
                  </w:txbxContent>
                </v:textbox>
                <w10:wrap type="none"/>
                <w10:anchorlock/>
              </v:shape>
            </w:pict>
          </mc:Fallback>
        </mc:AlternateContent>
      </w:r>
    </w:p>
    <w:p w14:paraId="6D9A8BA9">
      <w:pPr>
        <w:spacing w:line="276" w:lineRule="auto"/>
        <w:ind w:left="138" w:leftChars="13" w:hanging="111" w:hangingChars="53"/>
        <w:rPr>
          <w:rFonts w:ascii="Times New Roman" w:hAnsi="Times New Roman" w:eastAsia="宋体" w:cs="Arial"/>
          <w:szCs w:val="21"/>
          <w:highlight w:val="none"/>
        </w:rPr>
      </w:pPr>
    </w:p>
    <w:p w14:paraId="1E6A5BFC">
      <w:pPr>
        <w:spacing w:line="276" w:lineRule="auto"/>
        <w:ind w:firstLine="422" w:firstLineChars="200"/>
        <w:jc w:val="right"/>
        <w:rPr>
          <w:rFonts w:ascii="Times New Roman" w:hAnsi="Times New Roman" w:eastAsia="宋体"/>
          <w:b/>
          <w:bCs/>
          <w:highlight w:val="none"/>
        </w:rPr>
      </w:pPr>
      <w:r>
        <w:rPr>
          <w:rFonts w:hint="eastAsia" w:ascii="Times New Roman" w:hAnsi="Times New Roman" w:eastAsia="宋体"/>
          <w:b/>
          <w:bCs/>
          <w:highlight w:val="none"/>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FA5CE">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6</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99211">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rPr>
        <w:rFonts w:hint="eastAsia"/>
      </w:rPr>
      <w:t xml:space="preserve"> </w:t>
    </w:r>
    <w:r>
      <w:t xml:space="preserve">      </w:t>
    </w:r>
    <w:r>
      <w:rPr>
        <w:rFonts w:ascii="Times New Roman" w:hAnsi="Times New Roman" w:cs="Times New Roman"/>
      </w:rPr>
      <w:t>2023</w:t>
    </w:r>
    <w:r>
      <w:rPr>
        <w:rFonts w:hint="eastAsia" w:ascii="Times New Roman" w:hAnsi="Times New Roman" w:cs="Times New Roman"/>
      </w:rPr>
      <w:t>年第</w:t>
    </w:r>
    <w:r>
      <w:rPr>
        <w:rFonts w:ascii="Times New Roman" w:hAnsi="Times New Roman" w:cs="Times New Roman"/>
      </w:rPr>
      <w:t>2</w:t>
    </w:r>
    <w:r>
      <w:rPr>
        <w:rFonts w:hint="eastAsia" w:ascii="Times New Roman" w:hAnsi="Times New Roman" w:cs="Times New Roman"/>
      </w:rPr>
      <w:t>版</w:t>
    </w:r>
  </w:p>
  <w:p w14:paraId="77C785E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77"/>
    <w:rsid w:val="00014FC9"/>
    <w:rsid w:val="00017381"/>
    <w:rsid w:val="00017D7E"/>
    <w:rsid w:val="0002143A"/>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6BB"/>
    <w:rsid w:val="00064C0A"/>
    <w:rsid w:val="00065940"/>
    <w:rsid w:val="00065C40"/>
    <w:rsid w:val="00067081"/>
    <w:rsid w:val="00073366"/>
    <w:rsid w:val="0008548E"/>
    <w:rsid w:val="00087964"/>
    <w:rsid w:val="000879D1"/>
    <w:rsid w:val="00090192"/>
    <w:rsid w:val="00094B67"/>
    <w:rsid w:val="0009644A"/>
    <w:rsid w:val="000A06BB"/>
    <w:rsid w:val="000A4B1C"/>
    <w:rsid w:val="000A6752"/>
    <w:rsid w:val="000B0965"/>
    <w:rsid w:val="000C5332"/>
    <w:rsid w:val="000C56D8"/>
    <w:rsid w:val="000D18B9"/>
    <w:rsid w:val="000D2251"/>
    <w:rsid w:val="000D2812"/>
    <w:rsid w:val="000D3413"/>
    <w:rsid w:val="000D62F9"/>
    <w:rsid w:val="000D6585"/>
    <w:rsid w:val="000E2101"/>
    <w:rsid w:val="000E5AB5"/>
    <w:rsid w:val="000E7628"/>
    <w:rsid w:val="000F02D5"/>
    <w:rsid w:val="000F162C"/>
    <w:rsid w:val="000F2B27"/>
    <w:rsid w:val="000F2B8F"/>
    <w:rsid w:val="000F329F"/>
    <w:rsid w:val="000F361E"/>
    <w:rsid w:val="000F5A87"/>
    <w:rsid w:val="000F6BA5"/>
    <w:rsid w:val="00100D8D"/>
    <w:rsid w:val="00103B5D"/>
    <w:rsid w:val="00103C94"/>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3931"/>
    <w:rsid w:val="0016467E"/>
    <w:rsid w:val="00166E9A"/>
    <w:rsid w:val="001728A9"/>
    <w:rsid w:val="00172D5C"/>
    <w:rsid w:val="001736A6"/>
    <w:rsid w:val="00173DC9"/>
    <w:rsid w:val="00175A6F"/>
    <w:rsid w:val="00181F3D"/>
    <w:rsid w:val="00182F36"/>
    <w:rsid w:val="00183C16"/>
    <w:rsid w:val="00186240"/>
    <w:rsid w:val="00186884"/>
    <w:rsid w:val="00187C80"/>
    <w:rsid w:val="00192B66"/>
    <w:rsid w:val="0019563F"/>
    <w:rsid w:val="001A0162"/>
    <w:rsid w:val="001A2E42"/>
    <w:rsid w:val="001A3B14"/>
    <w:rsid w:val="001A4854"/>
    <w:rsid w:val="001A55BD"/>
    <w:rsid w:val="001B0537"/>
    <w:rsid w:val="001B2283"/>
    <w:rsid w:val="001B37E3"/>
    <w:rsid w:val="001C13A1"/>
    <w:rsid w:val="001C26C2"/>
    <w:rsid w:val="001C5C02"/>
    <w:rsid w:val="001C6703"/>
    <w:rsid w:val="001D01E5"/>
    <w:rsid w:val="001D19F0"/>
    <w:rsid w:val="001D2620"/>
    <w:rsid w:val="001D27A0"/>
    <w:rsid w:val="001D3CF8"/>
    <w:rsid w:val="001D4217"/>
    <w:rsid w:val="001D50F2"/>
    <w:rsid w:val="001D6D31"/>
    <w:rsid w:val="001D71AB"/>
    <w:rsid w:val="001D7361"/>
    <w:rsid w:val="001E066E"/>
    <w:rsid w:val="001E1833"/>
    <w:rsid w:val="001E2EA2"/>
    <w:rsid w:val="001E6780"/>
    <w:rsid w:val="001E7B54"/>
    <w:rsid w:val="001E7FAE"/>
    <w:rsid w:val="001F4461"/>
    <w:rsid w:val="001F4E79"/>
    <w:rsid w:val="001F64B5"/>
    <w:rsid w:val="001F7757"/>
    <w:rsid w:val="002018C2"/>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2EF"/>
    <w:rsid w:val="002838ED"/>
    <w:rsid w:val="002916E3"/>
    <w:rsid w:val="00297103"/>
    <w:rsid w:val="002A09E2"/>
    <w:rsid w:val="002A0B51"/>
    <w:rsid w:val="002A1A23"/>
    <w:rsid w:val="002A1CB5"/>
    <w:rsid w:val="002A3A0A"/>
    <w:rsid w:val="002B483B"/>
    <w:rsid w:val="002B5308"/>
    <w:rsid w:val="002B5937"/>
    <w:rsid w:val="002B5A26"/>
    <w:rsid w:val="002B6882"/>
    <w:rsid w:val="002B7834"/>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2823"/>
    <w:rsid w:val="002F4C94"/>
    <w:rsid w:val="002F7331"/>
    <w:rsid w:val="002F7D8C"/>
    <w:rsid w:val="003010F6"/>
    <w:rsid w:val="003057FC"/>
    <w:rsid w:val="00305DCE"/>
    <w:rsid w:val="003060E1"/>
    <w:rsid w:val="003139B3"/>
    <w:rsid w:val="00313EEC"/>
    <w:rsid w:val="00315B2A"/>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4785F"/>
    <w:rsid w:val="00350422"/>
    <w:rsid w:val="00350E23"/>
    <w:rsid w:val="0035300A"/>
    <w:rsid w:val="003542BB"/>
    <w:rsid w:val="00356833"/>
    <w:rsid w:val="00356B57"/>
    <w:rsid w:val="00357451"/>
    <w:rsid w:val="00357B21"/>
    <w:rsid w:val="0036147B"/>
    <w:rsid w:val="00362B74"/>
    <w:rsid w:val="00367D07"/>
    <w:rsid w:val="003717B5"/>
    <w:rsid w:val="003817D1"/>
    <w:rsid w:val="00382C4F"/>
    <w:rsid w:val="00382E36"/>
    <w:rsid w:val="003832B7"/>
    <w:rsid w:val="0038466E"/>
    <w:rsid w:val="00384BCA"/>
    <w:rsid w:val="00387589"/>
    <w:rsid w:val="00387B11"/>
    <w:rsid w:val="0039073D"/>
    <w:rsid w:val="00392A8C"/>
    <w:rsid w:val="003934EE"/>
    <w:rsid w:val="003A1595"/>
    <w:rsid w:val="003A3E05"/>
    <w:rsid w:val="003A3E46"/>
    <w:rsid w:val="003A4274"/>
    <w:rsid w:val="003A4EDF"/>
    <w:rsid w:val="003B2412"/>
    <w:rsid w:val="003B2998"/>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441"/>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62698"/>
    <w:rsid w:val="0046284C"/>
    <w:rsid w:val="00463147"/>
    <w:rsid w:val="0046575C"/>
    <w:rsid w:val="00465AEF"/>
    <w:rsid w:val="00466A03"/>
    <w:rsid w:val="00467176"/>
    <w:rsid w:val="0047270F"/>
    <w:rsid w:val="0047335F"/>
    <w:rsid w:val="00474223"/>
    <w:rsid w:val="0048397F"/>
    <w:rsid w:val="00484B08"/>
    <w:rsid w:val="00486C9C"/>
    <w:rsid w:val="00490827"/>
    <w:rsid w:val="00491B94"/>
    <w:rsid w:val="00491E12"/>
    <w:rsid w:val="00491EC0"/>
    <w:rsid w:val="00494126"/>
    <w:rsid w:val="00495A5A"/>
    <w:rsid w:val="00496796"/>
    <w:rsid w:val="00497B9B"/>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44D9"/>
    <w:rsid w:val="004D6BC0"/>
    <w:rsid w:val="004E3E33"/>
    <w:rsid w:val="004E4AEA"/>
    <w:rsid w:val="004E6010"/>
    <w:rsid w:val="004F17F6"/>
    <w:rsid w:val="004F2BF4"/>
    <w:rsid w:val="004F7060"/>
    <w:rsid w:val="004F7E2D"/>
    <w:rsid w:val="00501C56"/>
    <w:rsid w:val="00502863"/>
    <w:rsid w:val="00505ACF"/>
    <w:rsid w:val="00506EC6"/>
    <w:rsid w:val="005101FD"/>
    <w:rsid w:val="00510644"/>
    <w:rsid w:val="00510BDA"/>
    <w:rsid w:val="00511955"/>
    <w:rsid w:val="00512299"/>
    <w:rsid w:val="00514769"/>
    <w:rsid w:val="00516665"/>
    <w:rsid w:val="0052146C"/>
    <w:rsid w:val="0052222E"/>
    <w:rsid w:val="005264AD"/>
    <w:rsid w:val="00530F5C"/>
    <w:rsid w:val="005317F0"/>
    <w:rsid w:val="00533EEE"/>
    <w:rsid w:val="005340BA"/>
    <w:rsid w:val="0053620F"/>
    <w:rsid w:val="00541E14"/>
    <w:rsid w:val="00543ACE"/>
    <w:rsid w:val="00544902"/>
    <w:rsid w:val="0054616A"/>
    <w:rsid w:val="00550758"/>
    <w:rsid w:val="00553103"/>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1FA2"/>
    <w:rsid w:val="005A5964"/>
    <w:rsid w:val="005A5A4B"/>
    <w:rsid w:val="005A6FDA"/>
    <w:rsid w:val="005B2EBD"/>
    <w:rsid w:val="005B38B4"/>
    <w:rsid w:val="005B3B7E"/>
    <w:rsid w:val="005B4C38"/>
    <w:rsid w:val="005B4F0B"/>
    <w:rsid w:val="005B5738"/>
    <w:rsid w:val="005B60BE"/>
    <w:rsid w:val="005C04F7"/>
    <w:rsid w:val="005C3712"/>
    <w:rsid w:val="005C44A3"/>
    <w:rsid w:val="005C5873"/>
    <w:rsid w:val="005C6065"/>
    <w:rsid w:val="005C676D"/>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077B0"/>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5DE3"/>
    <w:rsid w:val="00655E1E"/>
    <w:rsid w:val="006560D0"/>
    <w:rsid w:val="0065646D"/>
    <w:rsid w:val="00660C42"/>
    <w:rsid w:val="00661E12"/>
    <w:rsid w:val="006651C6"/>
    <w:rsid w:val="00665882"/>
    <w:rsid w:val="006664D5"/>
    <w:rsid w:val="00670871"/>
    <w:rsid w:val="00672730"/>
    <w:rsid w:val="00672CF1"/>
    <w:rsid w:val="006768A7"/>
    <w:rsid w:val="00677A1C"/>
    <w:rsid w:val="00680AA8"/>
    <w:rsid w:val="00680E39"/>
    <w:rsid w:val="00682A19"/>
    <w:rsid w:val="006858EB"/>
    <w:rsid w:val="006862F7"/>
    <w:rsid w:val="00686A3B"/>
    <w:rsid w:val="00687672"/>
    <w:rsid w:val="00687AB3"/>
    <w:rsid w:val="0069169E"/>
    <w:rsid w:val="0069249F"/>
    <w:rsid w:val="00694EA7"/>
    <w:rsid w:val="0069586E"/>
    <w:rsid w:val="006961FB"/>
    <w:rsid w:val="006A15F2"/>
    <w:rsid w:val="006A20FF"/>
    <w:rsid w:val="006A261E"/>
    <w:rsid w:val="006A278C"/>
    <w:rsid w:val="006A2FF3"/>
    <w:rsid w:val="006A3398"/>
    <w:rsid w:val="006A7C1C"/>
    <w:rsid w:val="006B16A2"/>
    <w:rsid w:val="006B4EFC"/>
    <w:rsid w:val="006B71D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5972"/>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3721C"/>
    <w:rsid w:val="00745016"/>
    <w:rsid w:val="007472CA"/>
    <w:rsid w:val="0075166B"/>
    <w:rsid w:val="00753185"/>
    <w:rsid w:val="007546B7"/>
    <w:rsid w:val="00756A3D"/>
    <w:rsid w:val="00757B87"/>
    <w:rsid w:val="00762A6A"/>
    <w:rsid w:val="00763503"/>
    <w:rsid w:val="007674AD"/>
    <w:rsid w:val="007710BC"/>
    <w:rsid w:val="007715E6"/>
    <w:rsid w:val="00773029"/>
    <w:rsid w:val="007756C4"/>
    <w:rsid w:val="007758CE"/>
    <w:rsid w:val="00781CD0"/>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1829"/>
    <w:rsid w:val="007C404A"/>
    <w:rsid w:val="007C5460"/>
    <w:rsid w:val="007C66EB"/>
    <w:rsid w:val="007C6938"/>
    <w:rsid w:val="007D125E"/>
    <w:rsid w:val="007D3922"/>
    <w:rsid w:val="007E256E"/>
    <w:rsid w:val="007E3A45"/>
    <w:rsid w:val="007E5202"/>
    <w:rsid w:val="007F0100"/>
    <w:rsid w:val="007F1199"/>
    <w:rsid w:val="007F3D0B"/>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27478"/>
    <w:rsid w:val="00830148"/>
    <w:rsid w:val="00831CB6"/>
    <w:rsid w:val="0083224F"/>
    <w:rsid w:val="0083265C"/>
    <w:rsid w:val="008336B3"/>
    <w:rsid w:val="008346B8"/>
    <w:rsid w:val="0083512B"/>
    <w:rsid w:val="00835A1A"/>
    <w:rsid w:val="00836817"/>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658D8"/>
    <w:rsid w:val="00872C41"/>
    <w:rsid w:val="00873A29"/>
    <w:rsid w:val="008769AA"/>
    <w:rsid w:val="00876FA7"/>
    <w:rsid w:val="008770EF"/>
    <w:rsid w:val="0088016A"/>
    <w:rsid w:val="00880B74"/>
    <w:rsid w:val="0088603B"/>
    <w:rsid w:val="00891250"/>
    <w:rsid w:val="0089137F"/>
    <w:rsid w:val="008916E2"/>
    <w:rsid w:val="00893731"/>
    <w:rsid w:val="00893B8B"/>
    <w:rsid w:val="00893BD4"/>
    <w:rsid w:val="00895D48"/>
    <w:rsid w:val="008A3534"/>
    <w:rsid w:val="008A3DB8"/>
    <w:rsid w:val="008A5018"/>
    <w:rsid w:val="008B04EE"/>
    <w:rsid w:val="008B1F69"/>
    <w:rsid w:val="008B3937"/>
    <w:rsid w:val="008B4426"/>
    <w:rsid w:val="008B768F"/>
    <w:rsid w:val="008B7C72"/>
    <w:rsid w:val="008C1BC7"/>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283F"/>
    <w:rsid w:val="008F52CF"/>
    <w:rsid w:val="008F7FB2"/>
    <w:rsid w:val="00902466"/>
    <w:rsid w:val="00904100"/>
    <w:rsid w:val="00910387"/>
    <w:rsid w:val="00911C87"/>
    <w:rsid w:val="00912644"/>
    <w:rsid w:val="00912EC0"/>
    <w:rsid w:val="009141B0"/>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5D4A"/>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0173"/>
    <w:rsid w:val="00985750"/>
    <w:rsid w:val="0098666E"/>
    <w:rsid w:val="00990285"/>
    <w:rsid w:val="00994E22"/>
    <w:rsid w:val="0099533A"/>
    <w:rsid w:val="00995A75"/>
    <w:rsid w:val="00995EC9"/>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7105"/>
    <w:rsid w:val="00A12430"/>
    <w:rsid w:val="00A1308E"/>
    <w:rsid w:val="00A1717D"/>
    <w:rsid w:val="00A200D2"/>
    <w:rsid w:val="00A20239"/>
    <w:rsid w:val="00A220FD"/>
    <w:rsid w:val="00A23177"/>
    <w:rsid w:val="00A30741"/>
    <w:rsid w:val="00A3094C"/>
    <w:rsid w:val="00A36B2E"/>
    <w:rsid w:val="00A41601"/>
    <w:rsid w:val="00A43575"/>
    <w:rsid w:val="00A43830"/>
    <w:rsid w:val="00A45F4D"/>
    <w:rsid w:val="00A4617C"/>
    <w:rsid w:val="00A475C0"/>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7E4B"/>
    <w:rsid w:val="00AB0233"/>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279C"/>
    <w:rsid w:val="00AD4402"/>
    <w:rsid w:val="00AD4B66"/>
    <w:rsid w:val="00AD4F87"/>
    <w:rsid w:val="00AD56EF"/>
    <w:rsid w:val="00AD7BDA"/>
    <w:rsid w:val="00AE1121"/>
    <w:rsid w:val="00AE1D39"/>
    <w:rsid w:val="00AE3573"/>
    <w:rsid w:val="00AE368D"/>
    <w:rsid w:val="00AE448B"/>
    <w:rsid w:val="00AE46A7"/>
    <w:rsid w:val="00AE5C43"/>
    <w:rsid w:val="00AF1928"/>
    <w:rsid w:val="00AF436D"/>
    <w:rsid w:val="00AF7675"/>
    <w:rsid w:val="00B006CD"/>
    <w:rsid w:val="00B02BE0"/>
    <w:rsid w:val="00B110A6"/>
    <w:rsid w:val="00B12178"/>
    <w:rsid w:val="00B1614A"/>
    <w:rsid w:val="00B20803"/>
    <w:rsid w:val="00B20D5A"/>
    <w:rsid w:val="00B25ACB"/>
    <w:rsid w:val="00B25C21"/>
    <w:rsid w:val="00B267B3"/>
    <w:rsid w:val="00B31B2B"/>
    <w:rsid w:val="00B32AA6"/>
    <w:rsid w:val="00B34E85"/>
    <w:rsid w:val="00B37713"/>
    <w:rsid w:val="00B378F7"/>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44E5"/>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762"/>
    <w:rsid w:val="00C64B88"/>
    <w:rsid w:val="00C6657D"/>
    <w:rsid w:val="00C669AA"/>
    <w:rsid w:val="00C67610"/>
    <w:rsid w:val="00C73646"/>
    <w:rsid w:val="00C755AF"/>
    <w:rsid w:val="00C76068"/>
    <w:rsid w:val="00C761F0"/>
    <w:rsid w:val="00C76638"/>
    <w:rsid w:val="00C777C0"/>
    <w:rsid w:val="00C84853"/>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B1D"/>
    <w:rsid w:val="00D02C26"/>
    <w:rsid w:val="00D04F8B"/>
    <w:rsid w:val="00D06DF3"/>
    <w:rsid w:val="00D137D0"/>
    <w:rsid w:val="00D137DD"/>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8C4"/>
    <w:rsid w:val="00D54985"/>
    <w:rsid w:val="00D54BF0"/>
    <w:rsid w:val="00D54D5F"/>
    <w:rsid w:val="00D56D52"/>
    <w:rsid w:val="00D57A56"/>
    <w:rsid w:val="00D603FD"/>
    <w:rsid w:val="00D65762"/>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2EC4"/>
    <w:rsid w:val="00DE35E0"/>
    <w:rsid w:val="00DE4EFA"/>
    <w:rsid w:val="00DE5A00"/>
    <w:rsid w:val="00DF07A2"/>
    <w:rsid w:val="00DF395F"/>
    <w:rsid w:val="00DF3B4F"/>
    <w:rsid w:val="00DF52DF"/>
    <w:rsid w:val="00DF54D2"/>
    <w:rsid w:val="00DF603D"/>
    <w:rsid w:val="00DF69B6"/>
    <w:rsid w:val="00E013FD"/>
    <w:rsid w:val="00E03FA4"/>
    <w:rsid w:val="00E0569F"/>
    <w:rsid w:val="00E0581B"/>
    <w:rsid w:val="00E064A5"/>
    <w:rsid w:val="00E123B1"/>
    <w:rsid w:val="00E12CE8"/>
    <w:rsid w:val="00E14006"/>
    <w:rsid w:val="00E149E8"/>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65C5"/>
    <w:rsid w:val="00EA7213"/>
    <w:rsid w:val="00EB0818"/>
    <w:rsid w:val="00EB1A02"/>
    <w:rsid w:val="00EB3215"/>
    <w:rsid w:val="00EB4E57"/>
    <w:rsid w:val="00EB5C3C"/>
    <w:rsid w:val="00EB670A"/>
    <w:rsid w:val="00EC2BAB"/>
    <w:rsid w:val="00EC5F14"/>
    <w:rsid w:val="00EC74B5"/>
    <w:rsid w:val="00ED4073"/>
    <w:rsid w:val="00ED42AD"/>
    <w:rsid w:val="00ED4B7B"/>
    <w:rsid w:val="00ED674A"/>
    <w:rsid w:val="00EE225C"/>
    <w:rsid w:val="00EE4756"/>
    <w:rsid w:val="00EE6DC3"/>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6701"/>
    <w:rsid w:val="00F96CE9"/>
    <w:rsid w:val="00F96D46"/>
    <w:rsid w:val="00FA05D3"/>
    <w:rsid w:val="00FA1679"/>
    <w:rsid w:val="00FA1E37"/>
    <w:rsid w:val="00FA23FD"/>
    <w:rsid w:val="00FA2BB8"/>
    <w:rsid w:val="00FA2BCE"/>
    <w:rsid w:val="00FA718F"/>
    <w:rsid w:val="00FB16BF"/>
    <w:rsid w:val="00FB50A0"/>
    <w:rsid w:val="00FB5B86"/>
    <w:rsid w:val="00FB6AD9"/>
    <w:rsid w:val="00FC22C9"/>
    <w:rsid w:val="00FC420F"/>
    <w:rsid w:val="00FC4447"/>
    <w:rsid w:val="00FD33F2"/>
    <w:rsid w:val="00FD35D0"/>
    <w:rsid w:val="00FD3FDB"/>
    <w:rsid w:val="00FD43C8"/>
    <w:rsid w:val="00FD44E9"/>
    <w:rsid w:val="00FD47FF"/>
    <w:rsid w:val="00FD62E9"/>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635C49"/>
    <w:rsid w:val="017C59B0"/>
    <w:rsid w:val="019B1886"/>
    <w:rsid w:val="01A17DC4"/>
    <w:rsid w:val="023F56DB"/>
    <w:rsid w:val="02565430"/>
    <w:rsid w:val="02987B74"/>
    <w:rsid w:val="02B63AA8"/>
    <w:rsid w:val="02E8426F"/>
    <w:rsid w:val="03107D19"/>
    <w:rsid w:val="033A60FC"/>
    <w:rsid w:val="034D4E02"/>
    <w:rsid w:val="0363048A"/>
    <w:rsid w:val="037B54CB"/>
    <w:rsid w:val="038A3960"/>
    <w:rsid w:val="04155920"/>
    <w:rsid w:val="04227784"/>
    <w:rsid w:val="04492A19"/>
    <w:rsid w:val="04525DF4"/>
    <w:rsid w:val="047A39D5"/>
    <w:rsid w:val="049632F4"/>
    <w:rsid w:val="05C70E9C"/>
    <w:rsid w:val="05DC24ED"/>
    <w:rsid w:val="064029FC"/>
    <w:rsid w:val="06610746"/>
    <w:rsid w:val="0693323D"/>
    <w:rsid w:val="06B4575A"/>
    <w:rsid w:val="06B82F9C"/>
    <w:rsid w:val="06E54213"/>
    <w:rsid w:val="06EE2AB6"/>
    <w:rsid w:val="07091971"/>
    <w:rsid w:val="07256C16"/>
    <w:rsid w:val="074D2FC2"/>
    <w:rsid w:val="07655EB6"/>
    <w:rsid w:val="07856DC0"/>
    <w:rsid w:val="078F0A75"/>
    <w:rsid w:val="07A31495"/>
    <w:rsid w:val="07BA1CB4"/>
    <w:rsid w:val="07D8204A"/>
    <w:rsid w:val="07FD5F4E"/>
    <w:rsid w:val="080D4B60"/>
    <w:rsid w:val="082234C9"/>
    <w:rsid w:val="08260686"/>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981956"/>
    <w:rsid w:val="0AD6392F"/>
    <w:rsid w:val="0B06663B"/>
    <w:rsid w:val="0B7E686A"/>
    <w:rsid w:val="0B8842BF"/>
    <w:rsid w:val="0BE03DE3"/>
    <w:rsid w:val="0BE06A5D"/>
    <w:rsid w:val="0C623FBF"/>
    <w:rsid w:val="0CD520F0"/>
    <w:rsid w:val="0CE81039"/>
    <w:rsid w:val="0D274E37"/>
    <w:rsid w:val="0D8D29CB"/>
    <w:rsid w:val="0DDA29B6"/>
    <w:rsid w:val="0DFC36AD"/>
    <w:rsid w:val="0DFC4846"/>
    <w:rsid w:val="0E005515"/>
    <w:rsid w:val="0E5C05EF"/>
    <w:rsid w:val="0E612D0D"/>
    <w:rsid w:val="0E6D0107"/>
    <w:rsid w:val="0EA77BD2"/>
    <w:rsid w:val="0EA834F9"/>
    <w:rsid w:val="0EC168B3"/>
    <w:rsid w:val="0EFE5203"/>
    <w:rsid w:val="0F307A11"/>
    <w:rsid w:val="0F851F21"/>
    <w:rsid w:val="0F8A092A"/>
    <w:rsid w:val="0FA246CA"/>
    <w:rsid w:val="0FDF3286"/>
    <w:rsid w:val="0FED5629"/>
    <w:rsid w:val="10032C1C"/>
    <w:rsid w:val="10037922"/>
    <w:rsid w:val="10824D12"/>
    <w:rsid w:val="108856CC"/>
    <w:rsid w:val="109D1555"/>
    <w:rsid w:val="10B77404"/>
    <w:rsid w:val="10F15615"/>
    <w:rsid w:val="10F845FF"/>
    <w:rsid w:val="113B79ED"/>
    <w:rsid w:val="11EA2F9F"/>
    <w:rsid w:val="121E0096"/>
    <w:rsid w:val="12355B35"/>
    <w:rsid w:val="1235627E"/>
    <w:rsid w:val="125735A8"/>
    <w:rsid w:val="12837EF9"/>
    <w:rsid w:val="12B80A52"/>
    <w:rsid w:val="12C0114D"/>
    <w:rsid w:val="12D457A1"/>
    <w:rsid w:val="13255454"/>
    <w:rsid w:val="13444055"/>
    <w:rsid w:val="139F5206"/>
    <w:rsid w:val="13C76F07"/>
    <w:rsid w:val="14015F79"/>
    <w:rsid w:val="14064C45"/>
    <w:rsid w:val="14467DD6"/>
    <w:rsid w:val="145A737F"/>
    <w:rsid w:val="146B405E"/>
    <w:rsid w:val="14A47431"/>
    <w:rsid w:val="14AC4CF9"/>
    <w:rsid w:val="15034E08"/>
    <w:rsid w:val="15132AEA"/>
    <w:rsid w:val="15276590"/>
    <w:rsid w:val="158521DA"/>
    <w:rsid w:val="15A20FDE"/>
    <w:rsid w:val="160F45E2"/>
    <w:rsid w:val="16247C0B"/>
    <w:rsid w:val="162639BD"/>
    <w:rsid w:val="16602A8D"/>
    <w:rsid w:val="167E1F6D"/>
    <w:rsid w:val="16816E45"/>
    <w:rsid w:val="16D94CE7"/>
    <w:rsid w:val="1751365E"/>
    <w:rsid w:val="17846E52"/>
    <w:rsid w:val="17A10415"/>
    <w:rsid w:val="185E310B"/>
    <w:rsid w:val="18D92F68"/>
    <w:rsid w:val="19940610"/>
    <w:rsid w:val="19AC242B"/>
    <w:rsid w:val="19D90D46"/>
    <w:rsid w:val="19E00326"/>
    <w:rsid w:val="1A4A4945"/>
    <w:rsid w:val="1AC36FBB"/>
    <w:rsid w:val="1AED2CFB"/>
    <w:rsid w:val="1B6034CD"/>
    <w:rsid w:val="1B632FBD"/>
    <w:rsid w:val="1BA3160C"/>
    <w:rsid w:val="1BB5725D"/>
    <w:rsid w:val="1BD1563C"/>
    <w:rsid w:val="1C3861F8"/>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F070103"/>
    <w:rsid w:val="1F324E20"/>
    <w:rsid w:val="1F7C464D"/>
    <w:rsid w:val="1FC9015C"/>
    <w:rsid w:val="1FDC4FB3"/>
    <w:rsid w:val="1FE95340"/>
    <w:rsid w:val="1FF1249B"/>
    <w:rsid w:val="205C4856"/>
    <w:rsid w:val="20EC3103"/>
    <w:rsid w:val="21505D92"/>
    <w:rsid w:val="2181419D"/>
    <w:rsid w:val="21817CF9"/>
    <w:rsid w:val="21837F15"/>
    <w:rsid w:val="218C5EDD"/>
    <w:rsid w:val="21C80804"/>
    <w:rsid w:val="21C91E46"/>
    <w:rsid w:val="21FD282D"/>
    <w:rsid w:val="220C372A"/>
    <w:rsid w:val="22325497"/>
    <w:rsid w:val="22CC5149"/>
    <w:rsid w:val="22DC08EA"/>
    <w:rsid w:val="234E1E2B"/>
    <w:rsid w:val="2389558B"/>
    <w:rsid w:val="23897871"/>
    <w:rsid w:val="2416570F"/>
    <w:rsid w:val="24263117"/>
    <w:rsid w:val="243B1A7F"/>
    <w:rsid w:val="24541BE3"/>
    <w:rsid w:val="24684E35"/>
    <w:rsid w:val="247B41DA"/>
    <w:rsid w:val="24DE4A1C"/>
    <w:rsid w:val="25143FE1"/>
    <w:rsid w:val="254F495B"/>
    <w:rsid w:val="255D4356"/>
    <w:rsid w:val="255D6CCF"/>
    <w:rsid w:val="257578C4"/>
    <w:rsid w:val="25B235AF"/>
    <w:rsid w:val="25BC6838"/>
    <w:rsid w:val="25BD4394"/>
    <w:rsid w:val="25D0124F"/>
    <w:rsid w:val="26435EC5"/>
    <w:rsid w:val="26563149"/>
    <w:rsid w:val="26655253"/>
    <w:rsid w:val="2681668B"/>
    <w:rsid w:val="26D22DA5"/>
    <w:rsid w:val="270218DC"/>
    <w:rsid w:val="272A0E92"/>
    <w:rsid w:val="27586FCE"/>
    <w:rsid w:val="275A57F8"/>
    <w:rsid w:val="275E54BA"/>
    <w:rsid w:val="278269A7"/>
    <w:rsid w:val="27CB4526"/>
    <w:rsid w:val="283540AD"/>
    <w:rsid w:val="28396176"/>
    <w:rsid w:val="28447ED4"/>
    <w:rsid w:val="2899001E"/>
    <w:rsid w:val="28B218C0"/>
    <w:rsid w:val="28BC1F5F"/>
    <w:rsid w:val="298F31CF"/>
    <w:rsid w:val="29C4731D"/>
    <w:rsid w:val="29ED3697"/>
    <w:rsid w:val="29F00112"/>
    <w:rsid w:val="2A275E16"/>
    <w:rsid w:val="2A6B06F2"/>
    <w:rsid w:val="2A73489F"/>
    <w:rsid w:val="2ABD3FC1"/>
    <w:rsid w:val="2AD20DAA"/>
    <w:rsid w:val="2AFE23BA"/>
    <w:rsid w:val="2B2A31B0"/>
    <w:rsid w:val="2B593A95"/>
    <w:rsid w:val="2B794137"/>
    <w:rsid w:val="2B936D0D"/>
    <w:rsid w:val="2C9F2E02"/>
    <w:rsid w:val="2CB859C5"/>
    <w:rsid w:val="2CFA4E04"/>
    <w:rsid w:val="2D0A3299"/>
    <w:rsid w:val="2D225A77"/>
    <w:rsid w:val="2D355F4B"/>
    <w:rsid w:val="2D590BC5"/>
    <w:rsid w:val="2DAC2748"/>
    <w:rsid w:val="2DDB2E87"/>
    <w:rsid w:val="2E042685"/>
    <w:rsid w:val="2E0D1CC8"/>
    <w:rsid w:val="2E354C97"/>
    <w:rsid w:val="2E4B0237"/>
    <w:rsid w:val="2E627104"/>
    <w:rsid w:val="2E7562E1"/>
    <w:rsid w:val="2E881EB2"/>
    <w:rsid w:val="2E951288"/>
    <w:rsid w:val="2EE31770"/>
    <w:rsid w:val="2EE31FF3"/>
    <w:rsid w:val="2F2A43A8"/>
    <w:rsid w:val="2F546C73"/>
    <w:rsid w:val="2FD91648"/>
    <w:rsid w:val="2FF11B67"/>
    <w:rsid w:val="2FFC0DDA"/>
    <w:rsid w:val="300B211E"/>
    <w:rsid w:val="300F62FA"/>
    <w:rsid w:val="301663F8"/>
    <w:rsid w:val="306C426A"/>
    <w:rsid w:val="307510EB"/>
    <w:rsid w:val="308B2942"/>
    <w:rsid w:val="30BB6A18"/>
    <w:rsid w:val="30C322F5"/>
    <w:rsid w:val="30D272A2"/>
    <w:rsid w:val="30E262DA"/>
    <w:rsid w:val="311E585F"/>
    <w:rsid w:val="312429EA"/>
    <w:rsid w:val="314410E2"/>
    <w:rsid w:val="31653193"/>
    <w:rsid w:val="3189417F"/>
    <w:rsid w:val="31A10E45"/>
    <w:rsid w:val="32036B3D"/>
    <w:rsid w:val="320A7897"/>
    <w:rsid w:val="32DD6F2C"/>
    <w:rsid w:val="32E77BD8"/>
    <w:rsid w:val="32EC1C9B"/>
    <w:rsid w:val="33276F8E"/>
    <w:rsid w:val="333A76F9"/>
    <w:rsid w:val="334B0CE8"/>
    <w:rsid w:val="337E678E"/>
    <w:rsid w:val="33994D0D"/>
    <w:rsid w:val="33C10429"/>
    <w:rsid w:val="33DE722D"/>
    <w:rsid w:val="33E10D45"/>
    <w:rsid w:val="34505E22"/>
    <w:rsid w:val="34B56C30"/>
    <w:rsid w:val="35376319"/>
    <w:rsid w:val="35645037"/>
    <w:rsid w:val="356E638F"/>
    <w:rsid w:val="3586192A"/>
    <w:rsid w:val="35D02BA5"/>
    <w:rsid w:val="364C4922"/>
    <w:rsid w:val="36603F29"/>
    <w:rsid w:val="36665F76"/>
    <w:rsid w:val="369D33CF"/>
    <w:rsid w:val="369F015B"/>
    <w:rsid w:val="36B349A1"/>
    <w:rsid w:val="370D0F54"/>
    <w:rsid w:val="371F2036"/>
    <w:rsid w:val="372907BF"/>
    <w:rsid w:val="374101EA"/>
    <w:rsid w:val="374702A2"/>
    <w:rsid w:val="379F4F25"/>
    <w:rsid w:val="37B91BBF"/>
    <w:rsid w:val="37FA3B6B"/>
    <w:rsid w:val="380B25BB"/>
    <w:rsid w:val="38575800"/>
    <w:rsid w:val="386A0444"/>
    <w:rsid w:val="386C23B6"/>
    <w:rsid w:val="38B14F10"/>
    <w:rsid w:val="38CF5396"/>
    <w:rsid w:val="38E4601B"/>
    <w:rsid w:val="398B4FF4"/>
    <w:rsid w:val="39E20404"/>
    <w:rsid w:val="39EA32C7"/>
    <w:rsid w:val="3A0279BA"/>
    <w:rsid w:val="3A4323AD"/>
    <w:rsid w:val="3A52002D"/>
    <w:rsid w:val="3A6D7BFF"/>
    <w:rsid w:val="3A850DCC"/>
    <w:rsid w:val="3AF0596F"/>
    <w:rsid w:val="3AFA4A39"/>
    <w:rsid w:val="3B0E664A"/>
    <w:rsid w:val="3B556027"/>
    <w:rsid w:val="3B6C15C2"/>
    <w:rsid w:val="3BD6605B"/>
    <w:rsid w:val="3BDF4407"/>
    <w:rsid w:val="3C85659F"/>
    <w:rsid w:val="3CE33DAE"/>
    <w:rsid w:val="3CEA182B"/>
    <w:rsid w:val="3D05582A"/>
    <w:rsid w:val="3D2A3C20"/>
    <w:rsid w:val="3DCC4687"/>
    <w:rsid w:val="3E160750"/>
    <w:rsid w:val="3E3F005F"/>
    <w:rsid w:val="3E640F5D"/>
    <w:rsid w:val="3E6E73FF"/>
    <w:rsid w:val="3EBC460F"/>
    <w:rsid w:val="3ED932B0"/>
    <w:rsid w:val="3EDD6A0F"/>
    <w:rsid w:val="3EF40E3A"/>
    <w:rsid w:val="3F285800"/>
    <w:rsid w:val="3F43088C"/>
    <w:rsid w:val="3F4E33A9"/>
    <w:rsid w:val="3F7D4D9C"/>
    <w:rsid w:val="3F7F5CE6"/>
    <w:rsid w:val="3F9C2596"/>
    <w:rsid w:val="401D10DD"/>
    <w:rsid w:val="40BA0C6A"/>
    <w:rsid w:val="41097636"/>
    <w:rsid w:val="410B31D1"/>
    <w:rsid w:val="41285F8B"/>
    <w:rsid w:val="41566655"/>
    <w:rsid w:val="41733CF0"/>
    <w:rsid w:val="41A90E42"/>
    <w:rsid w:val="425A3849"/>
    <w:rsid w:val="426A4BE4"/>
    <w:rsid w:val="427552FB"/>
    <w:rsid w:val="42E37824"/>
    <w:rsid w:val="4307508E"/>
    <w:rsid w:val="43267654"/>
    <w:rsid w:val="43341C4C"/>
    <w:rsid w:val="433C187A"/>
    <w:rsid w:val="436A288B"/>
    <w:rsid w:val="43AF6158"/>
    <w:rsid w:val="43F5381E"/>
    <w:rsid w:val="4447497A"/>
    <w:rsid w:val="4455553B"/>
    <w:rsid w:val="447A6AFE"/>
    <w:rsid w:val="44906DCF"/>
    <w:rsid w:val="44BE0E85"/>
    <w:rsid w:val="44EE4411"/>
    <w:rsid w:val="44F22B38"/>
    <w:rsid w:val="45101210"/>
    <w:rsid w:val="451F3201"/>
    <w:rsid w:val="452E08F1"/>
    <w:rsid w:val="45615410"/>
    <w:rsid w:val="45E701C3"/>
    <w:rsid w:val="45F655AA"/>
    <w:rsid w:val="460D7280"/>
    <w:rsid w:val="46122ADE"/>
    <w:rsid w:val="46AE6522"/>
    <w:rsid w:val="46DC3F49"/>
    <w:rsid w:val="4725636F"/>
    <w:rsid w:val="479D249A"/>
    <w:rsid w:val="479E2B03"/>
    <w:rsid w:val="47BF1265"/>
    <w:rsid w:val="47DD656D"/>
    <w:rsid w:val="480773CA"/>
    <w:rsid w:val="48224AFE"/>
    <w:rsid w:val="483031B8"/>
    <w:rsid w:val="48877A3B"/>
    <w:rsid w:val="48B53EEB"/>
    <w:rsid w:val="48D80297"/>
    <w:rsid w:val="48E46C3C"/>
    <w:rsid w:val="49172B6D"/>
    <w:rsid w:val="49211F7A"/>
    <w:rsid w:val="49CB6BE2"/>
    <w:rsid w:val="49F25388"/>
    <w:rsid w:val="4A022C9F"/>
    <w:rsid w:val="4A064990"/>
    <w:rsid w:val="4A176B9D"/>
    <w:rsid w:val="4AB47E81"/>
    <w:rsid w:val="4ACC3E2B"/>
    <w:rsid w:val="4ACD1779"/>
    <w:rsid w:val="4AD056CA"/>
    <w:rsid w:val="4AE64222"/>
    <w:rsid w:val="4AF54F1C"/>
    <w:rsid w:val="4B0D4F16"/>
    <w:rsid w:val="4B155EAC"/>
    <w:rsid w:val="4B2E0642"/>
    <w:rsid w:val="4B306168"/>
    <w:rsid w:val="4B736E11"/>
    <w:rsid w:val="4B7D3AC9"/>
    <w:rsid w:val="4B8B2659"/>
    <w:rsid w:val="4B9F6E4A"/>
    <w:rsid w:val="4C0669BA"/>
    <w:rsid w:val="4C2D4456"/>
    <w:rsid w:val="4D2B119D"/>
    <w:rsid w:val="4D5B25B7"/>
    <w:rsid w:val="4D7D70FE"/>
    <w:rsid w:val="4D8A7549"/>
    <w:rsid w:val="4DA2780A"/>
    <w:rsid w:val="4DE475D7"/>
    <w:rsid w:val="4E8D6E45"/>
    <w:rsid w:val="4ED66901"/>
    <w:rsid w:val="4EEC23A6"/>
    <w:rsid w:val="4F951821"/>
    <w:rsid w:val="4FAD28D0"/>
    <w:rsid w:val="4FDC68BF"/>
    <w:rsid w:val="4FE13ED5"/>
    <w:rsid w:val="4FE15489"/>
    <w:rsid w:val="4FF31A84"/>
    <w:rsid w:val="50025BF9"/>
    <w:rsid w:val="503009B9"/>
    <w:rsid w:val="504D156B"/>
    <w:rsid w:val="509A1AA7"/>
    <w:rsid w:val="51024103"/>
    <w:rsid w:val="510D61B2"/>
    <w:rsid w:val="51390397"/>
    <w:rsid w:val="51955011"/>
    <w:rsid w:val="51BF1FF4"/>
    <w:rsid w:val="51F226BA"/>
    <w:rsid w:val="51FA127E"/>
    <w:rsid w:val="52291B63"/>
    <w:rsid w:val="522C3737"/>
    <w:rsid w:val="52803FDF"/>
    <w:rsid w:val="531D04DF"/>
    <w:rsid w:val="532B61CD"/>
    <w:rsid w:val="53AC0493"/>
    <w:rsid w:val="53B81E81"/>
    <w:rsid w:val="54132709"/>
    <w:rsid w:val="543C2075"/>
    <w:rsid w:val="54445A7D"/>
    <w:rsid w:val="544D5998"/>
    <w:rsid w:val="54814EA5"/>
    <w:rsid w:val="54880DC3"/>
    <w:rsid w:val="549A0AF6"/>
    <w:rsid w:val="549A5BDB"/>
    <w:rsid w:val="54A7591C"/>
    <w:rsid w:val="54A94D98"/>
    <w:rsid w:val="54EA382C"/>
    <w:rsid w:val="551E34D6"/>
    <w:rsid w:val="55DB593F"/>
    <w:rsid w:val="55F304BE"/>
    <w:rsid w:val="56477AF8"/>
    <w:rsid w:val="566120AB"/>
    <w:rsid w:val="566413BC"/>
    <w:rsid w:val="56C67E37"/>
    <w:rsid w:val="56CD08AB"/>
    <w:rsid w:val="56F82EC5"/>
    <w:rsid w:val="57B85306"/>
    <w:rsid w:val="57C2283E"/>
    <w:rsid w:val="58740809"/>
    <w:rsid w:val="58774020"/>
    <w:rsid w:val="588D7D2F"/>
    <w:rsid w:val="58F92290"/>
    <w:rsid w:val="5900361E"/>
    <w:rsid w:val="59197CF0"/>
    <w:rsid w:val="59213EAE"/>
    <w:rsid w:val="5949023D"/>
    <w:rsid w:val="59513E7A"/>
    <w:rsid w:val="59747B68"/>
    <w:rsid w:val="597E4543"/>
    <w:rsid w:val="59826A20"/>
    <w:rsid w:val="59E53AA3"/>
    <w:rsid w:val="5A137381"/>
    <w:rsid w:val="5A350500"/>
    <w:rsid w:val="5A735CEC"/>
    <w:rsid w:val="5AB02E22"/>
    <w:rsid w:val="5AF46E05"/>
    <w:rsid w:val="5B0A0818"/>
    <w:rsid w:val="5BD55B76"/>
    <w:rsid w:val="5BEE736B"/>
    <w:rsid w:val="5BFC2C5A"/>
    <w:rsid w:val="5C2D5EF9"/>
    <w:rsid w:val="5C427AAA"/>
    <w:rsid w:val="5C471564"/>
    <w:rsid w:val="5C9D1184"/>
    <w:rsid w:val="5CEB1B0B"/>
    <w:rsid w:val="5CEB7A53"/>
    <w:rsid w:val="5D096ABA"/>
    <w:rsid w:val="5D3C6BEF"/>
    <w:rsid w:val="5D6452AB"/>
    <w:rsid w:val="5D676AF3"/>
    <w:rsid w:val="5DBC36C9"/>
    <w:rsid w:val="5DCC7F73"/>
    <w:rsid w:val="5E2B1471"/>
    <w:rsid w:val="5E462CCA"/>
    <w:rsid w:val="5E662E89"/>
    <w:rsid w:val="5EAF519E"/>
    <w:rsid w:val="5EBE5D3A"/>
    <w:rsid w:val="5ECA3375"/>
    <w:rsid w:val="5EF340C4"/>
    <w:rsid w:val="5EFD23AE"/>
    <w:rsid w:val="5F0D3487"/>
    <w:rsid w:val="5F0E49F5"/>
    <w:rsid w:val="5F46188E"/>
    <w:rsid w:val="5F5F75C8"/>
    <w:rsid w:val="5FC92290"/>
    <w:rsid w:val="60130BD1"/>
    <w:rsid w:val="61464219"/>
    <w:rsid w:val="61903065"/>
    <w:rsid w:val="62512122"/>
    <w:rsid w:val="62816E52"/>
    <w:rsid w:val="629E17B2"/>
    <w:rsid w:val="62BF4310"/>
    <w:rsid w:val="62E713AB"/>
    <w:rsid w:val="62E82808"/>
    <w:rsid w:val="62F67840"/>
    <w:rsid w:val="63743B68"/>
    <w:rsid w:val="63D51042"/>
    <w:rsid w:val="641D4270"/>
    <w:rsid w:val="642A5DF3"/>
    <w:rsid w:val="64346872"/>
    <w:rsid w:val="64485E79"/>
    <w:rsid w:val="646C600B"/>
    <w:rsid w:val="64AF6DD6"/>
    <w:rsid w:val="64B928D3"/>
    <w:rsid w:val="64DD2F8E"/>
    <w:rsid w:val="64F87875"/>
    <w:rsid w:val="65226DFF"/>
    <w:rsid w:val="654B3E73"/>
    <w:rsid w:val="65725A44"/>
    <w:rsid w:val="65AE7F5E"/>
    <w:rsid w:val="65CE23AE"/>
    <w:rsid w:val="65D73958"/>
    <w:rsid w:val="6612673F"/>
    <w:rsid w:val="666A0329"/>
    <w:rsid w:val="666C5ABA"/>
    <w:rsid w:val="66B51CB4"/>
    <w:rsid w:val="66CF2882"/>
    <w:rsid w:val="66D9748A"/>
    <w:rsid w:val="67013194"/>
    <w:rsid w:val="6703206B"/>
    <w:rsid w:val="67530DBD"/>
    <w:rsid w:val="675B0639"/>
    <w:rsid w:val="677C376B"/>
    <w:rsid w:val="679F04A6"/>
    <w:rsid w:val="67CE21A0"/>
    <w:rsid w:val="6816272E"/>
    <w:rsid w:val="68173708"/>
    <w:rsid w:val="68C06926"/>
    <w:rsid w:val="68F314E9"/>
    <w:rsid w:val="69206E09"/>
    <w:rsid w:val="692A0B40"/>
    <w:rsid w:val="69422984"/>
    <w:rsid w:val="696B5426"/>
    <w:rsid w:val="69E06646"/>
    <w:rsid w:val="69F10D61"/>
    <w:rsid w:val="6A0C16F7"/>
    <w:rsid w:val="6A120191"/>
    <w:rsid w:val="6A1B6D1C"/>
    <w:rsid w:val="6A392859"/>
    <w:rsid w:val="6A6862C2"/>
    <w:rsid w:val="6A6B1E56"/>
    <w:rsid w:val="6A6B466F"/>
    <w:rsid w:val="6A955B90"/>
    <w:rsid w:val="6B7E63D3"/>
    <w:rsid w:val="6BF56070"/>
    <w:rsid w:val="6C1113F9"/>
    <w:rsid w:val="6C5A6FE1"/>
    <w:rsid w:val="6CDA1A19"/>
    <w:rsid w:val="6CFA1CDB"/>
    <w:rsid w:val="6D4D62AE"/>
    <w:rsid w:val="6D512242"/>
    <w:rsid w:val="6D527D69"/>
    <w:rsid w:val="6D741A8D"/>
    <w:rsid w:val="6E492C23"/>
    <w:rsid w:val="6E696210"/>
    <w:rsid w:val="6E712470"/>
    <w:rsid w:val="6E744081"/>
    <w:rsid w:val="6E9C573F"/>
    <w:rsid w:val="6ED24CBD"/>
    <w:rsid w:val="6FCE7B7A"/>
    <w:rsid w:val="6FF34B5E"/>
    <w:rsid w:val="6FFE5F86"/>
    <w:rsid w:val="70115CB9"/>
    <w:rsid w:val="70650EF5"/>
    <w:rsid w:val="70756078"/>
    <w:rsid w:val="70CD2C42"/>
    <w:rsid w:val="70D54F38"/>
    <w:rsid w:val="70DE72F8"/>
    <w:rsid w:val="711517D9"/>
    <w:rsid w:val="71C63450"/>
    <w:rsid w:val="71C72AD3"/>
    <w:rsid w:val="71C81332"/>
    <w:rsid w:val="725620A9"/>
    <w:rsid w:val="72CA494B"/>
    <w:rsid w:val="735424FE"/>
    <w:rsid w:val="737D3483"/>
    <w:rsid w:val="7399224D"/>
    <w:rsid w:val="73D03795"/>
    <w:rsid w:val="73DE4E44"/>
    <w:rsid w:val="73E01C2A"/>
    <w:rsid w:val="740716AE"/>
    <w:rsid w:val="743476F9"/>
    <w:rsid w:val="743868BF"/>
    <w:rsid w:val="743E768A"/>
    <w:rsid w:val="745B39A7"/>
    <w:rsid w:val="74640987"/>
    <w:rsid w:val="74DB4E3C"/>
    <w:rsid w:val="74E40DE3"/>
    <w:rsid w:val="752B15CB"/>
    <w:rsid w:val="75461083"/>
    <w:rsid w:val="758D55FA"/>
    <w:rsid w:val="75B33FD0"/>
    <w:rsid w:val="75E3349E"/>
    <w:rsid w:val="75E641D1"/>
    <w:rsid w:val="75FC4D15"/>
    <w:rsid w:val="762600DF"/>
    <w:rsid w:val="76944F4E"/>
    <w:rsid w:val="76A74C81"/>
    <w:rsid w:val="76E80CDE"/>
    <w:rsid w:val="773D4B7E"/>
    <w:rsid w:val="77AE4E7D"/>
    <w:rsid w:val="77BE6726"/>
    <w:rsid w:val="77D7778F"/>
    <w:rsid w:val="782E06E8"/>
    <w:rsid w:val="78673D6D"/>
    <w:rsid w:val="78825050"/>
    <w:rsid w:val="789E5578"/>
    <w:rsid w:val="78AF75C8"/>
    <w:rsid w:val="78B94302"/>
    <w:rsid w:val="79062C9A"/>
    <w:rsid w:val="79200D1B"/>
    <w:rsid w:val="79405BF6"/>
    <w:rsid w:val="794669D3"/>
    <w:rsid w:val="79477E3F"/>
    <w:rsid w:val="79532BAB"/>
    <w:rsid w:val="7A5549F4"/>
    <w:rsid w:val="7A5F7734"/>
    <w:rsid w:val="7ACB6801"/>
    <w:rsid w:val="7ACE310F"/>
    <w:rsid w:val="7AD90B9E"/>
    <w:rsid w:val="7B100FE4"/>
    <w:rsid w:val="7BBF044F"/>
    <w:rsid w:val="7BF24DCE"/>
    <w:rsid w:val="7C114B57"/>
    <w:rsid w:val="7C4F3DF1"/>
    <w:rsid w:val="7CA659DB"/>
    <w:rsid w:val="7CF404F4"/>
    <w:rsid w:val="7D72012F"/>
    <w:rsid w:val="7DA43CC8"/>
    <w:rsid w:val="7DC16618"/>
    <w:rsid w:val="7E1A042F"/>
    <w:rsid w:val="7E946EC3"/>
    <w:rsid w:val="7EE55E0F"/>
    <w:rsid w:val="7F130B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字符"/>
    <w:basedOn w:val="9"/>
    <w:link w:val="2"/>
    <w:autoRedefine/>
    <w:qFormat/>
    <w:uiPriority w:val="99"/>
  </w:style>
  <w:style w:type="character" w:customStyle="1" w:styleId="17">
    <w:name w:val="批注主题 字符"/>
    <w:basedOn w:val="16"/>
    <w:link w:val="7"/>
    <w:autoRedefine/>
    <w:semiHidden/>
    <w:qFormat/>
    <w:uiPriority w:val="99"/>
    <w:rPr>
      <w:b/>
      <w:bCs/>
    </w:rPr>
  </w:style>
  <w:style w:type="character" w:customStyle="1" w:styleId="18">
    <w:name w:val="批注框文本 字符"/>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5339</Words>
  <Characters>5370</Characters>
  <Lines>42</Lines>
  <Paragraphs>11</Paragraphs>
  <TotalTime>1</TotalTime>
  <ScaleCrop>false</ScaleCrop>
  <LinksUpToDate>false</LinksUpToDate>
  <CharactersWithSpaces>5378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2024-01-08T03:25:00Z</dcterms:created>
  <dc:creator>匿名用户</dc:creator>
  <cp:lastModifiedBy>CH07</cp:lastModifiedBy>
  <cp:lastPrinted>2024-01-08T01:30:00Z</cp:lastPrinted>
  <dcterms:modified xsi:type="dcterms:W3CDTF">2025-03-21T08:11:12Z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D5380D1718904A2993C17401DE5BA3EB_13</vt:lpwstr>
  </property>
  <property fmtid="{D5CDD505-2E9C-101B-9397-08002B2CF9AE}" pid="4" name="KSOTemplateDocerSaveRecord">
    <vt:lpwstr>eyJoZGlkIjoiODYyZDQwNzVhYWUzODA0M2M0NWYzNDUwMTdhMjY3ZTciLCJ1c2VySWQiOiIzNDM5ODc4NDkifQ==</vt:lpwstr>
  </property>
</Properties>
</file>