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w:t>
      </w:r>
      <w:r>
        <w:rPr>
          <w:rStyle w:val="27"/>
          <w:rFonts w:hint="eastAsia" w:ascii="黑体" w:hAnsi="黑体" w:eastAsia="黑体"/>
          <w:sz w:val="44"/>
          <w:szCs w:val="44"/>
          <w:lang w:val="en-US" w:eastAsia="zh-CN"/>
        </w:rPr>
        <w:t>开放式</w:t>
      </w:r>
      <w:r>
        <w:rPr>
          <w:rStyle w:val="27"/>
          <w:rFonts w:hint="eastAsia" w:ascii="黑体" w:hAnsi="黑体" w:eastAsia="黑体"/>
          <w:sz w:val="44"/>
          <w:szCs w:val="44"/>
        </w:rPr>
        <w:t>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w:t>
      </w:r>
      <w:r>
        <w:rPr>
          <w:rStyle w:val="27"/>
          <w:rFonts w:hint="eastAsia" w:ascii="宋体" w:hAnsi="宋体" w:cs="Times New Roman"/>
          <w:sz w:val="32"/>
          <w:szCs w:val="32"/>
          <w:lang w:val="en-US" w:eastAsia="zh-CN"/>
        </w:rPr>
        <w:t>2025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6</w:t>
      </w:r>
      <w:r>
        <w:rPr>
          <w:rStyle w:val="27"/>
          <w:rFonts w:hint="eastAsia" w:ascii="宋体" w:hAnsi="宋体" w:cs="Times New Roman"/>
          <w:sz w:val="32"/>
          <w:szCs w:val="32"/>
        </w:rPr>
        <w:t>】月</w:t>
      </w:r>
      <w:permEnd w:id="1"/>
    </w:p>
    <w:p>
      <w:pPr>
        <w:rPr>
          <w:rStyle w:val="27"/>
          <w:rFonts w:ascii="宋体" w:hAnsi="宋体"/>
          <w:sz w:val="32"/>
          <w:szCs w:val="32"/>
        </w:rPr>
      </w:pPr>
      <w:r>
        <w:rPr>
          <w:rStyle w:val="27"/>
          <w:rFonts w:ascii="宋体" w:hAnsi="宋体"/>
          <w:sz w:val="32"/>
          <w:szCs w:val="32"/>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"_Toc187685900"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_Toc187685900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"_Toc187685901"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_Toc187685901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"_Toc187685902"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_Toc187685902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"_Toc187685903"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_Toc187685903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"_Toc187685904"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_Toc187685904 \h </w:instrText>
          </w:r>
          <w:r>
            <w:fldChar w:fldCharType="separate"/>
          </w:r>
          <w:r>
            <w:t>18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"_Toc187685905"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_Toc187685905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"_Toc187685906"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_Toc187685906 \h </w:instrText>
          </w:r>
          <w:r>
            <w:fldChar w:fldCharType="separate"/>
          </w:r>
          <w:r>
            <w:t>22</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"_Toc187685907"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_Toc187685907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"_Toc187685908"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_Toc187685908 \h </w:instrText>
          </w:r>
          <w:r>
            <w:fldChar w:fldCharType="separate"/>
          </w:r>
          <w:r>
            <w:t>27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"_Toc187685909"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_Toc187685909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"_Toc187685910"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_Toc187685910 \h </w:instrText>
          </w:r>
          <w:r>
            <w:fldChar w:fldCharType="separate"/>
          </w:r>
          <w:r>
            <w:t>32</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"_Toc187685911"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_Toc187685911 \h </w:instrText>
          </w:r>
          <w:r>
            <w:fldChar w:fldCharType="separate"/>
          </w:r>
          <w:r>
            <w:t>34</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984884"/>
      <w:bookmarkStart w:id="2" w:name="_Toc187685900"/>
      <w:bookmarkStart w:id="3" w:name="_Toc92377130"/>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bookmarkEnd w:id="2"/>
      <w:bookmarkEnd w:id="3"/>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w:t>
      </w:r>
      <w:r>
        <w:rPr>
          <w:rFonts w:hint="eastAsia" w:hAnsi="宋体"/>
          <w:bCs/>
          <w:kern w:val="2"/>
          <w:sz w:val="18"/>
          <w:szCs w:val="18"/>
          <w:lang w:bidi="ar"/>
        </w:rPr>
        <w:t>自然人、法人或者依法成立的其他组织</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销售服务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指投资者在一段特定期间内提交预约申购申请，该预约申购申请在销售文件约定的申购申请日内自动转化为正式的申购申请。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cs="仿宋_GB2312"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（11）★投资周期：投资周期指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投资周期起始日：指每一个投资周期开始的日期。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投资周期终止日：指每一个投资周期结束的日期。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（12）产品存续期：指自理财产品成立日起，至理财产品终止日的期间。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（13）预约申购期：指投资者可以提交预约申购申请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）预约申购申请日：指投资者在预约申购期内任意一日提出预约申购申请的当日。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5</w:t>
      </w:r>
      <w:r>
        <w:rPr>
          <w:rFonts w:hint="eastAsia" w:asciiTheme="majorEastAsia" w:hAnsiTheme="majorEastAsia" w:eastAsiaTheme="majorEastAsia"/>
          <w:bCs/>
          <w:color w:val="auto"/>
          <w:sz w:val="18"/>
          <w:szCs w:val="18"/>
        </w:rPr>
        <w:t>）申购申请日：指投资者做出申购申请的当日。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）申购日：指产品管理人接受投资者申购申请的当日。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）申购确认日：指产品管理人确认投资者申购</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3</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4</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5</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w:t>
      </w:r>
      <w:r>
        <w:rPr>
          <w:rFonts w:hAnsi="宋体"/>
          <w:sz w:val="18"/>
          <w:szCs w:val="18"/>
        </w:rPr>
        <w:t>6</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4" w:name="_Toc92377131"/>
      <w:bookmarkStart w:id="5" w:name="_Toc79154665"/>
      <w:bookmarkStart w:id="6" w:name="_Toc187685901"/>
      <w:bookmarkStart w:id="7" w:name="_Toc116984885"/>
      <w:r>
        <w:rPr>
          <w:rFonts w:hint="eastAsia" w:hAnsi="宋体"/>
          <w:sz w:val="28"/>
          <w:szCs w:val="28"/>
        </w:rPr>
        <w:t>第二条  理财产品基本情况</w:t>
      </w:r>
      <w:bookmarkEnd w:id="4"/>
      <w:bookmarkEnd w:id="5"/>
      <w:bookmarkEnd w:id="6"/>
      <w:r>
        <w:rPr>
          <w:rFonts w:hint="eastAsia" w:hAnsi="宋体"/>
          <w:sz w:val="28"/>
          <w:szCs w:val="28"/>
        </w:rPr>
        <w:t xml:space="preserve"> </w:t>
      </w:r>
      <w:bookmarkEnd w:id="7"/>
    </w:p>
    <w:tbl>
      <w:tblPr>
        <w:tblStyle w:val="24"/>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704" w:type="dxa"/>
            <w:shd w:val="solid" w:color="FFFFFF" w:fill="FFFFFF"/>
          </w:tcPr>
          <w:p>
            <w:pPr>
              <w:spacing w:line="360" w:lineRule="auto"/>
              <w:jc w:val="left"/>
              <w:rPr>
                <w:rFonts w:ascii="宋体" w:hAnsi="宋体"/>
                <w:bCs/>
                <w:sz w:val="18"/>
                <w:szCs w:val="18"/>
              </w:rPr>
            </w:pPr>
            <w:r>
              <w:rPr>
                <w:rFonts w:hint="eastAsia" w:asciiTheme="majorEastAsia" w:hAnsiTheme="majorEastAsia" w:eastAsiaTheme="majorEastAsia"/>
                <w:bCs/>
                <w:kern w:val="0"/>
                <w:sz w:val="18"/>
                <w:szCs w:val="18"/>
              </w:rPr>
              <w:t>【兴银理财丰收3年开放</w:t>
            </w:r>
            <w:r>
              <w:rPr>
                <w:rFonts w:hint="eastAsia" w:asciiTheme="majorEastAsia" w:hAnsiTheme="majorEastAsia" w:eastAsiaTheme="majorEastAsia"/>
                <w:bCs/>
                <w:kern w:val="0"/>
                <w:sz w:val="18"/>
                <w:szCs w:val="18"/>
                <w:lang w:val="en-US" w:eastAsia="zh-CN"/>
              </w:rPr>
              <w:t>5</w:t>
            </w:r>
            <w:r>
              <w:rPr>
                <w:rFonts w:hint="eastAsia" w:asciiTheme="majorEastAsia" w:hAnsiTheme="majorEastAsia" w:eastAsiaTheme="majorEastAsia"/>
                <w:bCs/>
                <w:kern w:val="0"/>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【丰收3年开放</w:t>
            </w:r>
            <w:r>
              <w:rPr>
                <w:rFonts w:hint="eastAsia" w:ascii="宋体" w:hAnsi="宋体"/>
                <w:bCs/>
                <w:sz w:val="18"/>
                <w:szCs w:val="18"/>
                <w:lang w:val="en-US" w:eastAsia="zh-CN"/>
              </w:rPr>
              <w:t>5</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widowControl/>
              <w:spacing w:line="360" w:lineRule="auto"/>
              <w:jc w:val="left"/>
              <w:rPr>
                <w:rFonts w:ascii="宋体" w:hAnsi="宋体"/>
                <w:kern w:val="0"/>
                <w:sz w:val="22"/>
              </w:rPr>
            </w:pPr>
            <w:r>
              <w:rPr>
                <w:rFonts w:hint="eastAsia" w:ascii="宋体" w:hAnsi="宋体"/>
                <w:bCs/>
                <w:sz w:val="18"/>
                <w:szCs w:val="18"/>
              </w:rPr>
              <w:t>【丰收3年开放</w:t>
            </w:r>
            <w:r>
              <w:rPr>
                <w:rFonts w:hint="eastAsia" w:ascii="宋体" w:hAnsi="宋体"/>
                <w:bCs/>
                <w:sz w:val="18"/>
                <w:szCs w:val="18"/>
                <w:lang w:val="en-US" w:eastAsia="zh-CN"/>
              </w:rPr>
              <w:t>5</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Z7002025001065</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9C632050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【9C63205A】（适用【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Ansi="宋体"/>
                <w:sz w:val="18"/>
                <w:szCs w:val="18"/>
              </w:rPr>
            </w:pPr>
            <w:r>
              <w:rPr>
                <w:rFonts w:hint="eastAsia" w:ascii="宋体" w:hAnsi="宋体"/>
                <w:bCs/>
                <w:color w:val="000000" w:themeColor="text1"/>
                <w:sz w:val="18"/>
                <w:szCs w:val="18"/>
                <w14:textFill>
                  <w14:solidFill>
                    <w14:schemeClr w14:val="tx1"/>
                  </w14:solidFill>
                </w14:textFill>
              </w:rPr>
              <w:t>【9C63205B】（适用【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.本产品设置不同的理财产品份额，每类理财产品份额以下内容可能单独设置：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黑体" w:hAnsi="黑体" w:eastAsia="黑体"/>
                <w:bCs/>
                <w:sz w:val="18"/>
                <w:szCs w:val="18"/>
              </w:rPr>
            </w:pPr>
            <w:r>
              <w:rPr>
                <w:rFonts w:hint="eastAsia" w:ascii="黑体" w:hAnsi="黑体" w:eastAsia="黑体"/>
                <w:sz w:val="18"/>
                <w:szCs w:val="18"/>
              </w:rPr>
              <w:t>公募</w:t>
            </w:r>
            <w:r>
              <w:rPr>
                <w:rFonts w:hint="eastAsia" w:ascii="黑体" w:hAnsi="黑体" w:eastAsia="黑体"/>
                <w:bCs/>
                <w:sz w:val="18"/>
                <w:szCs w:val="18"/>
              </w:rPr>
              <w:t>、开放式、固定收益类、非保本浮动</w:t>
            </w:r>
            <w:r>
              <w:rPr>
                <w:rFonts w:ascii="黑体" w:hAnsi="黑体" w:eastAsia="黑体"/>
                <w:bCs/>
                <w:sz w:val="18"/>
                <w:szCs w:val="18"/>
              </w:rPr>
              <w:t>收益</w:t>
            </w:r>
            <w:r>
              <w:rPr>
                <w:rFonts w:hint="eastAsia" w:ascii="黑体" w:hAnsi="黑体" w:eastAsia="黑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固定收益类</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本产品</w:t>
            </w:r>
            <w:r>
              <w:rPr>
                <w:rFonts w:asciiTheme="majorEastAsia" w:hAnsiTheme="majorEastAsia" w:eastAsiaTheme="majorEastAsia"/>
                <w:bCs/>
                <w:color w:val="000000" w:themeColor="text1"/>
                <w:sz w:val="18"/>
                <w:szCs w:val="18"/>
                <w14:textFill>
                  <w14:solidFill>
                    <w14:schemeClr w14:val="tx1"/>
                  </w14:solidFill>
                </w14:textFill>
              </w:rPr>
              <w:t>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ascii="黑体" w:hAnsi="黑体" w:eastAsia="黑体"/>
                <w:sz w:val="18"/>
                <w:szCs w:val="18"/>
              </w:rPr>
              <w:t>注</w:t>
            </w:r>
            <w:r>
              <w:rPr>
                <w:rFonts w:hint="eastAsia" w:ascii="黑体" w:hAnsi="黑体" w:eastAsia="黑体"/>
                <w:sz w:val="18"/>
                <w:szCs w:val="18"/>
              </w:rPr>
              <w:t>：当销售机构销售产品风险评级为</w:t>
            </w:r>
            <w:r>
              <w:rPr>
                <w:rFonts w:ascii="黑体" w:hAnsi="黑体" w:eastAsia="黑体"/>
                <w:sz w:val="18"/>
                <w:szCs w:val="18"/>
              </w:rPr>
              <w:t>R4</w:t>
            </w:r>
            <w:r>
              <w:rPr>
                <w:rFonts w:hint="eastAsia" w:ascii="黑体" w:hAnsi="黑体" w:eastAsia="黑体"/>
                <w:sz w:val="18"/>
                <w:szCs w:val="18"/>
              </w:rPr>
              <w:t>及</w:t>
            </w:r>
            <w:r>
              <w:rPr>
                <w:rFonts w:ascii="黑体" w:hAnsi="黑体" w:eastAsia="黑体"/>
                <w:sz w:val="18"/>
                <w:szCs w:val="18"/>
              </w:rPr>
              <w:t>以上</w:t>
            </w:r>
            <w:r>
              <w:rPr>
                <w:rFonts w:hint="eastAsia" w:ascii="黑体" w:hAnsi="黑体" w:eastAsia="黑体"/>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20</w:t>
            </w:r>
            <w:r>
              <w:rPr>
                <w:rFonts w:hint="eastAsia" w:asciiTheme="majorEastAsia" w:hAnsiTheme="majorEastAsia" w:eastAsiaTheme="majorEastAsia"/>
                <w:bCs/>
                <w:sz w:val="18"/>
                <w:szCs w:val="18"/>
              </w:rPr>
              <w:t>】亿元，最小成立规模为【</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1100天</w:t>
            </w:r>
            <w:r>
              <w:rPr>
                <w:rFonts w:hint="eastAsia" w:asciiTheme="majorEastAsia" w:hAnsiTheme="majorEastAsia" w:eastAsiaTheme="majorEastAsia"/>
                <w:bCs/>
                <w:sz w:val="18"/>
                <w:szCs w:val="18"/>
              </w:rPr>
              <w:t>】</w:t>
            </w:r>
          </w:p>
          <w:p>
            <w:pPr>
              <w:spacing w:line="360" w:lineRule="auto"/>
              <w:rPr>
                <w:rFonts w:cs="仿宋_GB2312" w:asciiTheme="majorEastAsia" w:hAnsiTheme="majorEastAsia" w:eastAsiaTheme="majorEastAsia"/>
                <w:kern w:val="0"/>
                <w:sz w:val="18"/>
                <w:szCs w:val="18"/>
              </w:rPr>
            </w:pPr>
            <w:r>
              <w:rPr>
                <w:rFonts w:hint="eastAsia" w:ascii="宋体" w:hAnsi="宋体"/>
                <w:sz w:val="18"/>
                <w:szCs w:val="18"/>
              </w:rPr>
              <w:t>□</w:t>
            </w:r>
            <w:r>
              <w:rPr>
                <w:rFonts w:hint="eastAsia" w:cs="仿宋_GB2312" w:asciiTheme="majorEastAsia" w:hAnsiTheme="majorEastAsia" w:eastAsiaTheme="majorEastAsia"/>
                <w:kern w:val="0"/>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25</w:t>
            </w:r>
            <w:r>
              <w:rPr>
                <w:rFonts w:hint="eastAsia" w:cs="Times New Roman" w:asciiTheme="minorEastAsia" w:hAnsiTheme="minorEastAsia"/>
                <w:sz w:val="18"/>
                <w:szCs w:val="18"/>
              </w:rPr>
              <w:t>】日【</w:t>
            </w:r>
            <w:r>
              <w:rPr>
                <w:rFonts w:hint="eastAsia" w:cs="Times New Roman" w:asciiTheme="minorEastAsia" w:hAnsiTheme="minorEastAsia"/>
                <w:sz w:val="18"/>
                <w:szCs w:val="18"/>
                <w:lang w:val="en-US" w:eastAsia="zh-CN"/>
              </w:rPr>
              <w:t>09:00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w:t>
            </w:r>
            <w:r>
              <w:rPr>
                <w:rFonts w:hint="eastAsia" w:asciiTheme="majorEastAsia" w:hAnsiTheme="majorEastAsia" w:eastAsiaTheme="majorEastAsia"/>
                <w:sz w:val="18"/>
                <w:szCs w:val="18"/>
                <w:lang w:val="en-US" w:eastAsia="zh-CN"/>
              </w:rPr>
              <w:t>17:00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inorEastAsia" w:hAnsiTheme="minorEastAsia"/>
                <w:b/>
                <w:bCs/>
                <w:sz w:val="18"/>
                <w:szCs w:val="18"/>
              </w:rPr>
            </w:pPr>
            <w:r>
              <w:rPr>
                <w:rFonts w:hint="eastAsia" w:asciiTheme="minorEastAsia" w:hAnsiTheme="minorEastAsia"/>
                <w:b/>
                <w:bCs/>
                <w:sz w:val="18"/>
                <w:szCs w:val="18"/>
              </w:rPr>
              <w:t>终止日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2028</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inorEastAsia" w:hAnsiTheme="minorEastAsia"/>
                <w:bCs/>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投资</w:t>
            </w:r>
            <w:r>
              <w:rPr>
                <w:rFonts w:asciiTheme="majorEastAsia" w:hAnsiTheme="majorEastAsia" w:eastAsiaTheme="majorEastAsia"/>
                <w:b/>
                <w:sz w:val="18"/>
                <w:szCs w:val="18"/>
              </w:rPr>
              <w:t>周期</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inorEastAsia" w:hAnsiTheme="minorEastAsia" w:eastAsiaTheme="minorEastAsia"/>
                <w:bCs/>
                <w:color w:val="000000" w:themeColor="text1"/>
                <w:sz w:val="18"/>
                <w:szCs w:val="18"/>
                <w14:textFill>
                  <w14:solidFill>
                    <w14:schemeClr w14:val="tx1"/>
                  </w14:solidFill>
                </w14:textFill>
              </w:rPr>
              <w:t>1</w:t>
            </w:r>
            <w:r>
              <w:rPr>
                <w:rFonts w:asciiTheme="majorEastAsia" w:hAnsiTheme="majorEastAsia" w:eastAsiaTheme="majorEastAsia"/>
                <w:bCs/>
                <w:color w:val="000000" w:themeColor="text1"/>
                <w:sz w:val="18"/>
                <w:szCs w:val="18"/>
                <w14:textFill>
                  <w14:solidFill>
                    <w14:schemeClr w14:val="tx1"/>
                  </w14:solidFill>
                </w14:textFill>
              </w:rPr>
              <w:t>.投资周期的设置</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w:t>
            </w:r>
            <w:r>
              <w:rPr>
                <w:rFonts w:hint="eastAsia" w:asciiTheme="majorEastAsia" w:hAnsiTheme="majorEastAsia" w:eastAsiaTheme="majorEastAsia"/>
                <w:bCs/>
                <w:color w:val="000000" w:themeColor="text1"/>
                <w:sz w:val="18"/>
                <w:szCs w:val="18"/>
                <w14:textFill>
                  <w14:solidFill>
                    <w14:schemeClr w14:val="tx1"/>
                  </w14:solidFill>
                </w14:textFill>
              </w:rPr>
              <w:t>投资周期指</w:t>
            </w:r>
            <w:r>
              <w:rPr>
                <w:rFonts w:hint="eastAsia" w:asciiTheme="minorEastAsia" w:hAnsiTheme="minorEastAsia" w:eastAsiaTheme="minorEastAsia"/>
                <w:bCs/>
                <w:color w:val="000000" w:themeColor="text1"/>
                <w:sz w:val="18"/>
                <w:szCs w:val="18"/>
                <w14:textFill>
                  <w14:solidFill>
                    <w14:schemeClr w14:val="tx1"/>
                  </w14:solidFill>
                </w14:textFill>
              </w:rPr>
              <w:t>投资者</w:t>
            </w:r>
            <w:r>
              <w:rPr>
                <w:rFonts w:asciiTheme="minorEastAsia" w:hAnsiTheme="minorEastAsia" w:eastAsiaTheme="minorEastAsia"/>
                <w:bCs/>
                <w:color w:val="000000" w:themeColor="text1"/>
                <w:sz w:val="18"/>
                <w:szCs w:val="18"/>
                <w14:textFill>
                  <w14:solidFill>
                    <w14:schemeClr w14:val="tx1"/>
                  </w14:solidFill>
                </w14:textFill>
              </w:rPr>
              <w:t>持有理财产品份额</w:t>
            </w:r>
            <w:r>
              <w:rPr>
                <w:rFonts w:hint="eastAsia" w:asciiTheme="minorEastAsia" w:hAnsiTheme="minorEastAsia" w:eastAsiaTheme="minorEastAsia"/>
                <w:bCs/>
                <w:color w:val="000000" w:themeColor="text1"/>
                <w:sz w:val="18"/>
                <w:szCs w:val="18"/>
                <w14:textFill>
                  <w14:solidFill>
                    <w14:schemeClr w14:val="tx1"/>
                  </w14:solidFill>
                </w14:textFill>
              </w:rPr>
              <w:t>所对应的理财资金由产品管理人进行投资运作的一段完整期间。</w:t>
            </w:r>
          </w:p>
          <w:p>
            <w:pPr>
              <w:spacing w:line="360" w:lineRule="auto"/>
              <w:rPr>
                <w:rFonts w:cs="仿宋_GB2312"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（2）每一个投资周期的期间：自投资者持有理财产品份额的认购确认日或申购确认日起至持有该产品份额经历一个投资周期后的最近一个赎回确认日或产品终止日的期间</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w:t>
            </w:r>
            <w:r>
              <w:rPr>
                <w:rFonts w:asciiTheme="minorEastAsia" w:hAnsiTheme="minorEastAsia" w:eastAsiaTheme="min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正常情况下，本产品的一个投资周期为【</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3年</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投资周期存在长于或短于【</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3年</w:t>
            </w:r>
            <w:r>
              <w:rPr>
                <w:rFonts w:hint="eastAsia" w:asciiTheme="majorEastAsia" w:hAnsiTheme="majorEastAsia" w:eastAsiaTheme="majorEastAsia"/>
                <w:bCs/>
                <w:color w:val="000000" w:themeColor="text1"/>
                <w:sz w:val="18"/>
                <w:szCs w:val="18"/>
                <w14:textFill>
                  <w14:solidFill>
                    <w14:schemeClr w14:val="tx1"/>
                  </w14:solidFill>
                </w14:textFill>
              </w:rPr>
              <w:t>】的可能，投资者具体投资周期以本产品说明书“申购</w:t>
            </w:r>
            <w:r>
              <w:rPr>
                <w:rFonts w:asciiTheme="majorEastAsia" w:hAnsiTheme="majorEastAsia" w:eastAsiaTheme="majorEastAsia"/>
                <w:bCs/>
                <w:color w:val="000000" w:themeColor="text1"/>
                <w:sz w:val="18"/>
                <w:szCs w:val="18"/>
                <w14:textFill>
                  <w14:solidFill>
                    <w14:schemeClr w14:val="tx1"/>
                  </w14:solidFill>
                </w14:textFill>
              </w:rPr>
              <w:t>安排</w:t>
            </w:r>
            <w:r>
              <w:rPr>
                <w:rFonts w:hint="eastAsia" w:asciiTheme="majorEastAsia" w:hAnsiTheme="majorEastAsia" w:eastAsiaTheme="majorEastAsia"/>
                <w:bCs/>
                <w:color w:val="000000" w:themeColor="text1"/>
                <w:sz w:val="18"/>
                <w:szCs w:val="18"/>
                <w14:textFill>
                  <w14:solidFill>
                    <w14:schemeClr w14:val="tx1"/>
                  </w14:solidFill>
                </w14:textFill>
              </w:rPr>
              <w:t>”所载明的时间计算为准。投资周期终止日如遇非工作日则产品管理人做相应调整。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2.投资周期的参与</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1）本产品成立前，投资者可通过认购方式参与本产品的第一个投资周期。</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cs="仿宋_GB2312" w:asciiTheme="majorEastAsia" w:hAnsiTheme="majorEastAsia" w:eastAsiaTheme="majorEastAsia"/>
                <w:color w:val="000000" w:themeColor="text1"/>
                <w:kern w:val="0"/>
                <w:sz w:val="18"/>
                <w:szCs w:val="18"/>
                <w14:textFill>
                  <w14:solidFill>
                    <w14:schemeClr w14:val="tx1"/>
                  </w14:solidFill>
                </w14:textFill>
              </w:rPr>
              <w:t>2）本产品成立后，投资者可通过预约申购方式参与本产品的不同投资周期。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本产品</w:t>
            </w:r>
            <w:r>
              <w:rPr>
                <w:rFonts w:cs="仿宋_GB2312" w:asciiTheme="majorEastAsia" w:hAnsiTheme="majorEastAsia" w:eastAsiaTheme="majorEastAsia"/>
                <w:color w:val="000000" w:themeColor="text1"/>
                <w:kern w:val="0"/>
                <w:sz w:val="18"/>
                <w:szCs w:val="18"/>
                <w14:textFill>
                  <w14:solidFill>
                    <w14:schemeClr w14:val="tx1"/>
                  </w14:solidFill>
                </w14:textFill>
              </w:rPr>
              <w:t>成立后管理人可根据募集情况设置预约申购期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hint="eastAsia" w:ascii="宋体" w:hAnsi="宋体" w:cs="仿宋_GB2312"/>
                <w:kern w:val="0"/>
                <w:sz w:val="18"/>
                <w:szCs w:val="18"/>
              </w:rPr>
              <w:t>投资者可在预约申购期内提交预约申购申请</w:t>
            </w:r>
            <w:r>
              <w:rPr>
                <w:rFonts w:hint="eastAsia" w:asciiTheme="minorEastAsia" w:hAnsiTheme="minorEastAsia" w:eastAsiaTheme="minorEastAsia"/>
                <w:bCs/>
                <w:sz w:val="18"/>
                <w:szCs w:val="18"/>
              </w:rPr>
              <w:t>。</w:t>
            </w:r>
          </w:p>
          <w:p>
            <w:pPr>
              <w:spacing w:line="360" w:lineRule="auto"/>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3.</w:t>
            </w:r>
            <w:r>
              <w:rPr>
                <w:rFonts w:hint="eastAsia" w:ascii="黑体" w:hAnsi="黑体" w:eastAsia="黑体"/>
                <w:color w:val="000000" w:themeColor="text1"/>
                <w:sz w:val="18"/>
                <w:szCs w:val="18"/>
                <w14:textFill>
                  <w14:solidFill>
                    <w14:schemeClr w14:val="tx1"/>
                  </w14:solidFill>
                </w14:textFill>
              </w:rPr>
              <w:t>投资周期的调整</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产品管理人有权调整投资周期，调整后的投资周期以产品管理人发布的公告为准。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申购安排</w:t>
            </w:r>
          </w:p>
        </w:tc>
        <w:tc>
          <w:tcPr>
            <w:tcW w:w="7704" w:type="dxa"/>
            <w:shd w:val="solid" w:color="FFFFFF" w:fill="FFFFFF"/>
          </w:tcPr>
          <w:p>
            <w:pPr>
              <w:spacing w:line="360" w:lineRule="auto"/>
              <w:rPr>
                <w:rFonts w:cs="Times New Roman" w:asciiTheme="minorEastAsia" w:hAnsiTheme="minorEastAsia"/>
                <w:sz w:val="18"/>
                <w:szCs w:val="18"/>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1.</w:t>
            </w:r>
            <w:r>
              <w:rPr>
                <w:rFonts w:hint="eastAsia" w:cs="Times New Roman" w:asciiTheme="minorEastAsia" w:hAnsiTheme="minorEastAsia"/>
                <w:sz w:val="18"/>
                <w:szCs w:val="18"/>
              </w:rPr>
              <w:t>本产品成立后，开放多个预约申购期。</w:t>
            </w:r>
          </w:p>
          <w:p>
            <w:pPr>
              <w:spacing w:line="360" w:lineRule="auto"/>
              <w:rPr>
                <w:rFonts w:asciiTheme="majorEastAsia" w:hAnsi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2</w:t>
            </w:r>
            <w:r>
              <w:rPr>
                <w:rFonts w:cs="Times New Roman" w:asciiTheme="minorEastAsia" w:hAnsiTheme="minorEastAsia"/>
                <w:sz w:val="18"/>
                <w:szCs w:val="18"/>
              </w:rPr>
              <w:t>.</w:t>
            </w:r>
            <w:r>
              <w:rPr>
                <w:rFonts w:hint="eastAsia" w:cs="Times New Roman" w:asciiTheme="minorEastAsia" w:hAnsiTheme="minorEastAsia"/>
                <w:sz w:val="18"/>
                <w:szCs w:val="18"/>
              </w:rPr>
              <w:t>预约申购安排</w:t>
            </w:r>
          </w:p>
          <w:p>
            <w:pPr>
              <w:spacing w:line="360" w:lineRule="auto"/>
              <w:rPr>
                <w:rFonts w:cs="Times New Roman" w:asciiTheme="minorEastAsia" w:hAnsiTheme="minorEastAsia"/>
                <w:sz w:val="18"/>
                <w:szCs w:val="18"/>
              </w:rPr>
            </w:pPr>
            <w:r>
              <w:rPr>
                <w:rFonts w:hint="eastAsia" w:cs="Times New Roman" w:asciiTheme="minorEastAsia" w:hAnsiTheme="minorEastAsia"/>
                <w:sz w:val="18"/>
                <w:szCs w:val="18"/>
              </w:rPr>
              <w:t>（1）申购的时间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7</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09:00</w:t>
            </w:r>
            <w:r>
              <w:rPr>
                <w:rFonts w:hint="eastAsia" w:asciiTheme="majorEastAsia" w:hAnsiTheme="majorEastAsia" w:eastAsiaTheme="majorEastAsia"/>
                <w:bCs/>
                <w:color w:val="000000" w:themeColor="text1"/>
                <w:sz w:val="18"/>
                <w:szCs w:val="18"/>
                <w14:textFill>
                  <w14:solidFill>
                    <w14:schemeClr w14:val="tx1"/>
                  </w14:solidFill>
                </w14:textFill>
              </w:rPr>
              <w:t>】至【</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7</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8</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17:00</w:t>
            </w:r>
            <w:r>
              <w:rPr>
                <w:rFonts w:hint="eastAsia" w:asciiTheme="majorEastAsia" w:hAnsiTheme="majorEastAsia" w:eastAsiaTheme="majorEastAsia"/>
                <w:bCs/>
                <w:color w:val="000000" w:themeColor="text1"/>
                <w:sz w:val="18"/>
                <w:szCs w:val="18"/>
                <w14:textFill>
                  <w14:solidFill>
                    <w14:schemeClr w14:val="tx1"/>
                  </w14:solidFill>
                </w14:textFill>
              </w:rPr>
              <w:t>】，投资</w:t>
            </w:r>
            <w:r>
              <w:rPr>
                <w:rFonts w:asciiTheme="majorEastAsia" w:hAnsiTheme="majorEastAsia" w:eastAsiaTheme="majorEastAsia"/>
                <w:bCs/>
                <w:color w:val="000000" w:themeColor="text1"/>
                <w:sz w:val="18"/>
                <w:szCs w:val="18"/>
                <w14:textFill>
                  <w14:solidFill>
                    <w14:schemeClr w14:val="tx1"/>
                  </w14:solidFill>
                </w14:textFill>
              </w:rPr>
              <w:t>周期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1093天</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7</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9</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09:00</w:t>
            </w:r>
            <w:r>
              <w:rPr>
                <w:rFonts w:hint="eastAsia" w:asciiTheme="majorEastAsia" w:hAnsiTheme="majorEastAsia" w:eastAsiaTheme="majorEastAsia"/>
                <w:bCs/>
                <w:color w:val="000000" w:themeColor="text1"/>
                <w:sz w:val="18"/>
                <w:szCs w:val="18"/>
                <w14:textFill>
                  <w14:solidFill>
                    <w14:schemeClr w14:val="tx1"/>
                  </w14:solidFill>
                </w14:textFill>
              </w:rPr>
              <w:t>】至【</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7</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15</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17:00</w:t>
            </w:r>
            <w:r>
              <w:rPr>
                <w:rFonts w:hint="eastAsia" w:asciiTheme="majorEastAsia" w:hAnsiTheme="majorEastAsia" w:eastAsiaTheme="majorEastAsia"/>
                <w:bCs/>
                <w:color w:val="000000" w:themeColor="text1"/>
                <w:sz w:val="18"/>
                <w:szCs w:val="18"/>
                <w14:textFill>
                  <w14:solidFill>
                    <w14:schemeClr w14:val="tx1"/>
                  </w14:solidFill>
                </w14:textFill>
              </w:rPr>
              <w:t>】，投资</w:t>
            </w:r>
            <w:r>
              <w:rPr>
                <w:rFonts w:asciiTheme="majorEastAsia" w:hAnsiTheme="majorEastAsia" w:eastAsiaTheme="majorEastAsia"/>
                <w:bCs/>
                <w:color w:val="000000" w:themeColor="text1"/>
                <w:sz w:val="18"/>
                <w:szCs w:val="18"/>
                <w14:textFill>
                  <w14:solidFill>
                    <w14:schemeClr w14:val="tx1"/>
                  </w14:solidFill>
                </w14:textFill>
              </w:rPr>
              <w:t>周期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1086天</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7</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16</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09:00</w:t>
            </w:r>
            <w:r>
              <w:rPr>
                <w:rFonts w:hint="eastAsia" w:asciiTheme="majorEastAsia" w:hAnsiTheme="majorEastAsia" w:eastAsiaTheme="majorEastAsia"/>
                <w:bCs/>
                <w:color w:val="000000" w:themeColor="text1"/>
                <w:sz w:val="18"/>
                <w:szCs w:val="18"/>
                <w14:textFill>
                  <w14:solidFill>
                    <w14:schemeClr w14:val="tx1"/>
                  </w14:solidFill>
                </w14:textFill>
              </w:rPr>
              <w:t>】至【</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7</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22</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17:00</w:t>
            </w:r>
            <w:r>
              <w:rPr>
                <w:rFonts w:hint="eastAsia" w:asciiTheme="majorEastAsia" w:hAnsiTheme="majorEastAsia" w:eastAsiaTheme="majorEastAsia"/>
                <w:bCs/>
                <w:color w:val="000000" w:themeColor="text1"/>
                <w:sz w:val="18"/>
                <w:szCs w:val="18"/>
                <w14:textFill>
                  <w14:solidFill>
                    <w14:schemeClr w14:val="tx1"/>
                  </w14:solidFill>
                </w14:textFill>
              </w:rPr>
              <w:t>】，投资</w:t>
            </w:r>
            <w:r>
              <w:rPr>
                <w:rFonts w:asciiTheme="majorEastAsia" w:hAnsiTheme="majorEastAsia" w:eastAsiaTheme="majorEastAsia"/>
                <w:bCs/>
                <w:color w:val="000000" w:themeColor="text1"/>
                <w:sz w:val="18"/>
                <w:szCs w:val="18"/>
                <w14:textFill>
                  <w14:solidFill>
                    <w14:schemeClr w14:val="tx1"/>
                  </w14:solidFill>
                </w14:textFill>
              </w:rPr>
              <w:t>周期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1079天</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7</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23</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09:00</w:t>
            </w:r>
            <w:r>
              <w:rPr>
                <w:rFonts w:hint="eastAsia" w:asciiTheme="majorEastAsia" w:hAnsiTheme="majorEastAsia" w:eastAsiaTheme="majorEastAsia"/>
                <w:bCs/>
                <w:color w:val="000000" w:themeColor="text1"/>
                <w:sz w:val="18"/>
                <w:szCs w:val="18"/>
                <w14:textFill>
                  <w14:solidFill>
                    <w14:schemeClr w14:val="tx1"/>
                  </w14:solidFill>
                </w14:textFill>
              </w:rPr>
              <w:t>】至【</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7</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29</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17:00</w:t>
            </w:r>
            <w:r>
              <w:rPr>
                <w:rFonts w:hint="eastAsia" w:asciiTheme="majorEastAsia" w:hAnsiTheme="majorEastAsia" w:eastAsiaTheme="majorEastAsia"/>
                <w:bCs/>
                <w:color w:val="000000" w:themeColor="text1"/>
                <w:sz w:val="18"/>
                <w:szCs w:val="18"/>
                <w14:textFill>
                  <w14:solidFill>
                    <w14:schemeClr w14:val="tx1"/>
                  </w14:solidFill>
                </w14:textFill>
              </w:rPr>
              <w:t>】，投资</w:t>
            </w:r>
            <w:r>
              <w:rPr>
                <w:rFonts w:asciiTheme="majorEastAsia" w:hAnsiTheme="majorEastAsia" w:eastAsiaTheme="majorEastAsia"/>
                <w:bCs/>
                <w:color w:val="000000" w:themeColor="text1"/>
                <w:sz w:val="18"/>
                <w:szCs w:val="18"/>
                <w14:textFill>
                  <w14:solidFill>
                    <w14:schemeClr w14:val="tx1"/>
                  </w14:solidFill>
                </w14:textFill>
              </w:rPr>
              <w:t>周期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1072天</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（2）申购的确认</w:t>
            </w:r>
          </w:p>
          <w:tbl>
            <w:tblPr>
              <w:tblStyle w:val="25"/>
              <w:tblW w:w="71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03"/>
              <w:gridCol w:w="2551"/>
              <w:gridCol w:w="1276"/>
              <w:gridCol w:w="17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603"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预约申购申请日</w:t>
                  </w:r>
                </w:p>
              </w:tc>
              <w:tc>
                <w:tcPr>
                  <w:tcW w:w="2551" w:type="dxa"/>
                  <w:vAlign w:val="center"/>
                </w:tcPr>
                <w:p>
                  <w:pPr>
                    <w:pStyle w:val="34"/>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申购申请日和申购日</w:t>
                  </w:r>
                </w:p>
              </w:tc>
              <w:tc>
                <w:tcPr>
                  <w:tcW w:w="1276"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申购确认日</w:t>
                  </w:r>
                </w:p>
              </w:tc>
              <w:tc>
                <w:tcPr>
                  <w:tcW w:w="1760"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7" w:hRule="atLeast"/>
                <w:jc w:val="center"/>
              </w:trPr>
              <w:tc>
                <w:tcPr>
                  <w:tcW w:w="1603" w:type="dxa"/>
                </w:tcPr>
                <w:p>
                  <w:pPr>
                    <w:pStyle w:val="34"/>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为预约申购期内任意一日。</w:t>
                  </w:r>
                </w:p>
              </w:tc>
              <w:tc>
                <w:tcPr>
                  <w:tcW w:w="2551" w:type="dxa"/>
                </w:tcPr>
                <w:p>
                  <w:pPr>
                    <w:pStyle w:val="34"/>
                    <w:spacing w:line="360" w:lineRule="auto"/>
                    <w:jc w:val="both"/>
                    <w:rPr>
                      <w:rFonts w:ascii="黑体" w:hAnsi="黑体" w:eastAsia="黑体" w:cs="Times New Roman"/>
                      <w:color w:val="auto"/>
                      <w:sz w:val="18"/>
                      <w:szCs w:val="18"/>
                    </w:rPr>
                  </w:pPr>
                  <w:r>
                    <w:rPr>
                      <w:rFonts w:hint="eastAsia" w:cs="Times New Roman" w:asciiTheme="minorEastAsia" w:hAnsiTheme="minorEastAsia" w:eastAsiaTheme="minorEastAsia"/>
                      <w:color w:val="auto"/>
                      <w:sz w:val="18"/>
                      <w:szCs w:val="18"/>
                    </w:rPr>
                    <w:t>申购申请日：预约申购期内最后一个工作日为申购申请日</w:t>
                  </w:r>
                  <w:r>
                    <w:rPr>
                      <w:rFonts w:hint="eastAsia" w:ascii="黑体" w:hAnsi="黑体" w:eastAsia="黑体" w:cs="Times New Roman"/>
                      <w:color w:val="auto"/>
                      <w:sz w:val="18"/>
                      <w:szCs w:val="18"/>
                    </w:rPr>
                    <w:t>（注：在申购申请日，投资者的预约申购申请自动转化为申购申请）。</w:t>
                  </w:r>
                </w:p>
                <w:p>
                  <w:pPr>
                    <w:pStyle w:val="34"/>
                    <w:spacing w:line="360" w:lineRule="auto"/>
                    <w:jc w:val="both"/>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申购</w:t>
                  </w:r>
                  <w:r>
                    <w:rPr>
                      <w:rFonts w:cs="Times New Roman" w:asciiTheme="minorEastAsia" w:hAnsiTheme="minorEastAsia" w:eastAsiaTheme="minorEastAsia"/>
                      <w:color w:val="auto"/>
                      <w:sz w:val="18"/>
                      <w:szCs w:val="18"/>
                    </w:rPr>
                    <w:t>日</w:t>
                  </w:r>
                  <w:r>
                    <w:rPr>
                      <w:rFonts w:hint="eastAsia" w:cs="Times New Roman" w:asciiTheme="minorEastAsia" w:hAnsiTheme="minorEastAsia" w:eastAsiaTheme="minorEastAsia"/>
                      <w:color w:val="auto"/>
                      <w:sz w:val="18"/>
                      <w:szCs w:val="18"/>
                    </w:rPr>
                    <w:t>：与申购申请日为同一日</w:t>
                  </w:r>
                  <w:r>
                    <w:rPr>
                      <w:rFonts w:hint="eastAsia" w:ascii="黑体" w:hAnsi="黑体" w:eastAsia="黑体" w:cs="Times New Roman"/>
                      <w:color w:val="auto"/>
                      <w:sz w:val="18"/>
                      <w:szCs w:val="18"/>
                    </w:rPr>
                    <w:t>（注：</w:t>
                  </w:r>
                  <w:r>
                    <w:rPr>
                      <w:rFonts w:ascii="黑体" w:hAnsi="黑体" w:eastAsia="黑体" w:cs="Times New Roman"/>
                      <w:color w:val="auto"/>
                      <w:sz w:val="18"/>
                      <w:szCs w:val="18"/>
                    </w:rPr>
                    <w:t>前述</w:t>
                  </w:r>
                  <w:r>
                    <w:rPr>
                      <w:rFonts w:hint="eastAsia" w:ascii="黑体" w:hAnsi="黑体" w:eastAsia="黑体" w:cs="Times New Roman"/>
                      <w:color w:val="auto"/>
                      <w:sz w:val="18"/>
                      <w:szCs w:val="18"/>
                    </w:rPr>
                    <w:t>申购申请视为在申购申请日的交易时间内做出，故申购申请日即为申购日）。</w:t>
                  </w:r>
                </w:p>
              </w:tc>
              <w:tc>
                <w:tcPr>
                  <w:tcW w:w="1276"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申购日后【</w:t>
                  </w:r>
                  <w:r>
                    <w:rPr>
                      <w:rFonts w:hint="eastAsia" w:cs="Times New Roman" w:asciiTheme="minorEastAsia" w:hAnsiTheme="minorEastAsia" w:eastAsiaTheme="minorEastAsia"/>
                      <w:bCs/>
                      <w:sz w:val="18"/>
                      <w:szCs w:val="18"/>
                      <w:lang w:val="en-US" w:eastAsia="zh-CN"/>
                    </w:rPr>
                    <w:t>1</w:t>
                  </w:r>
                  <w:r>
                    <w:rPr>
                      <w:rFonts w:hint="eastAsia" w:cs="Times New Roman" w:asciiTheme="minorEastAsia" w:hAnsiTheme="minorEastAsia" w:eastAsiaTheme="minorEastAsia"/>
                      <w:bCs/>
                      <w:sz w:val="18"/>
                      <w:szCs w:val="18"/>
                    </w:rPr>
                    <w:t>】个工作日内。</w:t>
                  </w:r>
                </w:p>
              </w:tc>
              <w:tc>
                <w:tcPr>
                  <w:tcW w:w="1760"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产品管理人在申购确认日对投资者的申购申请的有效性进行确认，并登记理财份额。</w:t>
                  </w:r>
                </w:p>
              </w:tc>
            </w:tr>
          </w:tbl>
          <w:p>
            <w:pPr>
              <w:spacing w:line="360" w:lineRule="auto"/>
              <w:rPr>
                <w:rFonts w:ascii="黑体" w:hAnsi="黑体" w:eastAsia="黑体" w:cs="黑体"/>
                <w:sz w:val="18"/>
                <w:szCs w:val="18"/>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sz w:val="18"/>
                <w:szCs w:val="18"/>
              </w:rPr>
              <w:t>本产品成立后可设置多个预约申购期。</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3</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的起始日和终止日如遇非工作日，则产品管理人做相应调整。</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关于代理销售机构的实际销售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②代理销售机构的实际销售起点金额，</w:t>
            </w:r>
            <w:r>
              <w:rPr>
                <w:rFonts w:ascii="黑体" w:hAnsi="黑体" w:eastAsia="黑体"/>
                <w:bCs/>
                <w:color w:val="000000" w:themeColor="text1"/>
                <w:sz w:val="18"/>
                <w:szCs w:val="18"/>
                <w14:textFill>
                  <w14:solidFill>
                    <w14:schemeClr w14:val="tx1"/>
                  </w14:solidFill>
                </w14:textFill>
              </w:rPr>
              <w:t>不得低于</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文件约定的</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★认购、申购的数量限制</w:t>
            </w:r>
          </w:p>
        </w:tc>
        <w:tc>
          <w:tcPr>
            <w:tcW w:w="7704" w:type="dxa"/>
            <w:shd w:val="solid" w:color="FFFFFF" w:fill="FFFFFF"/>
            <w:vAlign w:val="center"/>
          </w:tcPr>
          <w:p>
            <w:pPr>
              <w:pStyle w:val="34"/>
              <w:spacing w:line="360" w:lineRule="auto"/>
              <w:rPr>
                <w:rFonts w:asciiTheme="minorEastAsia" w:hAnsiTheme="minorEastAsia" w:eastAsiaTheme="minorEastAsia"/>
                <w:color w:val="auto"/>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34"/>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】。如需突破上限，请与产品管理人或销售机构客户经理联系。</w:t>
            </w:r>
          </w:p>
          <w:p>
            <w:pPr>
              <w:pStyle w:val="34"/>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w:t>
            </w:r>
            <w:r>
              <w:rPr>
                <w:rFonts w:ascii="黑体" w:hAnsi="黑体" w:eastAsia="黑体"/>
                <w:bCs/>
                <w:color w:val="000000" w:themeColor="text1"/>
                <w:sz w:val="18"/>
                <w:szCs w:val="18"/>
                <w14:textFill>
                  <w14:solidFill>
                    <w14:schemeClr w14:val="tx1"/>
                  </w14:solidFill>
                </w14:textFill>
              </w:rPr>
              <w:t>50%。</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pStyle w:val="34"/>
              <w:spacing w:line="360" w:lineRule="auto"/>
              <w:rPr>
                <w:rFonts w:asciiTheme="minorEastAsia" w:hAnsiTheme="minorEastAsia" w:eastAsiaTheme="minorEastAsia"/>
                <w:color w:val="auto"/>
                <w:sz w:val="18"/>
                <w:szCs w:val="18"/>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日之前的估值日公布的产品份额净值已扣除理财产品的费用和税收。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宋体"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宋体" w:hAnsi="宋体"/>
                <w:bCs/>
                <w:sz w:val="18"/>
                <w:szCs w:val="18"/>
              </w:rPr>
            </w:pPr>
            <w:r>
              <w:rPr>
                <w:rFonts w:ascii="宋体" w:hAnsi="宋体"/>
                <w:bCs/>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产品管理人设置业绩比较基准。</w:t>
            </w:r>
          </w:p>
          <w:p>
            <w:pPr>
              <w:spacing w:line="360" w:lineRule="auto"/>
              <w:jc w:val="left"/>
              <w:rPr>
                <w:rFonts w:asciiTheme="majorEastAsia" w:hAnsiTheme="majorEastAsia"/>
                <w:bCs/>
                <w:sz w:val="18"/>
                <w:szCs w:val="18"/>
              </w:rPr>
            </w:pPr>
            <w:r>
              <w:rPr>
                <w:rFonts w:hint="eastAsia" w:ascii="宋体" w:hAnsi="宋体"/>
                <w:bCs/>
                <w:sz w:val="18"/>
                <w:szCs w:val="18"/>
              </w:rPr>
              <w:t>（1）业绩比较基准的说明：【根据本产品各类资产的拟投资比例、资产信用利差、久期敞口以及流动性溢价，结合当前宏观环境和各类资产价格所处的位置，参考历史经验和回测结果</w:t>
            </w:r>
            <w:r>
              <w:rPr>
                <w:rFonts w:ascii="宋体" w:hAnsi="宋体"/>
                <w:bCs/>
                <w:sz w:val="18"/>
                <w:szCs w:val="18"/>
              </w:rPr>
              <w:t>】</w:t>
            </w:r>
            <w:r>
              <w:rPr>
                <w:rFonts w:hint="eastAsia" w:ascii="宋体" w:hAnsi="宋体"/>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业绩比较基准的设定</w:t>
            </w:r>
            <w:r>
              <w:rPr>
                <w:rFonts w:hint="eastAsia" w:asciiTheme="majorEastAsia" w:hAnsiTheme="majorEastAsia" w:eastAsiaTheme="majorEastAsia"/>
                <w:bCs/>
                <w:sz w:val="18"/>
                <w:szCs w:val="18"/>
              </w:rPr>
              <w:t>：</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3</w:t>
            </w:r>
            <w:bookmarkStart w:id="182" w:name="_GoBack"/>
            <w:bookmarkEnd w:id="182"/>
            <w:r>
              <w:rPr>
                <w:rFonts w:hint="eastAsia" w:ascii="宋体" w:hAnsi="宋体"/>
                <w:bCs/>
                <w:sz w:val="18"/>
                <w:szCs w:val="18"/>
                <w:lang w:val="en-US" w:eastAsia="zh-CN"/>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50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宋体" w:hAnsi="宋体"/>
                <w:bCs/>
                <w:sz w:val="18"/>
                <w:szCs w:val="18"/>
              </w:rPr>
            </w:pPr>
            <w:r>
              <w:rPr>
                <w:rFonts w:ascii="宋体"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sz w:val="18"/>
              </w:rPr>
            </w:pPr>
            <w:r>
              <w:rPr>
                <w:rFonts w:ascii="宋体" w:hAnsi="宋体"/>
                <w:bCs/>
                <w:sz w:val="18"/>
                <w:szCs w:val="18"/>
              </w:rPr>
              <w:t>业绩报酬计提基准的</w:t>
            </w:r>
            <w:r>
              <w:rPr>
                <w:rFonts w:ascii="宋体" w:hAnsi="宋体"/>
                <w:sz w:val="18"/>
              </w:rPr>
              <w:t>设定</w:t>
            </w:r>
            <w:r>
              <w:rPr>
                <w:rFonts w:hint="eastAsia" w:ascii="宋体" w:hAnsi="宋体"/>
                <w:sz w:val="18"/>
              </w:rPr>
              <w:t>：管理人</w:t>
            </w:r>
            <w:r>
              <w:rPr>
                <w:rFonts w:ascii="宋体" w:hAnsi="宋体"/>
                <w:sz w:val="18"/>
              </w:rPr>
              <w:t>对本产品设定</w:t>
            </w:r>
            <w:r>
              <w:rPr>
                <w:rFonts w:hint="eastAsia" w:ascii="宋体" w:hAnsi="宋体"/>
                <w:sz w:val="18"/>
              </w:rPr>
              <w:t>业绩报酬计提基准：【】。</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sz w:val="18"/>
                <w:szCs w:val="18"/>
              </w:rPr>
              <w:t>★</w:t>
            </w:r>
            <w:r>
              <w:rPr>
                <w:rFonts w:hint="eastAsia" w:ascii="黑体" w:hAnsi="黑体" w:eastAsia="黑体"/>
                <w:bCs/>
                <w:sz w:val="18"/>
                <w:szCs w:val="18"/>
              </w:rPr>
              <w:t>业绩报酬计提基准仅作为管理人计算超额业绩报酬的参照标准。业绩报酬计提基准不是预期收益率，不代表产品的未来表现和实际收益，不构成对产品收益的承诺，投资须谨慎。</w:t>
            </w:r>
          </w:p>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b/>
                <w:sz w:val="18"/>
                <w:szCs w:val="18"/>
              </w:rPr>
            </w:pPr>
            <w:r>
              <w:rPr>
                <w:rFonts w:hint="eastAsia" w:hAnsi="宋体"/>
                <w:b/>
                <w:sz w:val="18"/>
                <w:szCs w:val="18"/>
              </w:rPr>
              <w:t>★</w:t>
            </w:r>
            <w:r>
              <w:rPr>
                <w:rFonts w:hint="eastAsia"/>
                <w:b/>
                <w:sz w:val="18"/>
                <w:szCs w:val="18"/>
              </w:rPr>
              <w:t>理财产品利益分配</w:t>
            </w:r>
          </w:p>
        </w:tc>
        <w:tc>
          <w:tcPr>
            <w:tcW w:w="7704" w:type="dxa"/>
            <w:shd w:val="solid" w:color="FFFFFF" w:fill="FFFFFF"/>
            <w:vAlign w:val="center"/>
          </w:tcPr>
          <w:p>
            <w:pPr>
              <w:spacing w:line="360" w:lineRule="auto"/>
              <w:jc w:val="left"/>
              <w:rPr>
                <w:rFonts w:hint="eastAsia" w:hAnsi="宋体"/>
                <w:bCs/>
                <w:sz w:val="18"/>
                <w:szCs w:val="18"/>
              </w:rPr>
            </w:pPr>
            <w:r>
              <w:rPr>
                <w:rFonts w:hint="eastAsia" w:hAnsi="宋体"/>
                <w:bCs/>
                <w:sz w:val="18"/>
                <w:szCs w:val="18"/>
              </w:rPr>
              <w:t>1.自产品成立日后第六个月末，产品管理人有权进行首次理财利益的分配，其后每隔六个月产品管理人有权进行理财利益的分配，且分配后产品份额净值不低于【1.005】，分配后有剩余收益的，仍留存在理财产品中。相应分配基准日、分配方案由管理人及时披露。</w:t>
            </w:r>
          </w:p>
          <w:p>
            <w:pPr>
              <w:spacing w:line="360" w:lineRule="auto"/>
              <w:jc w:val="left"/>
              <w:rPr>
                <w:rFonts w:hAnsi="宋体"/>
                <w:bCs/>
                <w:sz w:val="18"/>
                <w:szCs w:val="18"/>
              </w:rPr>
            </w:pPr>
            <w:r>
              <w:rPr>
                <w:rFonts w:hint="eastAsia" w:hAnsi="宋体"/>
                <w:bCs/>
                <w:sz w:val="18"/>
                <w:szCs w:val="18"/>
              </w:rPr>
              <w:t>2.具体理财产品利益分配详见《产品说明书》“第八条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2）申购费：</w:t>
            </w:r>
            <w:r>
              <w:rPr>
                <w:rFonts w:hint="eastAsia"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w:t>
            </w: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销售服</w:t>
            </w:r>
            <w:r>
              <w:rPr>
                <w:rFonts w:hint="eastAsia" w:ascii="黑体" w:hAnsi="黑体" w:eastAsia="黑体"/>
                <w:bCs/>
                <w:color w:val="000000" w:themeColor="text1"/>
                <w:sz w:val="18"/>
                <w:szCs w:val="18"/>
                <w14:textFill>
                  <w14:solidFill>
                    <w14:schemeClr w14:val="tx1"/>
                  </w14:solidFill>
                </w14:textFill>
              </w:rPr>
              <w:t>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0.25%</w:t>
            </w:r>
            <w:r>
              <w:rPr>
                <w:rFonts w:hint="eastAsia" w:ascii="黑体" w:hAnsi="黑体" w:eastAsia="黑体"/>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A</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0.15%</w:t>
            </w:r>
            <w:r>
              <w:rPr>
                <w:rFonts w:hint="eastAsia" w:ascii="黑体" w:hAnsi="黑体" w:eastAsia="黑体"/>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B</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w:t>
            </w:r>
            <w:r>
              <w:rPr>
                <w:rFonts w:hint="eastAsia" w:ascii="黑体" w:hAnsi="黑体" w:eastAsia="黑体"/>
                <w:bCs/>
                <w:color w:val="000000" w:themeColor="text1"/>
                <w:sz w:val="18"/>
                <w:szCs w:val="18"/>
                <w14:textFill>
                  <w14:solidFill>
                    <w14:schemeClr w14:val="tx1"/>
                  </w14:solidFill>
                </w14:textFill>
              </w:rPr>
              <w:t>）投资管理费：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0.10%</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w:t>
            </w:r>
            <w:r>
              <w:rPr>
                <w:rFonts w:hint="eastAsia" w:ascii="黑体" w:hAnsi="黑体" w:eastAsia="黑体"/>
                <w:bCs/>
                <w:color w:val="000000" w:themeColor="text1"/>
                <w:sz w:val="18"/>
                <w:szCs w:val="18"/>
                <w14:textFill>
                  <w14:solidFill>
                    <w14:schemeClr w14:val="tx1"/>
                  </w14:solidFill>
                </w14:textFill>
              </w:rPr>
              <w:t>）产品托管费：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0.03%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6</w:t>
            </w:r>
            <w:r>
              <w:rPr>
                <w:rFonts w:hint="eastAsia" w:ascii="黑体" w:hAnsi="黑体" w:eastAsia="黑体"/>
                <w:bCs/>
                <w:color w:val="000000" w:themeColor="text1"/>
                <w:sz w:val="18"/>
                <w:szCs w:val="18"/>
                <w14:textFill>
                  <w14:solidFill>
                    <w14:schemeClr w14:val="tx1"/>
                  </w14:solidFill>
                </w14:textFill>
              </w:rPr>
              <w:t>）超额业绩报酬：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8" w:name="_Toc187685902"/>
      <w:bookmarkStart w:id="9" w:name="_Toc79154666"/>
      <w:bookmarkStart w:id="10" w:name="_Toc92377132"/>
      <w:bookmarkStart w:id="11" w:name="_Toc116984886"/>
      <w:r>
        <w:rPr>
          <w:rFonts w:ascii="Times New Roman"/>
          <w:sz w:val="30"/>
        </w:rPr>
        <w:t>第</w:t>
      </w:r>
      <w:r>
        <w:rPr>
          <w:rFonts w:hint="eastAsia" w:ascii="Times New Roman"/>
          <w:sz w:val="30"/>
        </w:rPr>
        <w:t>三条</w:t>
      </w:r>
      <w:r>
        <w:rPr>
          <w:rFonts w:ascii="Times New Roman"/>
          <w:sz w:val="30"/>
        </w:rPr>
        <w:t xml:space="preserve">  </w:t>
      </w:r>
      <w:bookmarkStart w:id="12" w:name="_Toc79392573"/>
      <w:r>
        <w:rPr>
          <w:rFonts w:hint="eastAsia" w:ascii="Times New Roman"/>
          <w:sz w:val="30"/>
        </w:rPr>
        <w:t>理财产品的认购</w:t>
      </w:r>
      <w:bookmarkEnd w:id="8"/>
      <w:bookmarkEnd w:id="9"/>
      <w:bookmarkEnd w:id="10"/>
      <w:bookmarkEnd w:id="11"/>
    </w:p>
    <w:p>
      <w:pPr>
        <w:spacing w:line="360" w:lineRule="auto"/>
        <w:ind w:firstLine="361" w:firstLineChars="200"/>
        <w:rPr>
          <w:rFonts w:asciiTheme="minorEastAsia" w:hAnsiTheme="minorEastAsia"/>
          <w:b/>
          <w:bCs/>
          <w:sz w:val="18"/>
          <w:szCs w:val="18"/>
        </w:rPr>
      </w:pPr>
      <w:bookmarkStart w:id="13" w:name="_Hlt88031774"/>
      <w:bookmarkEnd w:id="13"/>
      <w:bookmarkStart w:id="1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15" w:name="_Toc79154667"/>
      <w:bookmarkStart w:id="16" w:name="_Toc187685903"/>
      <w:bookmarkStart w:id="17" w:name="_Toc92377133"/>
      <w:bookmarkStart w:id="18" w:name="_Toc116984887"/>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15"/>
      <w:bookmarkEnd w:id="16"/>
      <w:bookmarkEnd w:id="17"/>
      <w:bookmarkEnd w:id="18"/>
    </w:p>
    <w:bookmarkEnd w:id="14"/>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本产品设置预约申购期，具体的预约申购期时间以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本产品预约申购期内提出预约申购申请。</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4"/>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提交预约申购申请并不代表申购成功，产品管理人将在申购确认日确认投资者是否申购成功，是否成功以管理人的确认结果为准。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申购份额=净申购金额/申购日产品份额净值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本产品不设置赎回。</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原则，即本产品申购申请提交时，适用的产品份额净值都是未知的。</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申购申请可以在对应申购</w:t>
      </w:r>
      <w:r>
        <w:rPr>
          <w:rFonts w:hint="eastAsia" w:asciiTheme="majorEastAsia" w:hAnsiTheme="majorEastAsia" w:eastAsiaTheme="majorEastAsia"/>
          <w:color w:val="auto"/>
          <w:sz w:val="18"/>
          <w:szCs w:val="18"/>
        </w:rPr>
        <w:t>日交易时间</w:t>
      </w:r>
      <w:r>
        <w:rPr>
          <w:rFonts w:asciiTheme="majorEastAsia" w:hAnsiTheme="majorEastAsia" w:eastAsiaTheme="majorEastAsia"/>
          <w:color w:val="auto"/>
          <w:sz w:val="18"/>
          <w:szCs w:val="18"/>
        </w:rPr>
        <w:t>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（五）日期遇非工作日的调整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（六）投资者持有理财份额的限额和理财产品总规模限额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12"/>
    <w:p>
      <w:pPr>
        <w:pStyle w:val="2"/>
        <w:spacing w:before="0" w:after="0" w:line="360" w:lineRule="auto"/>
        <w:jc w:val="center"/>
        <w:rPr>
          <w:rFonts w:ascii="Times New Roman"/>
          <w:sz w:val="30"/>
        </w:rPr>
      </w:pPr>
      <w:bookmarkStart w:id="19" w:name="_Toc92377134"/>
      <w:bookmarkStart w:id="20" w:name="_Toc116984888"/>
      <w:bookmarkStart w:id="21" w:name="_Toc74065741"/>
      <w:bookmarkStart w:id="22" w:name="_Toc7151"/>
      <w:bookmarkStart w:id="23" w:name="_Toc187685904"/>
      <w:bookmarkStart w:id="24" w:name="_Toc79154668"/>
      <w:bookmarkStart w:id="25" w:name="_Toc27226"/>
      <w:bookmarkStart w:id="26" w:name="_Toc90742390"/>
      <w:bookmarkStart w:id="27" w:name="_Toc3266"/>
      <w:bookmarkStart w:id="28" w:name="_Toc90742321"/>
      <w:bookmarkStart w:id="29" w:name="_Toc22074"/>
      <w:bookmarkStart w:id="30" w:name="_Toc27189"/>
      <w:bookmarkStart w:id="31" w:name="_Toc6714"/>
      <w:bookmarkStart w:id="32" w:name="_Toc90742688"/>
      <w:bookmarkStart w:id="33" w:name="_Toc16265"/>
      <w:bookmarkStart w:id="34" w:name="_Toc29784"/>
      <w:bookmarkStart w:id="35" w:name="_Toc15203"/>
      <w:bookmarkStart w:id="36" w:name="_Toc29948"/>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sz w:val="18"/>
          <w:szCs w:val="18"/>
        </w:rPr>
      </w:pPr>
      <w:permStart w:id="14"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ermEnd w:id="14"/>
    </w:p>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hint="eastAsia"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r>
        <w:rPr>
          <w:rFonts w:hint="eastAsia" w:asciiTheme="majorEastAsia" w:hAnsiTheme="majorEastAsia" w:eastAsiaTheme="majorEastAsia"/>
          <w:b/>
          <w:bCs/>
          <w:sz w:val="18"/>
          <w:szCs w:val="18"/>
          <w:lang w:eastAsia="zh-CN"/>
        </w:rPr>
        <w:t>。</w:t>
      </w:r>
      <w:permEnd w:id="16"/>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.如果法律法规对本销售文件约定投资组合比例限制进行变更的，以变更后的规定为准。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黑体" w:hAnsi="黑体" w:eastAsia="黑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bCs/>
          <w:color w:val="auto"/>
          <w:sz w:val="18"/>
          <w:szCs w:val="18"/>
        </w:rPr>
      </w:pPr>
      <w:permStart w:id="18" w:edGrp="everyone"/>
      <w:r>
        <w:rPr>
          <w:rFonts w:hint="eastAsia" w:asciiTheme="majorEastAsia" w:hAnsiTheme="majorEastAsia" w:eastAsiaTheme="majorEastAsia"/>
          <w:bCs/>
          <w:color w:val="auto"/>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bCs/>
          <w:color w:val="auto"/>
          <w:sz w:val="18"/>
          <w:szCs w:val="18"/>
        </w:rPr>
        <w:t>】</w:t>
      </w:r>
      <w:permEnd w:id="18"/>
    </w:p>
    <w:p>
      <w:pPr>
        <w:pStyle w:val="20"/>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37" w:name="_Toc74065742"/>
      <w:bookmarkStart w:id="38" w:name="_Toc116984889"/>
      <w:bookmarkStart w:id="39" w:name="_Toc17912"/>
      <w:bookmarkStart w:id="40" w:name="_Toc21988"/>
      <w:bookmarkStart w:id="41" w:name="_Toc18797"/>
      <w:bookmarkStart w:id="42" w:name="_Toc4741"/>
      <w:bookmarkStart w:id="43" w:name="_Toc139991735"/>
      <w:bookmarkStart w:id="44" w:name="_Toc187685905"/>
      <w:bookmarkStart w:id="45" w:name="_Toc141703885"/>
      <w:bookmarkStart w:id="46" w:name="_Toc1823"/>
      <w:bookmarkStart w:id="47" w:name="_Toc92377135"/>
      <w:bookmarkStart w:id="48" w:name="_Toc7848"/>
      <w:bookmarkStart w:id="49" w:name="_Toc18526"/>
      <w:bookmarkStart w:id="50" w:name="_Toc79154669"/>
      <w:bookmarkStart w:id="51" w:name="_Toc26986"/>
      <w:bookmarkStart w:id="52" w:name="_Toc18329"/>
      <w:bookmarkStart w:id="53" w:name="_Toc14893"/>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34"/>
        <w:spacing w:line="360" w:lineRule="auto"/>
        <w:ind w:firstLine="361" w:firstLineChars="200"/>
        <w:rPr>
          <w:rFonts w:asciiTheme="majorEastAsia" w:hAnsiTheme="majorEastAsia" w:eastAsiaTheme="majorEastAsia"/>
          <w:b/>
          <w:color w:val="auto"/>
          <w:sz w:val="18"/>
          <w:szCs w:val="18"/>
        </w:rPr>
      </w:pPr>
      <w:bookmarkStart w:id="54"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54"/>
    <w:p>
      <w:pPr>
        <w:pStyle w:val="2"/>
        <w:spacing w:before="0" w:after="0" w:line="360" w:lineRule="auto"/>
        <w:jc w:val="center"/>
        <w:rPr>
          <w:rFonts w:ascii="Times New Roman"/>
          <w:sz w:val="28"/>
          <w:szCs w:val="28"/>
        </w:rPr>
      </w:pPr>
      <w:bookmarkStart w:id="55" w:name="_Toc92377136"/>
      <w:bookmarkStart w:id="56" w:name="_Toc187685906"/>
      <w:bookmarkStart w:id="57" w:name="_Toc116984890"/>
      <w:bookmarkStart w:id="58" w:name="_Toc83391971"/>
      <w:bookmarkStart w:id="59" w:name="_Toc1270"/>
      <w:bookmarkStart w:id="60" w:name="_Toc98560352"/>
      <w:bookmarkStart w:id="61" w:name="_Toc20733"/>
      <w:bookmarkStart w:id="62" w:name="_Toc1427"/>
      <w:bookmarkStart w:id="63" w:name="_Toc10463"/>
      <w:bookmarkStart w:id="64" w:name="_Toc610"/>
      <w:bookmarkStart w:id="65" w:name="_Toc123051452"/>
      <w:bookmarkStart w:id="66" w:name="_Toc23261"/>
      <w:bookmarkStart w:id="67" w:name="_Toc7920"/>
      <w:bookmarkStart w:id="68" w:name="_Toc139991736"/>
      <w:bookmarkStart w:id="69" w:name="_Toc17244"/>
      <w:bookmarkStart w:id="70" w:name="_Toc79154670"/>
      <w:bookmarkStart w:id="71" w:name="_Toc4003"/>
      <w:bookmarkStart w:id="72" w:name="_Toc79392606"/>
      <w:bookmarkStart w:id="73" w:name="_Toc123102453"/>
      <w:bookmarkStart w:id="74" w:name="_Toc123112234"/>
      <w:bookmarkStart w:id="75" w:name="_Toc23822"/>
      <w:bookmarkStart w:id="76" w:name="_Toc48649707"/>
      <w:bookmarkStart w:id="77" w:name="_Toc74065743"/>
      <w:bookmarkStart w:id="78" w:name="_Toc141703886"/>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55"/>
      <w:bookmarkEnd w:id="56"/>
      <w:bookmarkEnd w:id="57"/>
      <w:bookmarkEnd w:id="58"/>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20"/>
        <w:spacing w:line="360" w:lineRule="auto"/>
        <w:ind w:firstLine="360" w:firstLineChars="200"/>
        <w:rPr>
          <w:rFonts w:asciiTheme="minorEastAsia" w:hAnsiTheme="minorEastAsia" w:eastAsiaTheme="minorEastAsia"/>
          <w:b/>
          <w:sz w:val="18"/>
          <w:szCs w:val="18"/>
        </w:rPr>
      </w:pPr>
      <w:permStart w:id="19" w:edGrp="everyone"/>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w:t>
      </w:r>
      <w:r>
        <w:rPr>
          <w:rFonts w:hint="eastAsia" w:cs="Times New Roman" w:asciiTheme="minorEastAsia" w:hAnsiTheme="minorEastAsia" w:eastAsiaTheme="minorEastAsia"/>
          <w:sz w:val="18"/>
          <w:szCs w:val="18"/>
          <w:lang w:val="en-US" w:eastAsia="zh-CN"/>
        </w:rPr>
        <w:t>周</w:t>
      </w:r>
      <w:r>
        <w:rPr>
          <w:rFonts w:hint="eastAsia" w:cs="Times New Roman" w:asciiTheme="minorEastAsia" w:hAnsiTheme="minorEastAsia" w:eastAsiaTheme="minorEastAsia"/>
          <w:sz w:val="18"/>
          <w:szCs w:val="18"/>
        </w:rPr>
        <w:t>】进行一次估值。如遇产品</w:t>
      </w:r>
      <w:r>
        <w:rPr>
          <w:rFonts w:cs="Times New Roman" w:asciiTheme="minorEastAsia" w:hAnsiTheme="minorEastAsia" w:eastAsiaTheme="minorEastAsia"/>
          <w:sz w:val="18"/>
          <w:szCs w:val="18"/>
        </w:rPr>
        <w:t>申购</w:t>
      </w:r>
      <w:r>
        <w:rPr>
          <w:rFonts w:hint="eastAsia" w:cs="Times New Roman" w:asciiTheme="minorEastAsia" w:hAnsiTheme="minorEastAsia" w:eastAsiaTheme="minorEastAsia"/>
          <w:sz w:val="18"/>
          <w:szCs w:val="18"/>
        </w:rPr>
        <w:t>日、到期</w:t>
      </w:r>
      <w:r>
        <w:rPr>
          <w:rFonts w:cs="Times New Roman" w:asciiTheme="minorEastAsia" w:hAnsiTheme="minorEastAsia" w:eastAsiaTheme="minorEastAsia"/>
          <w:sz w:val="18"/>
          <w:szCs w:val="18"/>
        </w:rPr>
        <w:t>日</w:t>
      </w:r>
      <w:r>
        <w:rPr>
          <w:rFonts w:hint="eastAsia" w:cs="Times New Roman" w:asciiTheme="minorEastAsia" w:hAnsiTheme="minorEastAsia" w:eastAsiaTheme="minorEastAsia"/>
          <w:sz w:val="18"/>
          <w:szCs w:val="18"/>
        </w:rPr>
        <w:t>、季度末</w:t>
      </w:r>
      <w:r>
        <w:rPr>
          <w:rFonts w:cs="Times New Roman" w:asciiTheme="minorEastAsia" w:hAnsiTheme="minorEastAsia" w:eastAsiaTheme="minorEastAsia"/>
          <w:sz w:val="18"/>
          <w:szCs w:val="18"/>
        </w:rPr>
        <w:t>、半年度</w:t>
      </w:r>
      <w:r>
        <w:rPr>
          <w:rFonts w:hint="eastAsia" w:cs="Times New Roman" w:asciiTheme="minorEastAsia" w:hAnsiTheme="minorEastAsia" w:eastAsiaTheme="minorEastAsia"/>
          <w:sz w:val="18"/>
          <w:szCs w:val="18"/>
        </w:rPr>
        <w:t>末</w:t>
      </w:r>
      <w:r>
        <w:rPr>
          <w:rFonts w:cs="Times New Roman" w:asciiTheme="minorEastAsia" w:hAnsiTheme="minorEastAsia" w:eastAsiaTheme="minorEastAsia"/>
          <w:sz w:val="18"/>
          <w:szCs w:val="18"/>
        </w:rPr>
        <w:t>、年度</w:t>
      </w:r>
      <w:r>
        <w:rPr>
          <w:rFonts w:hint="eastAsia" w:cs="Times New Roman" w:asciiTheme="minorEastAsia" w:hAnsiTheme="minorEastAsia" w:eastAsiaTheme="minorEastAsia"/>
          <w:sz w:val="18"/>
          <w:szCs w:val="18"/>
        </w:rPr>
        <w:t>末等时间节点管理</w:t>
      </w:r>
      <w:r>
        <w:rPr>
          <w:rFonts w:cs="Times New Roman" w:asciiTheme="minorEastAsia" w:hAnsiTheme="minorEastAsia" w:eastAsiaTheme="minorEastAsia"/>
          <w:sz w:val="18"/>
          <w:szCs w:val="18"/>
        </w:rPr>
        <w:t>人将</w:t>
      </w:r>
      <w:r>
        <w:rPr>
          <w:rFonts w:hint="eastAsia" w:cs="Times New Roman" w:asciiTheme="minorEastAsia" w:hAnsiTheme="minorEastAsia" w:eastAsiaTheme="minorEastAsia"/>
          <w:sz w:val="18"/>
          <w:szCs w:val="18"/>
        </w:rPr>
        <w:t>增加估值日</w:t>
      </w:r>
      <w:r>
        <w:rPr>
          <w:rFonts w:hint="eastAsia" w:asciiTheme="minorEastAsia" w:hAnsiTheme="minorEastAsia" w:eastAsiaTheme="minorEastAsia"/>
          <w:color w:val="2E3033"/>
          <w:sz w:val="18"/>
          <w:szCs w:val="18"/>
        </w:rPr>
        <w:t>。</w:t>
      </w:r>
      <w:permEnd w:id="19"/>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34"/>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标准化债权类资产估值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sz w:val="18"/>
          <w:szCs w:val="18"/>
        </w:rPr>
        <w:t>标准化债权类</w:t>
      </w:r>
      <w:r>
        <w:rPr>
          <w:rFonts w:asciiTheme="majorEastAsia" w:hAnsiTheme="majorEastAsia" w:eastAsiaTheme="majorEastAsia"/>
          <w:bCs/>
          <w:color w:val="auto"/>
          <w:sz w:val="18"/>
          <w:szCs w:val="18"/>
        </w:rPr>
        <w:t>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sz w:val="18"/>
          <w:szCs w:val="18"/>
        </w:rPr>
        <w:t>对已发行但未上市流通，且第三方估值机构未提供估值数据的标准化债权类资产，采用当前情况下适用并且有足够可利用数据和其他信息支持的估值技术确定其公允价值。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sz w:val="18"/>
          <w:szCs w:val="18"/>
        </w:rPr>
        <w:t>对于同时在多个不同市场交易的标准化债权类资产，按照其所处的市场及相应的估值标准，分别进行估值。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3.非标准化债权类资产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4.上市公司股票</w:t>
      </w:r>
      <w:r>
        <w:rPr>
          <w:rFonts w:hint="eastAsia" w:asciiTheme="majorEastAsia" w:hAnsiTheme="majorEastAsia" w:eastAsiaTheme="majorEastAsia"/>
          <w:bCs/>
          <w:color w:val="auto"/>
          <w:sz w:val="18"/>
          <w:szCs w:val="18"/>
        </w:rPr>
        <w:t>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5.未上市公司股权</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r>
        <w:rPr>
          <w:rFonts w:hint="eastAsia" w:hAnsi="宋体"/>
          <w:sz w:val="18"/>
          <w:szCs w:val="18"/>
        </w:rPr>
        <w:t>；或采用第三方估值机构提供的价格数据确认公允价值</w:t>
      </w:r>
      <w:r>
        <w:rPr>
          <w:rFonts w:hint="eastAsia"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w:t>
      </w:r>
      <w:r>
        <w:rPr>
          <w:rFonts w:hint="eastAsia" w:asciiTheme="minorEastAsia" w:hAnsiTheme="minorEastAsia" w:eastAsiaTheme="minorEastAsia"/>
          <w:color w:val="auto"/>
          <w:sz w:val="18"/>
          <w:szCs w:val="18"/>
        </w:rPr>
        <w:t>优先股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7.</w:t>
      </w:r>
      <w:r>
        <w:rPr>
          <w:rFonts w:hint="eastAsia" w:asciiTheme="minorEastAsia" w:hAnsiTheme="minorEastAsia" w:eastAsiaTheme="minorEastAsia"/>
          <w:color w:val="auto"/>
          <w:sz w:val="18"/>
          <w:szCs w:val="18"/>
        </w:rPr>
        <w:t>证券投资基金估值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1)本产品投资的境内非货币市场基金，按所投资基金估值日的基金份额净值估值；估值日基金净值未公布的，以基金管理人最近公布的基金份额净值计算。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r>
        <w:rPr>
          <w:rFonts w:hint="eastAsia" w:asciiTheme="minorEastAsia" w:hAnsiTheme="minorEastAsia" w:eastAsiaTheme="minorEastAsia"/>
          <w:color w:val="auto"/>
          <w:sz w:val="18"/>
          <w:szCs w:val="18"/>
        </w:rPr>
        <w:t>；若前一估值日后至估值日期间（含节假日）基金万份收益未公布的，以基金管理人公布的最近一个估值日基金万份收益计算。</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2)本产品投资的境内上市开放式基金（LOF），按所投资基金估值日的基金份额净值估值；估值日基金净值未公布的，以基金管理人最近公布的基金份额净值计算。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w:t>
      </w:r>
      <w:r>
        <w:rPr>
          <w:rFonts w:hint="eastAsia" w:asciiTheme="minorEastAsia" w:hAnsiTheme="minorEastAsia" w:eastAsiaTheme="minorEastAsia"/>
          <w:color w:val="auto"/>
          <w:sz w:val="18"/>
          <w:szCs w:val="18"/>
        </w:rPr>
        <w:t>，若估值日基金份额净值未公布的，以基金管理人最近公布的基金份额净值计算</w:t>
      </w:r>
      <w:r>
        <w:rPr>
          <w:rFonts w:asciiTheme="minorEastAsia" w:hAnsiTheme="minorEastAsia" w:eastAsiaTheme="minorEastAsia"/>
          <w:color w:val="auto"/>
          <w:sz w:val="18"/>
          <w:szCs w:val="18"/>
        </w:rPr>
        <w:t>；如所投资基金披露万份（百份）收益，则按所投资基金前一估值日后至估值日期间（含节假日）的万份（百份）收益计提估值日基金收益</w:t>
      </w:r>
      <w:r>
        <w:rPr>
          <w:rFonts w:hint="eastAsia" w:asciiTheme="minorEastAsia" w:hAnsiTheme="minorEastAsia" w:eastAsiaTheme="minorEastAsia"/>
          <w:color w:val="auto"/>
          <w:sz w:val="18"/>
          <w:szCs w:val="18"/>
        </w:rPr>
        <w:t>，若前一估值日后至估值日期间（含节假日）的万份（百份）收益未公布的，则按最新万份（百份）收益计提估值日基金收益。</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8.</w:t>
      </w:r>
      <w:r>
        <w:rPr>
          <w:rFonts w:hint="eastAsia" w:asciiTheme="minorEastAsia" w:hAnsiTheme="minorEastAsia" w:eastAsiaTheme="minorEastAsia"/>
          <w:color w:val="auto"/>
          <w:sz w:val="18"/>
          <w:szCs w:val="18"/>
        </w:rPr>
        <w:t>其他资产管理产品的估值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资产管理人未提供净值，且从最近净值提供日到估值日整体市场环境及投资标的未发生重大变化的，可参考最近可获取的单位净值确定公允价值；若有充足证据表明最近可获取的净值不能真实反映公允价值的，可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9.衍生金融工具估值</w:t>
      </w:r>
    </w:p>
    <w:p>
      <w:pPr>
        <w:pStyle w:val="34"/>
        <w:spacing w:line="360" w:lineRule="auto"/>
        <w:ind w:firstLine="360" w:firstLineChars="200"/>
        <w:rPr>
          <w:rFonts w:asciiTheme="minorEastAsia" w:hAnsiTheme="minorEastAsia" w:eastAsiaTheme="minorEastAsia"/>
          <w:bCs/>
          <w:sz w:val="18"/>
          <w:szCs w:val="18"/>
        </w:rPr>
      </w:pPr>
      <w:r>
        <w:rPr>
          <w:rFonts w:hint="eastAsia" w:asciiTheme="minorEastAsia" w:hAnsiTheme="minorEastAsia" w:eastAsiaTheme="minorEastAsia"/>
          <w:bCs/>
          <w:sz w:val="18"/>
          <w:szCs w:val="18"/>
        </w:rPr>
        <w:t>（1）对于交易所交易的衍生金融工具，一般以估值日交易所公布的当日结算价估值；估值日无交易且最近交易日后未发生影响公允价值计量的重大事件的，按最近交易日的结算价估值；如最近交易日后发生影响公允价值计量的重大事件的，应采取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bCs/>
          <w:sz w:val="18"/>
          <w:szCs w:val="18"/>
        </w:rPr>
        <w:t>（2）对于非交易所交易的衍生金融工具，可依据第三方机构提供的价格数据或采取相应衍生金融工具估值模型确定公允价值。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10.</w:t>
      </w:r>
      <w:r>
        <w:rPr>
          <w:rFonts w:hint="eastAsia" w:asciiTheme="minorEastAsia" w:hAnsiTheme="minorEastAsia" w:eastAsiaTheme="minorEastAsia"/>
          <w:color w:val="auto"/>
          <w:sz w:val="18"/>
          <w:szCs w:val="18"/>
        </w:rPr>
        <w:t>存款、拆借、回购等货币市场工具的估值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12.当开放式公募理财产品（现金管理类理财产品除外）遭遇大额申购或赎回时，管理人可以采用摆动定价机制，以确保估值的公平性。具体操作按照相关法律法规、监管规定和自律规则执行。</w:t>
      </w:r>
    </w:p>
    <w:p>
      <w:pPr>
        <w:pStyle w:val="34"/>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p>
    <w:p>
      <w:pPr>
        <w:pStyle w:val="34"/>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34"/>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1" w:firstLineChars="200"/>
        <w:rPr>
          <w:rFonts w:ascii="黑体" w:hAnsi="黑体" w:eastAsia="黑体"/>
          <w:b/>
          <w:sz w:val="18"/>
          <w:szCs w:val="18"/>
        </w:rPr>
      </w:pPr>
      <w:r>
        <w:rPr>
          <w:rFonts w:hint="eastAsia" w:ascii="黑体" w:hAnsi="黑体" w:eastAsia="黑体"/>
          <w:b/>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Pr>
        <w:pStyle w:val="2"/>
        <w:spacing w:before="0" w:after="0" w:line="360" w:lineRule="auto"/>
        <w:ind w:left="60" w:firstLine="10"/>
        <w:jc w:val="center"/>
        <w:rPr>
          <w:rFonts w:ascii="Times New Roman"/>
          <w:sz w:val="30"/>
        </w:rPr>
      </w:pPr>
      <w:bookmarkStart w:id="79" w:name="_Hlt70481650"/>
      <w:bookmarkEnd w:id="79"/>
      <w:bookmarkStart w:id="80" w:name="_Toc26207"/>
      <w:bookmarkStart w:id="81" w:name="_Toc187685907"/>
      <w:bookmarkStart w:id="82" w:name="_Toc98560353"/>
      <w:bookmarkStart w:id="83" w:name="_Toc3601"/>
      <w:bookmarkStart w:id="84" w:name="_Toc123112235"/>
      <w:bookmarkStart w:id="85" w:name="_Toc31644"/>
      <w:bookmarkStart w:id="86" w:name="_Toc15143"/>
      <w:bookmarkStart w:id="87" w:name="_Toc31653"/>
      <w:bookmarkStart w:id="88" w:name="_Toc123051453"/>
      <w:bookmarkStart w:id="89" w:name="_Toc141703887"/>
      <w:bookmarkStart w:id="90" w:name="_Toc139991737"/>
      <w:bookmarkStart w:id="91" w:name="_Toc74065744"/>
      <w:bookmarkStart w:id="92" w:name="_Toc123102454"/>
      <w:bookmarkStart w:id="93" w:name="_Toc116984891"/>
      <w:bookmarkStart w:id="94" w:name="_Toc92377137"/>
      <w:bookmarkStart w:id="95" w:name="_Toc79154671"/>
      <w:bookmarkStart w:id="96" w:name="_Toc31235"/>
      <w:bookmarkStart w:id="97" w:name="_Toc12245"/>
      <w:bookmarkStart w:id="98" w:name="_Toc29251"/>
      <w:bookmarkStart w:id="99" w:name="_Toc14835"/>
      <w:bookmarkStart w:id="100" w:name="_Toc6405"/>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Start w:id="101" w:name="_Hlt55355235"/>
      <w:bookmarkEnd w:id="101"/>
      <w:bookmarkStart w:id="102" w:name="_Toc15118234"/>
      <w:bookmarkStart w:id="103" w:name="_Toc57530239"/>
      <w:bookmarkStart w:id="104" w:name="_Toc79392580"/>
      <w:bookmarkStart w:id="105"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0"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102"/>
    <w:bookmarkEnd w:id="103"/>
    <w:bookmarkEnd w:id="104"/>
    <w:bookmarkEnd w:id="105"/>
    <w:p>
      <w:pPr>
        <w:pStyle w:val="2"/>
        <w:spacing w:before="0" w:after="0" w:line="360" w:lineRule="auto"/>
        <w:jc w:val="center"/>
        <w:rPr>
          <w:rFonts w:ascii="Times New Roman"/>
          <w:sz w:val="30"/>
        </w:rPr>
      </w:pPr>
      <w:bookmarkStart w:id="106" w:name="_Hlt88897298"/>
      <w:bookmarkEnd w:id="106"/>
      <w:bookmarkStart w:id="107" w:name="_Hlt88825574"/>
      <w:bookmarkEnd w:id="107"/>
      <w:bookmarkStart w:id="108" w:name="_Toc10650"/>
      <w:bookmarkStart w:id="109" w:name="_Toc92377138"/>
      <w:bookmarkStart w:id="110" w:name="_Toc7058"/>
      <w:bookmarkStart w:id="111" w:name="_Toc116984892"/>
      <w:bookmarkStart w:id="112" w:name="_Toc11030"/>
      <w:bookmarkStart w:id="113" w:name="_Toc123112236"/>
      <w:bookmarkStart w:id="114" w:name="_Toc141703888"/>
      <w:bookmarkStart w:id="115" w:name="_Toc98560354"/>
      <w:bookmarkStart w:id="116" w:name="_Toc79154672"/>
      <w:bookmarkStart w:id="117" w:name="_Toc74065745"/>
      <w:bookmarkStart w:id="118" w:name="_Toc123102455"/>
      <w:bookmarkStart w:id="119" w:name="_Toc139991738"/>
      <w:bookmarkStart w:id="120" w:name="_Toc4559"/>
      <w:bookmarkStart w:id="121" w:name="_Toc123051454"/>
      <w:bookmarkStart w:id="122" w:name="_Toc3771"/>
      <w:bookmarkStart w:id="123" w:name="_Toc187685908"/>
      <w:bookmarkStart w:id="124" w:name="_Toc6447"/>
      <w:bookmarkStart w:id="125" w:name="_Toc3321"/>
      <w:bookmarkStart w:id="126" w:name="_Toc18567"/>
      <w:bookmarkStart w:id="127" w:name="_Toc79392583"/>
      <w:bookmarkStart w:id="128" w:name="_Toc25783"/>
      <w:bookmarkStart w:id="129" w:name="_Toc9706"/>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permStart w:id="22" w:edGrp="everyone"/>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产品份额超额业绩报酬计提起始日为：a.募集期内认购的产品份额，以产品成立日为该笔产品份额超额业绩报酬计提起始日；b.存续期内申购的产品份额，以申购日为该笔产品份额超额业绩报酬计提起始日。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宋体" w:hAnsi="宋体"/>
          <w:kern w:val="0"/>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当R＞当前业绩报酬计提基准，超额业绩报酬=产品终止时投资者持有的产品份额×产品成立日或产品份额申购日产品份额净值×（R-当前业绩报酬计提基准）×N×D/365。</w:t>
      </w:r>
      <w:permEnd w:id="22"/>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30" w:name="_Toc1745"/>
      <w:bookmarkStart w:id="131" w:name="_Toc3963"/>
      <w:r>
        <w:br w:type="page"/>
      </w:r>
      <w:bookmarkStart w:id="132" w:name="_Toc116984893"/>
      <w:bookmarkStart w:id="133" w:name="_Toc21735"/>
      <w:bookmarkStart w:id="134" w:name="_Toc141703889"/>
      <w:bookmarkStart w:id="135" w:name="_Toc31821"/>
      <w:bookmarkStart w:id="136" w:name="_Toc92377139"/>
      <w:bookmarkStart w:id="137" w:name="_Toc725"/>
      <w:bookmarkStart w:id="138" w:name="_Toc74065746"/>
      <w:bookmarkStart w:id="139" w:name="_Toc139991739"/>
      <w:bookmarkStart w:id="140" w:name="_Toc123051455"/>
      <w:bookmarkStart w:id="141" w:name="_Toc10398"/>
      <w:bookmarkStart w:id="142" w:name="_Toc16164"/>
      <w:bookmarkStart w:id="143" w:name="_Toc123112237"/>
      <w:bookmarkStart w:id="144" w:name="_Toc3572"/>
      <w:bookmarkStart w:id="145" w:name="_Toc187685909"/>
      <w:bookmarkStart w:id="146" w:name="_Toc3080"/>
      <w:bookmarkStart w:id="147" w:name="_Toc18206"/>
      <w:bookmarkStart w:id="148" w:name="_Toc123102456"/>
      <w:bookmarkStart w:id="149" w:name="_Toc79154673"/>
      <w:bookmarkStart w:id="150" w:name="_Toc98560355"/>
      <w:r>
        <w:rPr>
          <w:rFonts w:hint="eastAsia"/>
          <w:sz w:val="30"/>
        </w:rPr>
        <w:t>第十条</w:t>
      </w:r>
      <w:r>
        <w:rPr>
          <w:sz w:val="30"/>
        </w:rPr>
        <w:t xml:space="preserve">  </w:t>
      </w:r>
      <w:r>
        <w:rPr>
          <w:rFonts w:hint="eastAsia"/>
          <w:sz w:val="30"/>
        </w:rPr>
        <w:t>理财产品的终止与清算</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spacing w:line="360" w:lineRule="auto"/>
        <w:ind w:firstLine="361" w:firstLineChars="200"/>
        <w:rPr>
          <w:rFonts w:asciiTheme="majorEastAsia" w:hAnsiTheme="majorEastAsia" w:eastAsiaTheme="majorEastAsia"/>
          <w:b/>
          <w:bCs/>
          <w:sz w:val="18"/>
          <w:szCs w:val="18"/>
        </w:rPr>
      </w:pPr>
      <w:bookmarkStart w:id="151" w:name="_Toc15118245"/>
      <w:bookmarkStart w:id="152" w:name="_Toc57530252"/>
      <w:bookmarkStart w:id="153"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bookmarkEnd w:id="151"/>
    <w:bookmarkEnd w:id="152"/>
    <w:bookmarkEnd w:id="153"/>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5】个工作日，清算期超过【5】个工作日的，将依约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部分终止的比例：理财产品将按比例（已变现资产/理财产品净资产）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部分终止的利益分配：产品管理人将依照销售文件公布部分终止日并指定利益分配日（一般为部分终止日之后的【5】个工作日以内）。产品管理人应将理财利益于指定的利益分配日（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理财产品部分终止日（含当日）至理财利益实际到账日之间，理财资金不计算收益。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3.理财产品到期日产品管理人按照《产品说明书》“第十条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p>
      <w:pPr>
        <w:pStyle w:val="2"/>
        <w:spacing w:before="0" w:after="0" w:line="360" w:lineRule="auto"/>
        <w:jc w:val="center"/>
        <w:rPr>
          <w:rFonts w:ascii="Times New Roman"/>
          <w:sz w:val="18"/>
          <w:szCs w:val="18"/>
        </w:rPr>
      </w:pPr>
      <w:r>
        <w:rPr>
          <w:rFonts w:ascii="Times New Roman"/>
          <w:b w:val="0"/>
          <w:bCs w:val="0"/>
          <w:kern w:val="2"/>
        </w:rPr>
        <w:br w:type="page"/>
      </w:r>
      <w:bookmarkStart w:id="154" w:name="_Toc116984894"/>
      <w:bookmarkStart w:id="155" w:name="_Toc187685910"/>
      <w:bookmarkStart w:id="156" w:name="_Toc92377140"/>
      <w:bookmarkStart w:id="157" w:name="_Toc3329"/>
      <w:bookmarkStart w:id="158" w:name="_Toc8791"/>
      <w:bookmarkStart w:id="159" w:name="_Toc98560356"/>
      <w:bookmarkStart w:id="160" w:name="_Toc739"/>
      <w:bookmarkStart w:id="161" w:name="_Toc32092"/>
      <w:bookmarkStart w:id="162" w:name="_Toc74065747"/>
      <w:bookmarkStart w:id="163" w:name="_Toc141703890"/>
      <w:bookmarkStart w:id="164" w:name="_Toc17920"/>
      <w:bookmarkStart w:id="165" w:name="_Toc123051456"/>
      <w:bookmarkStart w:id="166" w:name="_Toc21237"/>
      <w:bookmarkStart w:id="167" w:name="_Toc139991740"/>
      <w:bookmarkStart w:id="168" w:name="_Toc17198"/>
      <w:bookmarkStart w:id="169" w:name="_Toc48649708"/>
      <w:bookmarkStart w:id="170" w:name="_Toc79154674"/>
      <w:bookmarkStart w:id="171" w:name="_Toc32584"/>
      <w:bookmarkStart w:id="172" w:name="_Toc5170"/>
      <w:bookmarkStart w:id="173" w:name="_Toc29408"/>
      <w:bookmarkStart w:id="174" w:name="_Toc83391975"/>
      <w:bookmarkStart w:id="175" w:name="_Toc123112238"/>
      <w:bookmarkStart w:id="176" w:name="_Toc79392622"/>
      <w:bookmarkStart w:id="177" w:name="_Toc123102457"/>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154"/>
      <w:bookmarkEnd w:id="155"/>
      <w:bookmarkEnd w:id="156"/>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结束后2个工作日内披露开放日公告，公告内容包括申购日</w:t>
      </w:r>
      <w:r>
        <w:rPr>
          <w:rFonts w:hint="eastAsia" w:ascii="宋体" w:hAnsi="宋体"/>
          <w:bCs/>
          <w:sz w:val="18"/>
          <w:szCs w:val="18"/>
        </w:rPr>
        <w:t>的产品份额净值、产品份额累计净值等。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ascii="宋体" w:hAnsi="宋体"/>
          <w:bCs/>
          <w:sz w:val="18"/>
          <w:szCs w:val="18"/>
          <w:lang w:val="en-US" w:eastAsia="zh-CN"/>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r>
        <w:rPr>
          <w:rFonts w:ascii="宋体" w:hAnsi="宋体"/>
          <w:bCs/>
          <w:sz w:val="18"/>
          <w:szCs w:val="18"/>
        </w:rPr>
        <w:t xml:space="preserve"> </w:t>
      </w:r>
    </w:p>
    <w:permEnd w:id="23"/>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在发生涉及产品认购、申购事项调整等事项时，管理人将发布临时公告。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Pr>
        <w:spacing w:line="360" w:lineRule="auto"/>
        <w:rPr>
          <w:bCs/>
          <w:sz w:val="24"/>
        </w:rPr>
      </w:pPr>
      <w:r>
        <w:rPr>
          <w:sz w:val="24"/>
        </w:rPr>
        <w:br w:type="page"/>
      </w:r>
    </w:p>
    <w:p>
      <w:pPr>
        <w:pStyle w:val="2"/>
        <w:spacing w:before="0" w:after="0" w:line="360" w:lineRule="auto"/>
        <w:jc w:val="center"/>
        <w:rPr>
          <w:rFonts w:ascii="Times New Roman"/>
          <w:b w:val="0"/>
          <w:sz w:val="30"/>
        </w:rPr>
      </w:pPr>
      <w:bookmarkStart w:id="178" w:name="_Toc79154675"/>
      <w:bookmarkStart w:id="179" w:name="_Toc116984895"/>
      <w:bookmarkStart w:id="180" w:name="_Toc187685911"/>
      <w:bookmarkStart w:id="181" w:name="_Toc92377141"/>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178"/>
      <w:bookmarkEnd w:id="179"/>
      <w:bookmarkEnd w:id="180"/>
      <w:bookmarkEnd w:id="18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sz w:val="18"/>
          <w:szCs w:val="18"/>
        </w:rPr>
      </w:pPr>
      <w:r>
        <w:rPr>
          <w:rFonts w:ascii="宋体"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hint="eastAsia"/>
                <w:sz w:val="18"/>
                <w:szCs w:val="18"/>
              </w:rPr>
              <w:t>/线上确认</w:t>
            </w:r>
            <w:r>
              <w:rPr>
                <w:rFonts w:hint="eastAsia" w:cs="Arial"/>
                <w:sz w:val="18"/>
                <w:szCs w:val="18"/>
              </w:rPr>
              <w:t>）：</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w:t>
            </w:r>
            <w:r>
              <w:rPr>
                <w:rFonts w:cs="Arial"/>
                <w:sz w:val="18"/>
                <w:szCs w:val="18"/>
              </w:rPr>
              <w:t>签名</w:t>
            </w:r>
            <w:r>
              <w:rPr>
                <w:rFonts w:hint="eastAsia"/>
                <w:sz w:val="18"/>
                <w:szCs w:val="18"/>
              </w:rPr>
              <w:t>/</w:t>
            </w:r>
            <w:r>
              <w:rPr>
                <w:rFonts w:hint="eastAsia" w:cs="Arial"/>
                <w:sz w:val="18"/>
                <w:szCs w:val="18"/>
              </w:rPr>
              <w:t>盖章</w:t>
            </w:r>
            <w:r>
              <w:rPr>
                <w:rFonts w:hint="eastAsia"/>
                <w:sz w:val="18"/>
                <w:szCs w:val="18"/>
              </w:rPr>
              <w:t>/线上确认</w:t>
            </w:r>
            <w:r>
              <w:rPr>
                <w:rFonts w:hint="eastAsia" w:cs="Arial"/>
                <w:sz w:val="18"/>
                <w:szCs w:val="18"/>
              </w:rPr>
              <w:t>）：</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14"/>
          <w:jc w:val="center"/>
        </w:pPr>
        <w:r>
          <w:fldChar w:fldCharType="begin"/>
        </w:r>
        <w:r>
          <w:instrText xml:space="preserve"> PAGE   \* MERGEFORMAT </w:instrText>
        </w:r>
        <w:r>
          <w:fldChar w:fldCharType="separate"/>
        </w:r>
        <w:r>
          <w:rPr>
            <w:lang w:val="zh-CN"/>
          </w:rPr>
          <w:t>20</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cs="Times New Roman"/>
        <w:b/>
        <w:szCs w:val="20"/>
      </w:rPr>
    </w:pPr>
    <w:r>
      <w:rPr>
        <w:rFonts w:hint="eastAsia"/>
      </w:rPr>
      <w:t xml:space="preserve"> </w:t>
    </w:r>
    <w:r>
      <w:rPr>
        <w:rFonts w:hint="eastAsia" w:ascii="Times New Roman" w:hAnsi="Times New Roman" w:cs="Times New Roman"/>
        <w:b/>
        <w:szCs w:val="20"/>
      </w:rPr>
      <w:t>产品说明书</w:t>
    </w:r>
  </w:p>
  <w:p>
    <w:pPr>
      <w:pStyle w:val="15"/>
      <w:jc w:val="right"/>
      <w:rPr>
        <w:rFonts w:ascii="Times New Roman" w:hAnsi="Times New Roman" w:cs="Times New Roman"/>
        <w:b/>
        <w:szCs w:val="20"/>
      </w:rPr>
    </w:pPr>
    <w:r>
      <w:rPr>
        <w:rFonts w:hint="eastAsia" w:ascii="Times New Roman" w:hAnsi="Times New Roman" w:cs="Times New Roman"/>
        <w:b/>
        <w:szCs w:val="20"/>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dit="readOnly" w:enforcement="1" w:cryptProviderType="rsaAES" w:cryptAlgorithmClass="hash" w:cryptAlgorithmType="typeAny" w:cryptAlgorithmSid="14" w:cryptSpinCount="100000" w:hash="vzkSBWey4oeu1IwM0Ebcj1Pbr/F+afMZ4uwDNGo9yN9b3vWhUCftOf8lDe6nup8ZLSOOVJrXy08KbAfDdIfTfw==" w:salt="ifEpsU6KltcXMkX/RF28/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02C5"/>
    <w:rsid w:val="0000208C"/>
    <w:rsid w:val="00002480"/>
    <w:rsid w:val="0000402E"/>
    <w:rsid w:val="0001202B"/>
    <w:rsid w:val="000124BB"/>
    <w:rsid w:val="00014A51"/>
    <w:rsid w:val="000160F8"/>
    <w:rsid w:val="000174CA"/>
    <w:rsid w:val="00020E26"/>
    <w:rsid w:val="00022093"/>
    <w:rsid w:val="000240C1"/>
    <w:rsid w:val="0002421F"/>
    <w:rsid w:val="00024B59"/>
    <w:rsid w:val="00024D52"/>
    <w:rsid w:val="00024F82"/>
    <w:rsid w:val="000257FD"/>
    <w:rsid w:val="00026801"/>
    <w:rsid w:val="0002771C"/>
    <w:rsid w:val="00027CAD"/>
    <w:rsid w:val="000307FF"/>
    <w:rsid w:val="00030826"/>
    <w:rsid w:val="000310FD"/>
    <w:rsid w:val="00033D3E"/>
    <w:rsid w:val="000360AD"/>
    <w:rsid w:val="00036724"/>
    <w:rsid w:val="0004119D"/>
    <w:rsid w:val="0004124F"/>
    <w:rsid w:val="00041958"/>
    <w:rsid w:val="000424B4"/>
    <w:rsid w:val="00042532"/>
    <w:rsid w:val="00042C76"/>
    <w:rsid w:val="00042CE7"/>
    <w:rsid w:val="000438E6"/>
    <w:rsid w:val="00044823"/>
    <w:rsid w:val="00045941"/>
    <w:rsid w:val="00047C30"/>
    <w:rsid w:val="00050766"/>
    <w:rsid w:val="0005088E"/>
    <w:rsid w:val="00051DE2"/>
    <w:rsid w:val="00055773"/>
    <w:rsid w:val="00055941"/>
    <w:rsid w:val="000565A5"/>
    <w:rsid w:val="0005743B"/>
    <w:rsid w:val="00057BC6"/>
    <w:rsid w:val="0006031B"/>
    <w:rsid w:val="00061C70"/>
    <w:rsid w:val="00062695"/>
    <w:rsid w:val="000629DD"/>
    <w:rsid w:val="00063B03"/>
    <w:rsid w:val="000705EE"/>
    <w:rsid w:val="00073A90"/>
    <w:rsid w:val="000747D8"/>
    <w:rsid w:val="0007672E"/>
    <w:rsid w:val="0007760F"/>
    <w:rsid w:val="000776F7"/>
    <w:rsid w:val="00077A54"/>
    <w:rsid w:val="00077C13"/>
    <w:rsid w:val="00080277"/>
    <w:rsid w:val="0008037A"/>
    <w:rsid w:val="00081DC7"/>
    <w:rsid w:val="000826C9"/>
    <w:rsid w:val="00082E45"/>
    <w:rsid w:val="00083631"/>
    <w:rsid w:val="00085DD5"/>
    <w:rsid w:val="00090805"/>
    <w:rsid w:val="0009086F"/>
    <w:rsid w:val="00091121"/>
    <w:rsid w:val="00092A5F"/>
    <w:rsid w:val="00094CA6"/>
    <w:rsid w:val="00094DDA"/>
    <w:rsid w:val="00095235"/>
    <w:rsid w:val="00097047"/>
    <w:rsid w:val="000A0882"/>
    <w:rsid w:val="000A0CC9"/>
    <w:rsid w:val="000A0DC8"/>
    <w:rsid w:val="000A1E0C"/>
    <w:rsid w:val="000A3063"/>
    <w:rsid w:val="000A35E5"/>
    <w:rsid w:val="000A45C6"/>
    <w:rsid w:val="000A57AC"/>
    <w:rsid w:val="000A5A4A"/>
    <w:rsid w:val="000A5AAB"/>
    <w:rsid w:val="000B00D8"/>
    <w:rsid w:val="000B27BA"/>
    <w:rsid w:val="000B378B"/>
    <w:rsid w:val="000B3C5B"/>
    <w:rsid w:val="000B680B"/>
    <w:rsid w:val="000B6819"/>
    <w:rsid w:val="000B7DC6"/>
    <w:rsid w:val="000B7F67"/>
    <w:rsid w:val="000C1D8E"/>
    <w:rsid w:val="000C31AC"/>
    <w:rsid w:val="000C3B81"/>
    <w:rsid w:val="000C69CB"/>
    <w:rsid w:val="000C6BF4"/>
    <w:rsid w:val="000C7C96"/>
    <w:rsid w:val="000D0C3A"/>
    <w:rsid w:val="000D10B1"/>
    <w:rsid w:val="000D1473"/>
    <w:rsid w:val="000D19CF"/>
    <w:rsid w:val="000D2623"/>
    <w:rsid w:val="000D382E"/>
    <w:rsid w:val="000D3E2A"/>
    <w:rsid w:val="000D4DAE"/>
    <w:rsid w:val="000D548F"/>
    <w:rsid w:val="000D591B"/>
    <w:rsid w:val="000E008C"/>
    <w:rsid w:val="000E10C7"/>
    <w:rsid w:val="000E181B"/>
    <w:rsid w:val="000E18C8"/>
    <w:rsid w:val="000E2054"/>
    <w:rsid w:val="000E5A74"/>
    <w:rsid w:val="000E7029"/>
    <w:rsid w:val="000E798C"/>
    <w:rsid w:val="000E7BB9"/>
    <w:rsid w:val="000F09FA"/>
    <w:rsid w:val="000F4322"/>
    <w:rsid w:val="000F556F"/>
    <w:rsid w:val="000F7FB5"/>
    <w:rsid w:val="00100295"/>
    <w:rsid w:val="00100789"/>
    <w:rsid w:val="00100D6E"/>
    <w:rsid w:val="00101A1D"/>
    <w:rsid w:val="00103221"/>
    <w:rsid w:val="001048D9"/>
    <w:rsid w:val="00104FAB"/>
    <w:rsid w:val="00104FAF"/>
    <w:rsid w:val="0010605A"/>
    <w:rsid w:val="0011092D"/>
    <w:rsid w:val="00111430"/>
    <w:rsid w:val="00112922"/>
    <w:rsid w:val="001139C8"/>
    <w:rsid w:val="001157E6"/>
    <w:rsid w:val="00115A4C"/>
    <w:rsid w:val="00116240"/>
    <w:rsid w:val="00121A98"/>
    <w:rsid w:val="00122AA4"/>
    <w:rsid w:val="00122E28"/>
    <w:rsid w:val="001232D0"/>
    <w:rsid w:val="0012639A"/>
    <w:rsid w:val="00127FAE"/>
    <w:rsid w:val="00131B8F"/>
    <w:rsid w:val="00134EC8"/>
    <w:rsid w:val="00136E7B"/>
    <w:rsid w:val="00140FD0"/>
    <w:rsid w:val="00142E86"/>
    <w:rsid w:val="0014343D"/>
    <w:rsid w:val="00144336"/>
    <w:rsid w:val="00144A06"/>
    <w:rsid w:val="00144E84"/>
    <w:rsid w:val="00145B88"/>
    <w:rsid w:val="00146F91"/>
    <w:rsid w:val="001507DF"/>
    <w:rsid w:val="00153415"/>
    <w:rsid w:val="001547CA"/>
    <w:rsid w:val="00154F9C"/>
    <w:rsid w:val="0015543A"/>
    <w:rsid w:val="001562FA"/>
    <w:rsid w:val="0016010E"/>
    <w:rsid w:val="00161D32"/>
    <w:rsid w:val="0016331D"/>
    <w:rsid w:val="00163368"/>
    <w:rsid w:val="00163655"/>
    <w:rsid w:val="00163854"/>
    <w:rsid w:val="00165A87"/>
    <w:rsid w:val="00165A9A"/>
    <w:rsid w:val="00167B0D"/>
    <w:rsid w:val="00171033"/>
    <w:rsid w:val="001715BB"/>
    <w:rsid w:val="00172BBF"/>
    <w:rsid w:val="0017394A"/>
    <w:rsid w:val="0017488D"/>
    <w:rsid w:val="00175F68"/>
    <w:rsid w:val="00176589"/>
    <w:rsid w:val="00176C88"/>
    <w:rsid w:val="00180376"/>
    <w:rsid w:val="0018145F"/>
    <w:rsid w:val="001822B0"/>
    <w:rsid w:val="0018230F"/>
    <w:rsid w:val="001844D6"/>
    <w:rsid w:val="0018459A"/>
    <w:rsid w:val="001852D8"/>
    <w:rsid w:val="001864AE"/>
    <w:rsid w:val="00186521"/>
    <w:rsid w:val="00187F37"/>
    <w:rsid w:val="0019010B"/>
    <w:rsid w:val="00190633"/>
    <w:rsid w:val="0019071D"/>
    <w:rsid w:val="00190B9A"/>
    <w:rsid w:val="0019134D"/>
    <w:rsid w:val="00191C98"/>
    <w:rsid w:val="0019285E"/>
    <w:rsid w:val="00192C78"/>
    <w:rsid w:val="00194E1F"/>
    <w:rsid w:val="0019519C"/>
    <w:rsid w:val="0019545E"/>
    <w:rsid w:val="00196469"/>
    <w:rsid w:val="00196E62"/>
    <w:rsid w:val="00197C49"/>
    <w:rsid w:val="001A0033"/>
    <w:rsid w:val="001A141C"/>
    <w:rsid w:val="001A2F27"/>
    <w:rsid w:val="001A352E"/>
    <w:rsid w:val="001A381F"/>
    <w:rsid w:val="001A434D"/>
    <w:rsid w:val="001B016D"/>
    <w:rsid w:val="001B218F"/>
    <w:rsid w:val="001B21AE"/>
    <w:rsid w:val="001B5BBB"/>
    <w:rsid w:val="001B6E3B"/>
    <w:rsid w:val="001C31CB"/>
    <w:rsid w:val="001C3B80"/>
    <w:rsid w:val="001C3C81"/>
    <w:rsid w:val="001C41C7"/>
    <w:rsid w:val="001C5E54"/>
    <w:rsid w:val="001C7184"/>
    <w:rsid w:val="001C730C"/>
    <w:rsid w:val="001C770D"/>
    <w:rsid w:val="001C7B1B"/>
    <w:rsid w:val="001D03C8"/>
    <w:rsid w:val="001D06D0"/>
    <w:rsid w:val="001D0990"/>
    <w:rsid w:val="001D1C72"/>
    <w:rsid w:val="001D1D5B"/>
    <w:rsid w:val="001D2824"/>
    <w:rsid w:val="001D2A21"/>
    <w:rsid w:val="001D3E8B"/>
    <w:rsid w:val="001D3EC0"/>
    <w:rsid w:val="001D4AC9"/>
    <w:rsid w:val="001D4BC1"/>
    <w:rsid w:val="001D570A"/>
    <w:rsid w:val="001D688E"/>
    <w:rsid w:val="001E14FD"/>
    <w:rsid w:val="001E291D"/>
    <w:rsid w:val="001E461E"/>
    <w:rsid w:val="001E54CE"/>
    <w:rsid w:val="001E61BD"/>
    <w:rsid w:val="001E6C14"/>
    <w:rsid w:val="001E70FE"/>
    <w:rsid w:val="001E77D6"/>
    <w:rsid w:val="001E794F"/>
    <w:rsid w:val="001F00E4"/>
    <w:rsid w:val="001F08F9"/>
    <w:rsid w:val="001F26D2"/>
    <w:rsid w:val="001F4671"/>
    <w:rsid w:val="001F6BB0"/>
    <w:rsid w:val="001F7B81"/>
    <w:rsid w:val="001F7E0A"/>
    <w:rsid w:val="00201415"/>
    <w:rsid w:val="0020141D"/>
    <w:rsid w:val="00204063"/>
    <w:rsid w:val="0020563F"/>
    <w:rsid w:val="00205892"/>
    <w:rsid w:val="0020668E"/>
    <w:rsid w:val="00211510"/>
    <w:rsid w:val="002126B6"/>
    <w:rsid w:val="00214771"/>
    <w:rsid w:val="0021477B"/>
    <w:rsid w:val="002160B9"/>
    <w:rsid w:val="0021611E"/>
    <w:rsid w:val="00216882"/>
    <w:rsid w:val="002168CF"/>
    <w:rsid w:val="002173E9"/>
    <w:rsid w:val="00217789"/>
    <w:rsid w:val="00220D74"/>
    <w:rsid w:val="002213EA"/>
    <w:rsid w:val="00223351"/>
    <w:rsid w:val="002237A8"/>
    <w:rsid w:val="00223B5B"/>
    <w:rsid w:val="00224505"/>
    <w:rsid w:val="002265AA"/>
    <w:rsid w:val="00226925"/>
    <w:rsid w:val="00226E60"/>
    <w:rsid w:val="00227359"/>
    <w:rsid w:val="00231FC0"/>
    <w:rsid w:val="002366D2"/>
    <w:rsid w:val="00242CDB"/>
    <w:rsid w:val="0024456C"/>
    <w:rsid w:val="002454FF"/>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B"/>
    <w:rsid w:val="00272C40"/>
    <w:rsid w:val="00273F65"/>
    <w:rsid w:val="00274DDB"/>
    <w:rsid w:val="00274E47"/>
    <w:rsid w:val="00275526"/>
    <w:rsid w:val="00275757"/>
    <w:rsid w:val="00276ACE"/>
    <w:rsid w:val="00276ADA"/>
    <w:rsid w:val="00281B9A"/>
    <w:rsid w:val="00282392"/>
    <w:rsid w:val="002826EB"/>
    <w:rsid w:val="00282B2B"/>
    <w:rsid w:val="002869B1"/>
    <w:rsid w:val="002877ED"/>
    <w:rsid w:val="00290893"/>
    <w:rsid w:val="00291263"/>
    <w:rsid w:val="0029197D"/>
    <w:rsid w:val="00293329"/>
    <w:rsid w:val="002941F3"/>
    <w:rsid w:val="0029576C"/>
    <w:rsid w:val="002A1894"/>
    <w:rsid w:val="002A2964"/>
    <w:rsid w:val="002A3DA0"/>
    <w:rsid w:val="002A6688"/>
    <w:rsid w:val="002B0460"/>
    <w:rsid w:val="002B0A68"/>
    <w:rsid w:val="002B1C83"/>
    <w:rsid w:val="002B2349"/>
    <w:rsid w:val="002B389F"/>
    <w:rsid w:val="002B4AAF"/>
    <w:rsid w:val="002B5421"/>
    <w:rsid w:val="002B6616"/>
    <w:rsid w:val="002B75A8"/>
    <w:rsid w:val="002C0CF5"/>
    <w:rsid w:val="002C3DA6"/>
    <w:rsid w:val="002C3DD6"/>
    <w:rsid w:val="002C4174"/>
    <w:rsid w:val="002C446D"/>
    <w:rsid w:val="002C6117"/>
    <w:rsid w:val="002C6DB5"/>
    <w:rsid w:val="002D1DEF"/>
    <w:rsid w:val="002D3AB7"/>
    <w:rsid w:val="002D3AEF"/>
    <w:rsid w:val="002D6AFD"/>
    <w:rsid w:val="002D6E3E"/>
    <w:rsid w:val="002D7737"/>
    <w:rsid w:val="002E012A"/>
    <w:rsid w:val="002E134B"/>
    <w:rsid w:val="002E25FC"/>
    <w:rsid w:val="002E393C"/>
    <w:rsid w:val="002E4722"/>
    <w:rsid w:val="002E5F4C"/>
    <w:rsid w:val="002E6721"/>
    <w:rsid w:val="002E7C23"/>
    <w:rsid w:val="002F0CD5"/>
    <w:rsid w:val="002F11BA"/>
    <w:rsid w:val="002F29C4"/>
    <w:rsid w:val="002F389F"/>
    <w:rsid w:val="002F45BC"/>
    <w:rsid w:val="002F4C49"/>
    <w:rsid w:val="002F54C1"/>
    <w:rsid w:val="00301106"/>
    <w:rsid w:val="003029FF"/>
    <w:rsid w:val="0030325C"/>
    <w:rsid w:val="00304C4E"/>
    <w:rsid w:val="00304D9D"/>
    <w:rsid w:val="00306DA6"/>
    <w:rsid w:val="0031156D"/>
    <w:rsid w:val="00311CBF"/>
    <w:rsid w:val="003122D5"/>
    <w:rsid w:val="00313E17"/>
    <w:rsid w:val="0031786D"/>
    <w:rsid w:val="00320153"/>
    <w:rsid w:val="003224C7"/>
    <w:rsid w:val="00325732"/>
    <w:rsid w:val="00327E26"/>
    <w:rsid w:val="00330C48"/>
    <w:rsid w:val="00330DD8"/>
    <w:rsid w:val="00331380"/>
    <w:rsid w:val="00331423"/>
    <w:rsid w:val="00331AA1"/>
    <w:rsid w:val="00332367"/>
    <w:rsid w:val="003329CF"/>
    <w:rsid w:val="0033357B"/>
    <w:rsid w:val="003363E0"/>
    <w:rsid w:val="0033710A"/>
    <w:rsid w:val="00337172"/>
    <w:rsid w:val="00337AF2"/>
    <w:rsid w:val="00337EC3"/>
    <w:rsid w:val="003405D3"/>
    <w:rsid w:val="00341DFC"/>
    <w:rsid w:val="003444E9"/>
    <w:rsid w:val="003461B3"/>
    <w:rsid w:val="00350B80"/>
    <w:rsid w:val="0035109F"/>
    <w:rsid w:val="0035299D"/>
    <w:rsid w:val="00356734"/>
    <w:rsid w:val="00356F2E"/>
    <w:rsid w:val="003601A7"/>
    <w:rsid w:val="00361109"/>
    <w:rsid w:val="00363191"/>
    <w:rsid w:val="00363504"/>
    <w:rsid w:val="0036433E"/>
    <w:rsid w:val="00370696"/>
    <w:rsid w:val="00371546"/>
    <w:rsid w:val="003727DA"/>
    <w:rsid w:val="00373305"/>
    <w:rsid w:val="003745A5"/>
    <w:rsid w:val="00375BC6"/>
    <w:rsid w:val="00376DD6"/>
    <w:rsid w:val="00380DB4"/>
    <w:rsid w:val="00381A67"/>
    <w:rsid w:val="003823A6"/>
    <w:rsid w:val="003838B9"/>
    <w:rsid w:val="00387E86"/>
    <w:rsid w:val="00391268"/>
    <w:rsid w:val="00391BBC"/>
    <w:rsid w:val="00392F32"/>
    <w:rsid w:val="0039407B"/>
    <w:rsid w:val="00396E72"/>
    <w:rsid w:val="003A430B"/>
    <w:rsid w:val="003A6EDE"/>
    <w:rsid w:val="003B00EC"/>
    <w:rsid w:val="003B016B"/>
    <w:rsid w:val="003B06BE"/>
    <w:rsid w:val="003B1841"/>
    <w:rsid w:val="003B32A0"/>
    <w:rsid w:val="003B343A"/>
    <w:rsid w:val="003B35E8"/>
    <w:rsid w:val="003B600B"/>
    <w:rsid w:val="003B72A3"/>
    <w:rsid w:val="003C04DF"/>
    <w:rsid w:val="003C2C6C"/>
    <w:rsid w:val="003C2FD0"/>
    <w:rsid w:val="003C4A62"/>
    <w:rsid w:val="003C4CEB"/>
    <w:rsid w:val="003C51FE"/>
    <w:rsid w:val="003C64E4"/>
    <w:rsid w:val="003C7EAF"/>
    <w:rsid w:val="003D26D0"/>
    <w:rsid w:val="003D5E11"/>
    <w:rsid w:val="003D5ED1"/>
    <w:rsid w:val="003D63E6"/>
    <w:rsid w:val="003E091C"/>
    <w:rsid w:val="003E1094"/>
    <w:rsid w:val="003E1B2D"/>
    <w:rsid w:val="003E2F07"/>
    <w:rsid w:val="003E31AA"/>
    <w:rsid w:val="003E3D00"/>
    <w:rsid w:val="003E5356"/>
    <w:rsid w:val="003F4B74"/>
    <w:rsid w:val="00400144"/>
    <w:rsid w:val="00400D54"/>
    <w:rsid w:val="0040151D"/>
    <w:rsid w:val="004043E5"/>
    <w:rsid w:val="00404A76"/>
    <w:rsid w:val="00404C4F"/>
    <w:rsid w:val="00406C36"/>
    <w:rsid w:val="00407912"/>
    <w:rsid w:val="00410860"/>
    <w:rsid w:val="00411594"/>
    <w:rsid w:val="004134C2"/>
    <w:rsid w:val="00413AD2"/>
    <w:rsid w:val="00416AC9"/>
    <w:rsid w:val="00416CB0"/>
    <w:rsid w:val="004214BD"/>
    <w:rsid w:val="0042292D"/>
    <w:rsid w:val="00422B14"/>
    <w:rsid w:val="00424562"/>
    <w:rsid w:val="0042456A"/>
    <w:rsid w:val="00424897"/>
    <w:rsid w:val="004259CB"/>
    <w:rsid w:val="00426CB5"/>
    <w:rsid w:val="0042700C"/>
    <w:rsid w:val="00430DF1"/>
    <w:rsid w:val="00433AAC"/>
    <w:rsid w:val="00434DA3"/>
    <w:rsid w:val="004365C7"/>
    <w:rsid w:val="004369A7"/>
    <w:rsid w:val="0043725F"/>
    <w:rsid w:val="00440E4C"/>
    <w:rsid w:val="00441309"/>
    <w:rsid w:val="00441A1F"/>
    <w:rsid w:val="00441C87"/>
    <w:rsid w:val="004421A0"/>
    <w:rsid w:val="0044275F"/>
    <w:rsid w:val="00444B08"/>
    <w:rsid w:val="00444C05"/>
    <w:rsid w:val="00444E95"/>
    <w:rsid w:val="004451F2"/>
    <w:rsid w:val="00447A83"/>
    <w:rsid w:val="00450AE7"/>
    <w:rsid w:val="00452527"/>
    <w:rsid w:val="00453F94"/>
    <w:rsid w:val="0045405E"/>
    <w:rsid w:val="0045524D"/>
    <w:rsid w:val="00455720"/>
    <w:rsid w:val="00455EFB"/>
    <w:rsid w:val="00455FA5"/>
    <w:rsid w:val="00456516"/>
    <w:rsid w:val="00461E0D"/>
    <w:rsid w:val="00462328"/>
    <w:rsid w:val="0046272B"/>
    <w:rsid w:val="00462D9E"/>
    <w:rsid w:val="00464878"/>
    <w:rsid w:val="00466864"/>
    <w:rsid w:val="00466F57"/>
    <w:rsid w:val="00467C9D"/>
    <w:rsid w:val="00470261"/>
    <w:rsid w:val="004711A9"/>
    <w:rsid w:val="00471ABA"/>
    <w:rsid w:val="00477510"/>
    <w:rsid w:val="00480985"/>
    <w:rsid w:val="00480CC1"/>
    <w:rsid w:val="00480FF7"/>
    <w:rsid w:val="004811BA"/>
    <w:rsid w:val="0048253E"/>
    <w:rsid w:val="00482F37"/>
    <w:rsid w:val="00483507"/>
    <w:rsid w:val="004858CB"/>
    <w:rsid w:val="00485D45"/>
    <w:rsid w:val="00486A6C"/>
    <w:rsid w:val="00487444"/>
    <w:rsid w:val="00490E3D"/>
    <w:rsid w:val="0049115B"/>
    <w:rsid w:val="004917FC"/>
    <w:rsid w:val="00491E97"/>
    <w:rsid w:val="004922CC"/>
    <w:rsid w:val="004940D3"/>
    <w:rsid w:val="004960D3"/>
    <w:rsid w:val="004960F3"/>
    <w:rsid w:val="00496C00"/>
    <w:rsid w:val="00497FEC"/>
    <w:rsid w:val="004A0B6D"/>
    <w:rsid w:val="004A0C4A"/>
    <w:rsid w:val="004A0D93"/>
    <w:rsid w:val="004A12AC"/>
    <w:rsid w:val="004A2354"/>
    <w:rsid w:val="004A5AB0"/>
    <w:rsid w:val="004B00EB"/>
    <w:rsid w:val="004B0D40"/>
    <w:rsid w:val="004B1194"/>
    <w:rsid w:val="004B1599"/>
    <w:rsid w:val="004B3136"/>
    <w:rsid w:val="004B5526"/>
    <w:rsid w:val="004C036F"/>
    <w:rsid w:val="004C1BF8"/>
    <w:rsid w:val="004C2000"/>
    <w:rsid w:val="004C4C0A"/>
    <w:rsid w:val="004C4C12"/>
    <w:rsid w:val="004C4E6C"/>
    <w:rsid w:val="004C5869"/>
    <w:rsid w:val="004C75D9"/>
    <w:rsid w:val="004D0C41"/>
    <w:rsid w:val="004D1CFA"/>
    <w:rsid w:val="004D2141"/>
    <w:rsid w:val="004D3932"/>
    <w:rsid w:val="004D5055"/>
    <w:rsid w:val="004D5AAF"/>
    <w:rsid w:val="004D5BE2"/>
    <w:rsid w:val="004D5E18"/>
    <w:rsid w:val="004D6163"/>
    <w:rsid w:val="004D64D7"/>
    <w:rsid w:val="004D6C75"/>
    <w:rsid w:val="004D6D60"/>
    <w:rsid w:val="004E0419"/>
    <w:rsid w:val="004E17EB"/>
    <w:rsid w:val="004E20E1"/>
    <w:rsid w:val="004E3BD3"/>
    <w:rsid w:val="004E537C"/>
    <w:rsid w:val="004E605C"/>
    <w:rsid w:val="004E78A6"/>
    <w:rsid w:val="004F0C90"/>
    <w:rsid w:val="004F10F4"/>
    <w:rsid w:val="004F14E2"/>
    <w:rsid w:val="004F15A3"/>
    <w:rsid w:val="004F2F63"/>
    <w:rsid w:val="004F3355"/>
    <w:rsid w:val="004F45E5"/>
    <w:rsid w:val="004F483B"/>
    <w:rsid w:val="004F5319"/>
    <w:rsid w:val="004F58A4"/>
    <w:rsid w:val="00500B33"/>
    <w:rsid w:val="0050192C"/>
    <w:rsid w:val="00502068"/>
    <w:rsid w:val="005023E9"/>
    <w:rsid w:val="005030D1"/>
    <w:rsid w:val="00503239"/>
    <w:rsid w:val="005048A9"/>
    <w:rsid w:val="00504CD2"/>
    <w:rsid w:val="005058C6"/>
    <w:rsid w:val="00506FB3"/>
    <w:rsid w:val="005107A4"/>
    <w:rsid w:val="00512B61"/>
    <w:rsid w:val="00512E3B"/>
    <w:rsid w:val="00513143"/>
    <w:rsid w:val="005131E7"/>
    <w:rsid w:val="00517C1B"/>
    <w:rsid w:val="00521905"/>
    <w:rsid w:val="00521A8A"/>
    <w:rsid w:val="0052537A"/>
    <w:rsid w:val="005261C6"/>
    <w:rsid w:val="00526A8B"/>
    <w:rsid w:val="005306F5"/>
    <w:rsid w:val="00530EFC"/>
    <w:rsid w:val="0053145D"/>
    <w:rsid w:val="0053265E"/>
    <w:rsid w:val="00534837"/>
    <w:rsid w:val="00534ED6"/>
    <w:rsid w:val="005356DD"/>
    <w:rsid w:val="00543721"/>
    <w:rsid w:val="0054383E"/>
    <w:rsid w:val="00544067"/>
    <w:rsid w:val="00544689"/>
    <w:rsid w:val="005448AE"/>
    <w:rsid w:val="00544EBF"/>
    <w:rsid w:val="0054752F"/>
    <w:rsid w:val="005477FF"/>
    <w:rsid w:val="005514EA"/>
    <w:rsid w:val="00551E13"/>
    <w:rsid w:val="0055265D"/>
    <w:rsid w:val="00555FB1"/>
    <w:rsid w:val="00555FE5"/>
    <w:rsid w:val="005578FA"/>
    <w:rsid w:val="00557F13"/>
    <w:rsid w:val="0056057A"/>
    <w:rsid w:val="005634A0"/>
    <w:rsid w:val="00564A34"/>
    <w:rsid w:val="00564BAA"/>
    <w:rsid w:val="005669ED"/>
    <w:rsid w:val="00566CE6"/>
    <w:rsid w:val="005715BF"/>
    <w:rsid w:val="00571676"/>
    <w:rsid w:val="0057386A"/>
    <w:rsid w:val="005745C2"/>
    <w:rsid w:val="00575575"/>
    <w:rsid w:val="005756EF"/>
    <w:rsid w:val="00575A12"/>
    <w:rsid w:val="00580472"/>
    <w:rsid w:val="00583DB2"/>
    <w:rsid w:val="00583FFD"/>
    <w:rsid w:val="0058644F"/>
    <w:rsid w:val="00586B5E"/>
    <w:rsid w:val="0058793F"/>
    <w:rsid w:val="00587E86"/>
    <w:rsid w:val="005905CC"/>
    <w:rsid w:val="0059345F"/>
    <w:rsid w:val="00593A2F"/>
    <w:rsid w:val="005942B5"/>
    <w:rsid w:val="00595C85"/>
    <w:rsid w:val="005964FC"/>
    <w:rsid w:val="00596640"/>
    <w:rsid w:val="005A0CDE"/>
    <w:rsid w:val="005A1A2E"/>
    <w:rsid w:val="005A2814"/>
    <w:rsid w:val="005A2F58"/>
    <w:rsid w:val="005A52CE"/>
    <w:rsid w:val="005A5694"/>
    <w:rsid w:val="005A60A3"/>
    <w:rsid w:val="005B1513"/>
    <w:rsid w:val="005B1F01"/>
    <w:rsid w:val="005B3D95"/>
    <w:rsid w:val="005B45B8"/>
    <w:rsid w:val="005B48F3"/>
    <w:rsid w:val="005B6567"/>
    <w:rsid w:val="005C1011"/>
    <w:rsid w:val="005C1A4B"/>
    <w:rsid w:val="005C2C22"/>
    <w:rsid w:val="005C3108"/>
    <w:rsid w:val="005C3351"/>
    <w:rsid w:val="005C46BB"/>
    <w:rsid w:val="005C6C9D"/>
    <w:rsid w:val="005D0EC6"/>
    <w:rsid w:val="005D3EBA"/>
    <w:rsid w:val="005D3F7B"/>
    <w:rsid w:val="005D3F83"/>
    <w:rsid w:val="005D5021"/>
    <w:rsid w:val="005D6B6D"/>
    <w:rsid w:val="005E0304"/>
    <w:rsid w:val="005E1F5B"/>
    <w:rsid w:val="005E2522"/>
    <w:rsid w:val="005E2B80"/>
    <w:rsid w:val="005E34A7"/>
    <w:rsid w:val="005E3ECC"/>
    <w:rsid w:val="005E6FB7"/>
    <w:rsid w:val="005F0064"/>
    <w:rsid w:val="005F26AC"/>
    <w:rsid w:val="005F2F17"/>
    <w:rsid w:val="005F30D3"/>
    <w:rsid w:val="005F379A"/>
    <w:rsid w:val="005F4287"/>
    <w:rsid w:val="005F469C"/>
    <w:rsid w:val="005F7FD5"/>
    <w:rsid w:val="00600FE7"/>
    <w:rsid w:val="006016B4"/>
    <w:rsid w:val="006019D1"/>
    <w:rsid w:val="006023C1"/>
    <w:rsid w:val="00605524"/>
    <w:rsid w:val="00605B31"/>
    <w:rsid w:val="00605C5D"/>
    <w:rsid w:val="006065FB"/>
    <w:rsid w:val="00607DDC"/>
    <w:rsid w:val="00611A33"/>
    <w:rsid w:val="00612869"/>
    <w:rsid w:val="006146BA"/>
    <w:rsid w:val="006172ED"/>
    <w:rsid w:val="00620063"/>
    <w:rsid w:val="00620D75"/>
    <w:rsid w:val="00621F2C"/>
    <w:rsid w:val="00624760"/>
    <w:rsid w:val="00624F2C"/>
    <w:rsid w:val="00626BC0"/>
    <w:rsid w:val="0063051C"/>
    <w:rsid w:val="00631736"/>
    <w:rsid w:val="006317BD"/>
    <w:rsid w:val="00631A7F"/>
    <w:rsid w:val="006328AE"/>
    <w:rsid w:val="00632C47"/>
    <w:rsid w:val="0064020E"/>
    <w:rsid w:val="0064066A"/>
    <w:rsid w:val="0064076F"/>
    <w:rsid w:val="0064087A"/>
    <w:rsid w:val="006418F4"/>
    <w:rsid w:val="00642A61"/>
    <w:rsid w:val="006451BF"/>
    <w:rsid w:val="006453CC"/>
    <w:rsid w:val="006468C6"/>
    <w:rsid w:val="00646E40"/>
    <w:rsid w:val="00647424"/>
    <w:rsid w:val="006476D3"/>
    <w:rsid w:val="00650431"/>
    <w:rsid w:val="006508E5"/>
    <w:rsid w:val="00652FE7"/>
    <w:rsid w:val="0065431E"/>
    <w:rsid w:val="0065499A"/>
    <w:rsid w:val="00655124"/>
    <w:rsid w:val="00657909"/>
    <w:rsid w:val="00657E91"/>
    <w:rsid w:val="006612EA"/>
    <w:rsid w:val="006617D1"/>
    <w:rsid w:val="00661C8C"/>
    <w:rsid w:val="006623D6"/>
    <w:rsid w:val="0066281C"/>
    <w:rsid w:val="00664653"/>
    <w:rsid w:val="0066478A"/>
    <w:rsid w:val="0066625E"/>
    <w:rsid w:val="006676FD"/>
    <w:rsid w:val="0067005D"/>
    <w:rsid w:val="00672FF4"/>
    <w:rsid w:val="00675B54"/>
    <w:rsid w:val="006809FB"/>
    <w:rsid w:val="0068111C"/>
    <w:rsid w:val="00682623"/>
    <w:rsid w:val="00683DE3"/>
    <w:rsid w:val="00684401"/>
    <w:rsid w:val="00684ECC"/>
    <w:rsid w:val="006856C3"/>
    <w:rsid w:val="006863E0"/>
    <w:rsid w:val="006871FD"/>
    <w:rsid w:val="006877C1"/>
    <w:rsid w:val="006904D3"/>
    <w:rsid w:val="0069132D"/>
    <w:rsid w:val="006929EA"/>
    <w:rsid w:val="00692BC9"/>
    <w:rsid w:val="0069501F"/>
    <w:rsid w:val="006961A8"/>
    <w:rsid w:val="00697C87"/>
    <w:rsid w:val="00697D22"/>
    <w:rsid w:val="006A1579"/>
    <w:rsid w:val="006A2FDF"/>
    <w:rsid w:val="006A3E5D"/>
    <w:rsid w:val="006A4A8A"/>
    <w:rsid w:val="006A4B96"/>
    <w:rsid w:val="006A505F"/>
    <w:rsid w:val="006A5309"/>
    <w:rsid w:val="006A5968"/>
    <w:rsid w:val="006A68DA"/>
    <w:rsid w:val="006A6C9E"/>
    <w:rsid w:val="006B3727"/>
    <w:rsid w:val="006B4BAA"/>
    <w:rsid w:val="006B5EEE"/>
    <w:rsid w:val="006B76B5"/>
    <w:rsid w:val="006B7BA8"/>
    <w:rsid w:val="006B7E76"/>
    <w:rsid w:val="006C011B"/>
    <w:rsid w:val="006C19CF"/>
    <w:rsid w:val="006C1B88"/>
    <w:rsid w:val="006C3458"/>
    <w:rsid w:val="006C3815"/>
    <w:rsid w:val="006C4170"/>
    <w:rsid w:val="006C4A05"/>
    <w:rsid w:val="006C5ACD"/>
    <w:rsid w:val="006C7218"/>
    <w:rsid w:val="006C75F7"/>
    <w:rsid w:val="006C7E9B"/>
    <w:rsid w:val="006D0BDE"/>
    <w:rsid w:val="006D0F3C"/>
    <w:rsid w:val="006D160E"/>
    <w:rsid w:val="006D3D10"/>
    <w:rsid w:val="006D4093"/>
    <w:rsid w:val="006D4430"/>
    <w:rsid w:val="006D586E"/>
    <w:rsid w:val="006D6C20"/>
    <w:rsid w:val="006D7C06"/>
    <w:rsid w:val="006D7D05"/>
    <w:rsid w:val="006E011D"/>
    <w:rsid w:val="006E1A9B"/>
    <w:rsid w:val="006E2E41"/>
    <w:rsid w:val="006E535B"/>
    <w:rsid w:val="006E5D67"/>
    <w:rsid w:val="006E6ED0"/>
    <w:rsid w:val="006E7124"/>
    <w:rsid w:val="006E7FC7"/>
    <w:rsid w:val="006F0EA3"/>
    <w:rsid w:val="006F2488"/>
    <w:rsid w:val="006F3519"/>
    <w:rsid w:val="006F356A"/>
    <w:rsid w:val="006F4947"/>
    <w:rsid w:val="006F5274"/>
    <w:rsid w:val="006F5923"/>
    <w:rsid w:val="006F6174"/>
    <w:rsid w:val="006F7A9E"/>
    <w:rsid w:val="006F7D4D"/>
    <w:rsid w:val="0070045F"/>
    <w:rsid w:val="007048B2"/>
    <w:rsid w:val="00706DCA"/>
    <w:rsid w:val="00707A7B"/>
    <w:rsid w:val="007123F2"/>
    <w:rsid w:val="00712C5C"/>
    <w:rsid w:val="0071321B"/>
    <w:rsid w:val="0071371C"/>
    <w:rsid w:val="007143E3"/>
    <w:rsid w:val="0071446F"/>
    <w:rsid w:val="00715945"/>
    <w:rsid w:val="007165DC"/>
    <w:rsid w:val="007166B2"/>
    <w:rsid w:val="00717330"/>
    <w:rsid w:val="007176CB"/>
    <w:rsid w:val="00720D3D"/>
    <w:rsid w:val="00720E8F"/>
    <w:rsid w:val="007210F9"/>
    <w:rsid w:val="00724416"/>
    <w:rsid w:val="0072773A"/>
    <w:rsid w:val="00727C00"/>
    <w:rsid w:val="00727CB2"/>
    <w:rsid w:val="007305B6"/>
    <w:rsid w:val="007319DA"/>
    <w:rsid w:val="00737C42"/>
    <w:rsid w:val="00741F90"/>
    <w:rsid w:val="007425D7"/>
    <w:rsid w:val="00742D00"/>
    <w:rsid w:val="00743AB2"/>
    <w:rsid w:val="00746AF7"/>
    <w:rsid w:val="00746FAD"/>
    <w:rsid w:val="0075016C"/>
    <w:rsid w:val="00752FA6"/>
    <w:rsid w:val="007530BD"/>
    <w:rsid w:val="00754168"/>
    <w:rsid w:val="00755570"/>
    <w:rsid w:val="00755F45"/>
    <w:rsid w:val="00757357"/>
    <w:rsid w:val="00760BF7"/>
    <w:rsid w:val="00762022"/>
    <w:rsid w:val="007630BD"/>
    <w:rsid w:val="0076459F"/>
    <w:rsid w:val="007648E8"/>
    <w:rsid w:val="00764E0B"/>
    <w:rsid w:val="00764FD2"/>
    <w:rsid w:val="00765862"/>
    <w:rsid w:val="0077274B"/>
    <w:rsid w:val="00772B49"/>
    <w:rsid w:val="00775691"/>
    <w:rsid w:val="00775E75"/>
    <w:rsid w:val="00777E6D"/>
    <w:rsid w:val="00780770"/>
    <w:rsid w:val="00782F8A"/>
    <w:rsid w:val="00783025"/>
    <w:rsid w:val="00783204"/>
    <w:rsid w:val="00784BFC"/>
    <w:rsid w:val="0078739B"/>
    <w:rsid w:val="00792B2B"/>
    <w:rsid w:val="00793D9D"/>
    <w:rsid w:val="007945BE"/>
    <w:rsid w:val="00794CF9"/>
    <w:rsid w:val="00794DBB"/>
    <w:rsid w:val="0079594A"/>
    <w:rsid w:val="007A104C"/>
    <w:rsid w:val="007A2250"/>
    <w:rsid w:val="007A2E91"/>
    <w:rsid w:val="007A3563"/>
    <w:rsid w:val="007A56C3"/>
    <w:rsid w:val="007A610A"/>
    <w:rsid w:val="007B095E"/>
    <w:rsid w:val="007B256F"/>
    <w:rsid w:val="007B2905"/>
    <w:rsid w:val="007B335E"/>
    <w:rsid w:val="007B3CAC"/>
    <w:rsid w:val="007B435B"/>
    <w:rsid w:val="007B48E9"/>
    <w:rsid w:val="007B7E70"/>
    <w:rsid w:val="007C0495"/>
    <w:rsid w:val="007C3C56"/>
    <w:rsid w:val="007C4FED"/>
    <w:rsid w:val="007C67CB"/>
    <w:rsid w:val="007D115D"/>
    <w:rsid w:val="007D1185"/>
    <w:rsid w:val="007D37FB"/>
    <w:rsid w:val="007D3AB0"/>
    <w:rsid w:val="007D3C57"/>
    <w:rsid w:val="007D6324"/>
    <w:rsid w:val="007D68C9"/>
    <w:rsid w:val="007D6F94"/>
    <w:rsid w:val="007D7B84"/>
    <w:rsid w:val="007E1F76"/>
    <w:rsid w:val="007E3453"/>
    <w:rsid w:val="007E3857"/>
    <w:rsid w:val="007E4180"/>
    <w:rsid w:val="007E437A"/>
    <w:rsid w:val="007E4A3F"/>
    <w:rsid w:val="007E6808"/>
    <w:rsid w:val="007E6E94"/>
    <w:rsid w:val="007E770F"/>
    <w:rsid w:val="007E775F"/>
    <w:rsid w:val="007F19E2"/>
    <w:rsid w:val="007F2369"/>
    <w:rsid w:val="007F2A00"/>
    <w:rsid w:val="007F2DEA"/>
    <w:rsid w:val="007F353C"/>
    <w:rsid w:val="007F42B0"/>
    <w:rsid w:val="007F557D"/>
    <w:rsid w:val="007F5D9C"/>
    <w:rsid w:val="008002FC"/>
    <w:rsid w:val="008016A7"/>
    <w:rsid w:val="00801ED9"/>
    <w:rsid w:val="00802399"/>
    <w:rsid w:val="008027C8"/>
    <w:rsid w:val="00802C99"/>
    <w:rsid w:val="00803922"/>
    <w:rsid w:val="008047E1"/>
    <w:rsid w:val="00804D31"/>
    <w:rsid w:val="0080586D"/>
    <w:rsid w:val="00805A3D"/>
    <w:rsid w:val="00806DDF"/>
    <w:rsid w:val="00806E29"/>
    <w:rsid w:val="00807174"/>
    <w:rsid w:val="00807C0F"/>
    <w:rsid w:val="00807F91"/>
    <w:rsid w:val="0081012C"/>
    <w:rsid w:val="0081039A"/>
    <w:rsid w:val="008103FD"/>
    <w:rsid w:val="00810570"/>
    <w:rsid w:val="00810605"/>
    <w:rsid w:val="00810BBC"/>
    <w:rsid w:val="008122F6"/>
    <w:rsid w:val="0081517F"/>
    <w:rsid w:val="0081549F"/>
    <w:rsid w:val="008176FD"/>
    <w:rsid w:val="00820221"/>
    <w:rsid w:val="00820966"/>
    <w:rsid w:val="008216F7"/>
    <w:rsid w:val="00822153"/>
    <w:rsid w:val="00822FBD"/>
    <w:rsid w:val="00823AB7"/>
    <w:rsid w:val="00825897"/>
    <w:rsid w:val="00827113"/>
    <w:rsid w:val="00827169"/>
    <w:rsid w:val="00827DAF"/>
    <w:rsid w:val="008306A2"/>
    <w:rsid w:val="00830FAF"/>
    <w:rsid w:val="00831F37"/>
    <w:rsid w:val="00831F70"/>
    <w:rsid w:val="00833134"/>
    <w:rsid w:val="00833713"/>
    <w:rsid w:val="00833D9B"/>
    <w:rsid w:val="008340FE"/>
    <w:rsid w:val="00835A40"/>
    <w:rsid w:val="00835AA0"/>
    <w:rsid w:val="00835DCD"/>
    <w:rsid w:val="00835FBF"/>
    <w:rsid w:val="00836DA8"/>
    <w:rsid w:val="00836ECE"/>
    <w:rsid w:val="008414B9"/>
    <w:rsid w:val="00842143"/>
    <w:rsid w:val="0084380A"/>
    <w:rsid w:val="00844E66"/>
    <w:rsid w:val="0084592D"/>
    <w:rsid w:val="00847CD5"/>
    <w:rsid w:val="00850B2A"/>
    <w:rsid w:val="00850F7C"/>
    <w:rsid w:val="00852D29"/>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93A"/>
    <w:rsid w:val="00876C63"/>
    <w:rsid w:val="00876D94"/>
    <w:rsid w:val="008775BF"/>
    <w:rsid w:val="0089069E"/>
    <w:rsid w:val="008912D3"/>
    <w:rsid w:val="008914CB"/>
    <w:rsid w:val="008937B1"/>
    <w:rsid w:val="00894A43"/>
    <w:rsid w:val="00894C7E"/>
    <w:rsid w:val="00895477"/>
    <w:rsid w:val="00897736"/>
    <w:rsid w:val="008A15AE"/>
    <w:rsid w:val="008A1DBB"/>
    <w:rsid w:val="008A2A18"/>
    <w:rsid w:val="008A4832"/>
    <w:rsid w:val="008A640B"/>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5A6"/>
    <w:rsid w:val="008D4CB3"/>
    <w:rsid w:val="008D5CDB"/>
    <w:rsid w:val="008D643C"/>
    <w:rsid w:val="008D6554"/>
    <w:rsid w:val="008D7E71"/>
    <w:rsid w:val="008E0B20"/>
    <w:rsid w:val="008E417C"/>
    <w:rsid w:val="008E584F"/>
    <w:rsid w:val="008E5E8B"/>
    <w:rsid w:val="008E6072"/>
    <w:rsid w:val="008E6640"/>
    <w:rsid w:val="008E71DA"/>
    <w:rsid w:val="008F2669"/>
    <w:rsid w:val="008F2710"/>
    <w:rsid w:val="008F432E"/>
    <w:rsid w:val="008F50BB"/>
    <w:rsid w:val="008F784B"/>
    <w:rsid w:val="008F7A01"/>
    <w:rsid w:val="00900322"/>
    <w:rsid w:val="00900AF7"/>
    <w:rsid w:val="00901909"/>
    <w:rsid w:val="00901ACE"/>
    <w:rsid w:val="00901B37"/>
    <w:rsid w:val="009043D1"/>
    <w:rsid w:val="0090500B"/>
    <w:rsid w:val="0090746E"/>
    <w:rsid w:val="009074B6"/>
    <w:rsid w:val="0090771A"/>
    <w:rsid w:val="00907D44"/>
    <w:rsid w:val="009106C1"/>
    <w:rsid w:val="00910BA4"/>
    <w:rsid w:val="00912C9D"/>
    <w:rsid w:val="00913112"/>
    <w:rsid w:val="00915499"/>
    <w:rsid w:val="00916595"/>
    <w:rsid w:val="009169DE"/>
    <w:rsid w:val="00921A13"/>
    <w:rsid w:val="009226BB"/>
    <w:rsid w:val="00922E94"/>
    <w:rsid w:val="00924CB1"/>
    <w:rsid w:val="00925905"/>
    <w:rsid w:val="00925FC9"/>
    <w:rsid w:val="00926039"/>
    <w:rsid w:val="00926BE2"/>
    <w:rsid w:val="009275C5"/>
    <w:rsid w:val="00927772"/>
    <w:rsid w:val="00931E88"/>
    <w:rsid w:val="00933939"/>
    <w:rsid w:val="00934162"/>
    <w:rsid w:val="009342D4"/>
    <w:rsid w:val="00936818"/>
    <w:rsid w:val="009369EF"/>
    <w:rsid w:val="00936A52"/>
    <w:rsid w:val="00940B15"/>
    <w:rsid w:val="0094391C"/>
    <w:rsid w:val="00943DEC"/>
    <w:rsid w:val="00945661"/>
    <w:rsid w:val="00946996"/>
    <w:rsid w:val="0095322B"/>
    <w:rsid w:val="0095360A"/>
    <w:rsid w:val="0095409A"/>
    <w:rsid w:val="009559EB"/>
    <w:rsid w:val="009604D5"/>
    <w:rsid w:val="009626CA"/>
    <w:rsid w:val="00962D06"/>
    <w:rsid w:val="00963402"/>
    <w:rsid w:val="00964835"/>
    <w:rsid w:val="00966868"/>
    <w:rsid w:val="00966917"/>
    <w:rsid w:val="00967387"/>
    <w:rsid w:val="00967EDA"/>
    <w:rsid w:val="009709AB"/>
    <w:rsid w:val="00971FD5"/>
    <w:rsid w:val="0097223A"/>
    <w:rsid w:val="009729E3"/>
    <w:rsid w:val="00974167"/>
    <w:rsid w:val="00974BED"/>
    <w:rsid w:val="00976143"/>
    <w:rsid w:val="009775A7"/>
    <w:rsid w:val="00977EDE"/>
    <w:rsid w:val="00980073"/>
    <w:rsid w:val="00980784"/>
    <w:rsid w:val="0098167D"/>
    <w:rsid w:val="00982041"/>
    <w:rsid w:val="00983099"/>
    <w:rsid w:val="009832E7"/>
    <w:rsid w:val="009836DB"/>
    <w:rsid w:val="009839EA"/>
    <w:rsid w:val="00984A57"/>
    <w:rsid w:val="00984EF3"/>
    <w:rsid w:val="00985A9F"/>
    <w:rsid w:val="00986062"/>
    <w:rsid w:val="009911A1"/>
    <w:rsid w:val="0099175F"/>
    <w:rsid w:val="00992322"/>
    <w:rsid w:val="00992A3A"/>
    <w:rsid w:val="00992AF6"/>
    <w:rsid w:val="00993261"/>
    <w:rsid w:val="00993578"/>
    <w:rsid w:val="00997E03"/>
    <w:rsid w:val="009A04C6"/>
    <w:rsid w:val="009A0770"/>
    <w:rsid w:val="009A0BA3"/>
    <w:rsid w:val="009A1A8B"/>
    <w:rsid w:val="009A2A56"/>
    <w:rsid w:val="009A418D"/>
    <w:rsid w:val="009A520C"/>
    <w:rsid w:val="009A64FF"/>
    <w:rsid w:val="009A75FE"/>
    <w:rsid w:val="009B137E"/>
    <w:rsid w:val="009B2144"/>
    <w:rsid w:val="009B2D08"/>
    <w:rsid w:val="009B6315"/>
    <w:rsid w:val="009B6C73"/>
    <w:rsid w:val="009C4645"/>
    <w:rsid w:val="009C59F9"/>
    <w:rsid w:val="009C63B1"/>
    <w:rsid w:val="009C6C6F"/>
    <w:rsid w:val="009C7800"/>
    <w:rsid w:val="009D0173"/>
    <w:rsid w:val="009D0895"/>
    <w:rsid w:val="009D3283"/>
    <w:rsid w:val="009D3644"/>
    <w:rsid w:val="009D3EAE"/>
    <w:rsid w:val="009D4BEF"/>
    <w:rsid w:val="009D4D73"/>
    <w:rsid w:val="009D5029"/>
    <w:rsid w:val="009D5DD3"/>
    <w:rsid w:val="009D6DC4"/>
    <w:rsid w:val="009D7295"/>
    <w:rsid w:val="009D761B"/>
    <w:rsid w:val="009D7AAE"/>
    <w:rsid w:val="009E0536"/>
    <w:rsid w:val="009E0D4A"/>
    <w:rsid w:val="009E246D"/>
    <w:rsid w:val="009E2A07"/>
    <w:rsid w:val="009E3AA4"/>
    <w:rsid w:val="009E3C63"/>
    <w:rsid w:val="009E440F"/>
    <w:rsid w:val="009E5020"/>
    <w:rsid w:val="009E5FD0"/>
    <w:rsid w:val="009E60EA"/>
    <w:rsid w:val="009E6590"/>
    <w:rsid w:val="009E7F8B"/>
    <w:rsid w:val="009F01CF"/>
    <w:rsid w:val="009F06C5"/>
    <w:rsid w:val="009F0C46"/>
    <w:rsid w:val="009F2505"/>
    <w:rsid w:val="009F2AEA"/>
    <w:rsid w:val="009F366D"/>
    <w:rsid w:val="009F37F7"/>
    <w:rsid w:val="009F599E"/>
    <w:rsid w:val="009F5B9C"/>
    <w:rsid w:val="009F7D3B"/>
    <w:rsid w:val="00A00126"/>
    <w:rsid w:val="00A003C1"/>
    <w:rsid w:val="00A004D3"/>
    <w:rsid w:val="00A00655"/>
    <w:rsid w:val="00A00C58"/>
    <w:rsid w:val="00A010F0"/>
    <w:rsid w:val="00A02290"/>
    <w:rsid w:val="00A0423B"/>
    <w:rsid w:val="00A04535"/>
    <w:rsid w:val="00A070EE"/>
    <w:rsid w:val="00A07363"/>
    <w:rsid w:val="00A0739C"/>
    <w:rsid w:val="00A07976"/>
    <w:rsid w:val="00A107C9"/>
    <w:rsid w:val="00A13043"/>
    <w:rsid w:val="00A13616"/>
    <w:rsid w:val="00A1363C"/>
    <w:rsid w:val="00A13BD0"/>
    <w:rsid w:val="00A14DE4"/>
    <w:rsid w:val="00A151FA"/>
    <w:rsid w:val="00A179D3"/>
    <w:rsid w:val="00A23587"/>
    <w:rsid w:val="00A23EE3"/>
    <w:rsid w:val="00A25C59"/>
    <w:rsid w:val="00A3012B"/>
    <w:rsid w:val="00A30F3D"/>
    <w:rsid w:val="00A31F82"/>
    <w:rsid w:val="00A337A3"/>
    <w:rsid w:val="00A350E9"/>
    <w:rsid w:val="00A3538E"/>
    <w:rsid w:val="00A3720D"/>
    <w:rsid w:val="00A37505"/>
    <w:rsid w:val="00A40594"/>
    <w:rsid w:val="00A41A0B"/>
    <w:rsid w:val="00A44C46"/>
    <w:rsid w:val="00A455E5"/>
    <w:rsid w:val="00A455F7"/>
    <w:rsid w:val="00A456F5"/>
    <w:rsid w:val="00A45853"/>
    <w:rsid w:val="00A46E22"/>
    <w:rsid w:val="00A47E4F"/>
    <w:rsid w:val="00A513D2"/>
    <w:rsid w:val="00A51406"/>
    <w:rsid w:val="00A530A2"/>
    <w:rsid w:val="00A53E78"/>
    <w:rsid w:val="00A54A51"/>
    <w:rsid w:val="00A56887"/>
    <w:rsid w:val="00A60B29"/>
    <w:rsid w:val="00A60B80"/>
    <w:rsid w:val="00A61197"/>
    <w:rsid w:val="00A624AE"/>
    <w:rsid w:val="00A62548"/>
    <w:rsid w:val="00A63267"/>
    <w:rsid w:val="00A635F0"/>
    <w:rsid w:val="00A64046"/>
    <w:rsid w:val="00A64535"/>
    <w:rsid w:val="00A71411"/>
    <w:rsid w:val="00A71C30"/>
    <w:rsid w:val="00A71EF1"/>
    <w:rsid w:val="00A72235"/>
    <w:rsid w:val="00A72A25"/>
    <w:rsid w:val="00A740D7"/>
    <w:rsid w:val="00A75555"/>
    <w:rsid w:val="00A759CD"/>
    <w:rsid w:val="00A76316"/>
    <w:rsid w:val="00A7660D"/>
    <w:rsid w:val="00A767AC"/>
    <w:rsid w:val="00A776D2"/>
    <w:rsid w:val="00A836BF"/>
    <w:rsid w:val="00A83C4D"/>
    <w:rsid w:val="00A83D4C"/>
    <w:rsid w:val="00A84317"/>
    <w:rsid w:val="00A85490"/>
    <w:rsid w:val="00A85845"/>
    <w:rsid w:val="00A86707"/>
    <w:rsid w:val="00A86794"/>
    <w:rsid w:val="00A914E9"/>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3C76"/>
    <w:rsid w:val="00AA3E6B"/>
    <w:rsid w:val="00AA3FDF"/>
    <w:rsid w:val="00AA5D0C"/>
    <w:rsid w:val="00AA66D7"/>
    <w:rsid w:val="00AA6B2C"/>
    <w:rsid w:val="00AB15E6"/>
    <w:rsid w:val="00AB1EE0"/>
    <w:rsid w:val="00AB2014"/>
    <w:rsid w:val="00AB234B"/>
    <w:rsid w:val="00AB23FC"/>
    <w:rsid w:val="00AB2493"/>
    <w:rsid w:val="00AB34BD"/>
    <w:rsid w:val="00AB3C03"/>
    <w:rsid w:val="00AB50AF"/>
    <w:rsid w:val="00AB52EA"/>
    <w:rsid w:val="00AB5EF6"/>
    <w:rsid w:val="00AB682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1D0E"/>
    <w:rsid w:val="00AF2D24"/>
    <w:rsid w:val="00AF413F"/>
    <w:rsid w:val="00AF420A"/>
    <w:rsid w:val="00AF4465"/>
    <w:rsid w:val="00AF4901"/>
    <w:rsid w:val="00AF670F"/>
    <w:rsid w:val="00AF6E5B"/>
    <w:rsid w:val="00AF75AC"/>
    <w:rsid w:val="00AF766A"/>
    <w:rsid w:val="00B0073B"/>
    <w:rsid w:val="00B014BB"/>
    <w:rsid w:val="00B02826"/>
    <w:rsid w:val="00B045EC"/>
    <w:rsid w:val="00B058FF"/>
    <w:rsid w:val="00B07483"/>
    <w:rsid w:val="00B074D0"/>
    <w:rsid w:val="00B10CFD"/>
    <w:rsid w:val="00B155C3"/>
    <w:rsid w:val="00B158C3"/>
    <w:rsid w:val="00B201CE"/>
    <w:rsid w:val="00B22517"/>
    <w:rsid w:val="00B2293D"/>
    <w:rsid w:val="00B2353C"/>
    <w:rsid w:val="00B272BE"/>
    <w:rsid w:val="00B27737"/>
    <w:rsid w:val="00B27A14"/>
    <w:rsid w:val="00B32C84"/>
    <w:rsid w:val="00B33E5E"/>
    <w:rsid w:val="00B34D85"/>
    <w:rsid w:val="00B3567F"/>
    <w:rsid w:val="00B3710C"/>
    <w:rsid w:val="00B37FE3"/>
    <w:rsid w:val="00B413CC"/>
    <w:rsid w:val="00B41521"/>
    <w:rsid w:val="00B415FE"/>
    <w:rsid w:val="00B42205"/>
    <w:rsid w:val="00B43502"/>
    <w:rsid w:val="00B445B9"/>
    <w:rsid w:val="00B44E97"/>
    <w:rsid w:val="00B46A08"/>
    <w:rsid w:val="00B46C4E"/>
    <w:rsid w:val="00B47DAA"/>
    <w:rsid w:val="00B50098"/>
    <w:rsid w:val="00B504BE"/>
    <w:rsid w:val="00B506B0"/>
    <w:rsid w:val="00B51E71"/>
    <w:rsid w:val="00B52A04"/>
    <w:rsid w:val="00B53238"/>
    <w:rsid w:val="00B5343C"/>
    <w:rsid w:val="00B53EA7"/>
    <w:rsid w:val="00B541FB"/>
    <w:rsid w:val="00B5580D"/>
    <w:rsid w:val="00B55E5A"/>
    <w:rsid w:val="00B561E7"/>
    <w:rsid w:val="00B568BF"/>
    <w:rsid w:val="00B573CF"/>
    <w:rsid w:val="00B60383"/>
    <w:rsid w:val="00B664E9"/>
    <w:rsid w:val="00B67A2A"/>
    <w:rsid w:val="00B70610"/>
    <w:rsid w:val="00B72DDC"/>
    <w:rsid w:val="00B7347F"/>
    <w:rsid w:val="00B74AB7"/>
    <w:rsid w:val="00B75565"/>
    <w:rsid w:val="00B76017"/>
    <w:rsid w:val="00B7689E"/>
    <w:rsid w:val="00B81053"/>
    <w:rsid w:val="00B82164"/>
    <w:rsid w:val="00B870C8"/>
    <w:rsid w:val="00B8765C"/>
    <w:rsid w:val="00B87B00"/>
    <w:rsid w:val="00B90513"/>
    <w:rsid w:val="00B90A5B"/>
    <w:rsid w:val="00B90C2A"/>
    <w:rsid w:val="00B916FF"/>
    <w:rsid w:val="00B9217D"/>
    <w:rsid w:val="00B92345"/>
    <w:rsid w:val="00B92C4F"/>
    <w:rsid w:val="00B95196"/>
    <w:rsid w:val="00B9530E"/>
    <w:rsid w:val="00B95B12"/>
    <w:rsid w:val="00B974CB"/>
    <w:rsid w:val="00BA02A3"/>
    <w:rsid w:val="00BA14BA"/>
    <w:rsid w:val="00BA17A9"/>
    <w:rsid w:val="00BA30F2"/>
    <w:rsid w:val="00BA3736"/>
    <w:rsid w:val="00BA4EAC"/>
    <w:rsid w:val="00BA617C"/>
    <w:rsid w:val="00BA68B2"/>
    <w:rsid w:val="00BA6B18"/>
    <w:rsid w:val="00BA7C51"/>
    <w:rsid w:val="00BA7E1E"/>
    <w:rsid w:val="00BA7E21"/>
    <w:rsid w:val="00BB18C4"/>
    <w:rsid w:val="00BB4144"/>
    <w:rsid w:val="00BB4BBA"/>
    <w:rsid w:val="00BB505E"/>
    <w:rsid w:val="00BB7324"/>
    <w:rsid w:val="00BB78A6"/>
    <w:rsid w:val="00BC0543"/>
    <w:rsid w:val="00BC11E8"/>
    <w:rsid w:val="00BC15FB"/>
    <w:rsid w:val="00BC16FF"/>
    <w:rsid w:val="00BC1721"/>
    <w:rsid w:val="00BC22CF"/>
    <w:rsid w:val="00BC3D6F"/>
    <w:rsid w:val="00BC4C6A"/>
    <w:rsid w:val="00BC57F5"/>
    <w:rsid w:val="00BC782B"/>
    <w:rsid w:val="00BD1D4D"/>
    <w:rsid w:val="00BD498B"/>
    <w:rsid w:val="00BD604B"/>
    <w:rsid w:val="00BD65CD"/>
    <w:rsid w:val="00BD6A7C"/>
    <w:rsid w:val="00BD768A"/>
    <w:rsid w:val="00BD7AFF"/>
    <w:rsid w:val="00BD7CA7"/>
    <w:rsid w:val="00BE13B9"/>
    <w:rsid w:val="00BE4FCF"/>
    <w:rsid w:val="00BE5827"/>
    <w:rsid w:val="00BE5B8B"/>
    <w:rsid w:val="00BE5DA9"/>
    <w:rsid w:val="00BE69FF"/>
    <w:rsid w:val="00BF0872"/>
    <w:rsid w:val="00BF1745"/>
    <w:rsid w:val="00BF19FA"/>
    <w:rsid w:val="00BF3DB5"/>
    <w:rsid w:val="00BF4C3E"/>
    <w:rsid w:val="00BF757A"/>
    <w:rsid w:val="00C017FF"/>
    <w:rsid w:val="00C01FBD"/>
    <w:rsid w:val="00C02090"/>
    <w:rsid w:val="00C022E9"/>
    <w:rsid w:val="00C03970"/>
    <w:rsid w:val="00C04472"/>
    <w:rsid w:val="00C04AA0"/>
    <w:rsid w:val="00C060B9"/>
    <w:rsid w:val="00C06806"/>
    <w:rsid w:val="00C0746C"/>
    <w:rsid w:val="00C07ED9"/>
    <w:rsid w:val="00C11341"/>
    <w:rsid w:val="00C14F79"/>
    <w:rsid w:val="00C15A5E"/>
    <w:rsid w:val="00C17352"/>
    <w:rsid w:val="00C17507"/>
    <w:rsid w:val="00C17BFA"/>
    <w:rsid w:val="00C22767"/>
    <w:rsid w:val="00C22C2F"/>
    <w:rsid w:val="00C25992"/>
    <w:rsid w:val="00C267E3"/>
    <w:rsid w:val="00C27B64"/>
    <w:rsid w:val="00C30167"/>
    <w:rsid w:val="00C308DC"/>
    <w:rsid w:val="00C31AC5"/>
    <w:rsid w:val="00C31CE3"/>
    <w:rsid w:val="00C3206E"/>
    <w:rsid w:val="00C365F1"/>
    <w:rsid w:val="00C36EA2"/>
    <w:rsid w:val="00C37F27"/>
    <w:rsid w:val="00C40CC6"/>
    <w:rsid w:val="00C41E59"/>
    <w:rsid w:val="00C449B4"/>
    <w:rsid w:val="00C4510D"/>
    <w:rsid w:val="00C45F28"/>
    <w:rsid w:val="00C471D2"/>
    <w:rsid w:val="00C4754D"/>
    <w:rsid w:val="00C50A1C"/>
    <w:rsid w:val="00C514CD"/>
    <w:rsid w:val="00C5311E"/>
    <w:rsid w:val="00C5343D"/>
    <w:rsid w:val="00C54A52"/>
    <w:rsid w:val="00C5641F"/>
    <w:rsid w:val="00C60A5E"/>
    <w:rsid w:val="00C61028"/>
    <w:rsid w:val="00C61954"/>
    <w:rsid w:val="00C62B36"/>
    <w:rsid w:val="00C63219"/>
    <w:rsid w:val="00C632D8"/>
    <w:rsid w:val="00C63CDC"/>
    <w:rsid w:val="00C64182"/>
    <w:rsid w:val="00C66EA0"/>
    <w:rsid w:val="00C70604"/>
    <w:rsid w:val="00C73071"/>
    <w:rsid w:val="00C7392F"/>
    <w:rsid w:val="00C74920"/>
    <w:rsid w:val="00C7610F"/>
    <w:rsid w:val="00C773F8"/>
    <w:rsid w:val="00C773F9"/>
    <w:rsid w:val="00C775A1"/>
    <w:rsid w:val="00C77B0A"/>
    <w:rsid w:val="00C8091E"/>
    <w:rsid w:val="00C80EE0"/>
    <w:rsid w:val="00C8162B"/>
    <w:rsid w:val="00C816BA"/>
    <w:rsid w:val="00C81CA2"/>
    <w:rsid w:val="00C8291D"/>
    <w:rsid w:val="00C833B1"/>
    <w:rsid w:val="00C862E0"/>
    <w:rsid w:val="00C913EF"/>
    <w:rsid w:val="00C91C9D"/>
    <w:rsid w:val="00C939B9"/>
    <w:rsid w:val="00C93A2E"/>
    <w:rsid w:val="00C95F0B"/>
    <w:rsid w:val="00C96435"/>
    <w:rsid w:val="00C96BF3"/>
    <w:rsid w:val="00C97AFD"/>
    <w:rsid w:val="00CA17E1"/>
    <w:rsid w:val="00CA1E0F"/>
    <w:rsid w:val="00CA2484"/>
    <w:rsid w:val="00CA2910"/>
    <w:rsid w:val="00CA296D"/>
    <w:rsid w:val="00CA32BF"/>
    <w:rsid w:val="00CA32DC"/>
    <w:rsid w:val="00CA5D88"/>
    <w:rsid w:val="00CA5EA6"/>
    <w:rsid w:val="00CA6433"/>
    <w:rsid w:val="00CA647F"/>
    <w:rsid w:val="00CA69D7"/>
    <w:rsid w:val="00CA70D9"/>
    <w:rsid w:val="00CA79F7"/>
    <w:rsid w:val="00CB00DA"/>
    <w:rsid w:val="00CB46E0"/>
    <w:rsid w:val="00CB5291"/>
    <w:rsid w:val="00CB644D"/>
    <w:rsid w:val="00CB7517"/>
    <w:rsid w:val="00CC016D"/>
    <w:rsid w:val="00CC01F2"/>
    <w:rsid w:val="00CC07FA"/>
    <w:rsid w:val="00CC0B97"/>
    <w:rsid w:val="00CC174B"/>
    <w:rsid w:val="00CC2B30"/>
    <w:rsid w:val="00CC3532"/>
    <w:rsid w:val="00CC5AC0"/>
    <w:rsid w:val="00CC6554"/>
    <w:rsid w:val="00CD00BC"/>
    <w:rsid w:val="00CD1954"/>
    <w:rsid w:val="00CD1F12"/>
    <w:rsid w:val="00CD34FF"/>
    <w:rsid w:val="00CD36CA"/>
    <w:rsid w:val="00CD37B5"/>
    <w:rsid w:val="00CD3B65"/>
    <w:rsid w:val="00CD3CB1"/>
    <w:rsid w:val="00CD3D46"/>
    <w:rsid w:val="00CD43FA"/>
    <w:rsid w:val="00CD608D"/>
    <w:rsid w:val="00CD7616"/>
    <w:rsid w:val="00CD795A"/>
    <w:rsid w:val="00CE0BF0"/>
    <w:rsid w:val="00CE11DD"/>
    <w:rsid w:val="00CE30E7"/>
    <w:rsid w:val="00CE3283"/>
    <w:rsid w:val="00CE35FD"/>
    <w:rsid w:val="00CE4D95"/>
    <w:rsid w:val="00CE629D"/>
    <w:rsid w:val="00CF07E6"/>
    <w:rsid w:val="00CF226E"/>
    <w:rsid w:val="00CF2562"/>
    <w:rsid w:val="00CF2DFF"/>
    <w:rsid w:val="00CF33B6"/>
    <w:rsid w:val="00CF4066"/>
    <w:rsid w:val="00CF406F"/>
    <w:rsid w:val="00CF5521"/>
    <w:rsid w:val="00CF7D29"/>
    <w:rsid w:val="00D01FB8"/>
    <w:rsid w:val="00D021C2"/>
    <w:rsid w:val="00D02A81"/>
    <w:rsid w:val="00D02DB3"/>
    <w:rsid w:val="00D04C65"/>
    <w:rsid w:val="00D04C90"/>
    <w:rsid w:val="00D062BE"/>
    <w:rsid w:val="00D06457"/>
    <w:rsid w:val="00D06776"/>
    <w:rsid w:val="00D07E73"/>
    <w:rsid w:val="00D115E6"/>
    <w:rsid w:val="00D13FEF"/>
    <w:rsid w:val="00D151E7"/>
    <w:rsid w:val="00D1730F"/>
    <w:rsid w:val="00D17787"/>
    <w:rsid w:val="00D17B1C"/>
    <w:rsid w:val="00D20593"/>
    <w:rsid w:val="00D22406"/>
    <w:rsid w:val="00D2384D"/>
    <w:rsid w:val="00D23E3A"/>
    <w:rsid w:val="00D25869"/>
    <w:rsid w:val="00D25AC0"/>
    <w:rsid w:val="00D25C0A"/>
    <w:rsid w:val="00D25D86"/>
    <w:rsid w:val="00D263F1"/>
    <w:rsid w:val="00D26487"/>
    <w:rsid w:val="00D265C8"/>
    <w:rsid w:val="00D323C4"/>
    <w:rsid w:val="00D33F2B"/>
    <w:rsid w:val="00D340DB"/>
    <w:rsid w:val="00D34189"/>
    <w:rsid w:val="00D34CE8"/>
    <w:rsid w:val="00D34E19"/>
    <w:rsid w:val="00D3593A"/>
    <w:rsid w:val="00D36139"/>
    <w:rsid w:val="00D375D6"/>
    <w:rsid w:val="00D4001C"/>
    <w:rsid w:val="00D4388E"/>
    <w:rsid w:val="00D438F0"/>
    <w:rsid w:val="00D44372"/>
    <w:rsid w:val="00D443D4"/>
    <w:rsid w:val="00D4603C"/>
    <w:rsid w:val="00D5206B"/>
    <w:rsid w:val="00D52ADB"/>
    <w:rsid w:val="00D53161"/>
    <w:rsid w:val="00D540A0"/>
    <w:rsid w:val="00D5508F"/>
    <w:rsid w:val="00D55786"/>
    <w:rsid w:val="00D55EC2"/>
    <w:rsid w:val="00D55F02"/>
    <w:rsid w:val="00D574A0"/>
    <w:rsid w:val="00D60812"/>
    <w:rsid w:val="00D60A30"/>
    <w:rsid w:val="00D623DD"/>
    <w:rsid w:val="00D62D39"/>
    <w:rsid w:val="00D62FA0"/>
    <w:rsid w:val="00D632DB"/>
    <w:rsid w:val="00D63708"/>
    <w:rsid w:val="00D63B83"/>
    <w:rsid w:val="00D6481B"/>
    <w:rsid w:val="00D66900"/>
    <w:rsid w:val="00D67371"/>
    <w:rsid w:val="00D70935"/>
    <w:rsid w:val="00D724FE"/>
    <w:rsid w:val="00D74BED"/>
    <w:rsid w:val="00D756E1"/>
    <w:rsid w:val="00D759E5"/>
    <w:rsid w:val="00D77706"/>
    <w:rsid w:val="00D77A2F"/>
    <w:rsid w:val="00D80219"/>
    <w:rsid w:val="00D8128F"/>
    <w:rsid w:val="00D82717"/>
    <w:rsid w:val="00D82D31"/>
    <w:rsid w:val="00D82E17"/>
    <w:rsid w:val="00D83283"/>
    <w:rsid w:val="00D84645"/>
    <w:rsid w:val="00D859AC"/>
    <w:rsid w:val="00D86198"/>
    <w:rsid w:val="00D874EA"/>
    <w:rsid w:val="00D87704"/>
    <w:rsid w:val="00D878BD"/>
    <w:rsid w:val="00D90EDE"/>
    <w:rsid w:val="00D9165A"/>
    <w:rsid w:val="00D91EAA"/>
    <w:rsid w:val="00D92AC0"/>
    <w:rsid w:val="00D94DD8"/>
    <w:rsid w:val="00D96028"/>
    <w:rsid w:val="00DA1892"/>
    <w:rsid w:val="00DA204E"/>
    <w:rsid w:val="00DA22EF"/>
    <w:rsid w:val="00DA34B6"/>
    <w:rsid w:val="00DA36CA"/>
    <w:rsid w:val="00DA48A7"/>
    <w:rsid w:val="00DA5907"/>
    <w:rsid w:val="00DA6E22"/>
    <w:rsid w:val="00DA6E7B"/>
    <w:rsid w:val="00DA7022"/>
    <w:rsid w:val="00DB0AED"/>
    <w:rsid w:val="00DB10AB"/>
    <w:rsid w:val="00DB1F0A"/>
    <w:rsid w:val="00DB2B34"/>
    <w:rsid w:val="00DB3CCC"/>
    <w:rsid w:val="00DB53CB"/>
    <w:rsid w:val="00DB67F3"/>
    <w:rsid w:val="00DC11F9"/>
    <w:rsid w:val="00DC2867"/>
    <w:rsid w:val="00DC2BC4"/>
    <w:rsid w:val="00DC343A"/>
    <w:rsid w:val="00DC6B70"/>
    <w:rsid w:val="00DD130F"/>
    <w:rsid w:val="00DD3025"/>
    <w:rsid w:val="00DD4131"/>
    <w:rsid w:val="00DD4387"/>
    <w:rsid w:val="00DD591A"/>
    <w:rsid w:val="00DD5B36"/>
    <w:rsid w:val="00DD7C42"/>
    <w:rsid w:val="00DE295D"/>
    <w:rsid w:val="00DE2B95"/>
    <w:rsid w:val="00DE45E9"/>
    <w:rsid w:val="00DE51F9"/>
    <w:rsid w:val="00DE52FB"/>
    <w:rsid w:val="00DE56BC"/>
    <w:rsid w:val="00DE7F8F"/>
    <w:rsid w:val="00DF03B9"/>
    <w:rsid w:val="00DF0C4B"/>
    <w:rsid w:val="00DF0F34"/>
    <w:rsid w:val="00DF1657"/>
    <w:rsid w:val="00DF21D2"/>
    <w:rsid w:val="00DF36FD"/>
    <w:rsid w:val="00DF38F5"/>
    <w:rsid w:val="00DF6462"/>
    <w:rsid w:val="00DF6D4A"/>
    <w:rsid w:val="00E00B6A"/>
    <w:rsid w:val="00E01C2C"/>
    <w:rsid w:val="00E020B4"/>
    <w:rsid w:val="00E023F7"/>
    <w:rsid w:val="00E028E3"/>
    <w:rsid w:val="00E03488"/>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15BD8"/>
    <w:rsid w:val="00E2059A"/>
    <w:rsid w:val="00E2213D"/>
    <w:rsid w:val="00E234C8"/>
    <w:rsid w:val="00E23FD9"/>
    <w:rsid w:val="00E241D9"/>
    <w:rsid w:val="00E24E21"/>
    <w:rsid w:val="00E26111"/>
    <w:rsid w:val="00E27F54"/>
    <w:rsid w:val="00E30277"/>
    <w:rsid w:val="00E308BB"/>
    <w:rsid w:val="00E30D3E"/>
    <w:rsid w:val="00E313CE"/>
    <w:rsid w:val="00E3165C"/>
    <w:rsid w:val="00E3244D"/>
    <w:rsid w:val="00E32751"/>
    <w:rsid w:val="00E33895"/>
    <w:rsid w:val="00E3398B"/>
    <w:rsid w:val="00E33A3B"/>
    <w:rsid w:val="00E367DC"/>
    <w:rsid w:val="00E36D70"/>
    <w:rsid w:val="00E377C9"/>
    <w:rsid w:val="00E37B82"/>
    <w:rsid w:val="00E37D59"/>
    <w:rsid w:val="00E42E68"/>
    <w:rsid w:val="00E44A20"/>
    <w:rsid w:val="00E44C2A"/>
    <w:rsid w:val="00E453B2"/>
    <w:rsid w:val="00E46571"/>
    <w:rsid w:val="00E501E2"/>
    <w:rsid w:val="00E51651"/>
    <w:rsid w:val="00E53699"/>
    <w:rsid w:val="00E550CC"/>
    <w:rsid w:val="00E55672"/>
    <w:rsid w:val="00E5616A"/>
    <w:rsid w:val="00E56FDB"/>
    <w:rsid w:val="00E56FEA"/>
    <w:rsid w:val="00E60196"/>
    <w:rsid w:val="00E613AD"/>
    <w:rsid w:val="00E61F8D"/>
    <w:rsid w:val="00E63C2D"/>
    <w:rsid w:val="00E67590"/>
    <w:rsid w:val="00E67F1D"/>
    <w:rsid w:val="00E703B0"/>
    <w:rsid w:val="00E709FC"/>
    <w:rsid w:val="00E71ADD"/>
    <w:rsid w:val="00E73876"/>
    <w:rsid w:val="00E74575"/>
    <w:rsid w:val="00E74AD8"/>
    <w:rsid w:val="00E75A48"/>
    <w:rsid w:val="00E76CEE"/>
    <w:rsid w:val="00E77115"/>
    <w:rsid w:val="00E77286"/>
    <w:rsid w:val="00E77455"/>
    <w:rsid w:val="00E77A51"/>
    <w:rsid w:val="00E804D3"/>
    <w:rsid w:val="00E80AC4"/>
    <w:rsid w:val="00E816A6"/>
    <w:rsid w:val="00E81DB4"/>
    <w:rsid w:val="00E82C77"/>
    <w:rsid w:val="00E842F0"/>
    <w:rsid w:val="00E84A30"/>
    <w:rsid w:val="00E857F8"/>
    <w:rsid w:val="00E85C4B"/>
    <w:rsid w:val="00E86ECC"/>
    <w:rsid w:val="00E87CB3"/>
    <w:rsid w:val="00E91027"/>
    <w:rsid w:val="00E91141"/>
    <w:rsid w:val="00E91CC4"/>
    <w:rsid w:val="00E925A6"/>
    <w:rsid w:val="00E945AC"/>
    <w:rsid w:val="00E94859"/>
    <w:rsid w:val="00E94C30"/>
    <w:rsid w:val="00E955C4"/>
    <w:rsid w:val="00E95C4B"/>
    <w:rsid w:val="00E965EE"/>
    <w:rsid w:val="00E9683E"/>
    <w:rsid w:val="00E96ECC"/>
    <w:rsid w:val="00E9744A"/>
    <w:rsid w:val="00E97657"/>
    <w:rsid w:val="00EA2A51"/>
    <w:rsid w:val="00EA3F51"/>
    <w:rsid w:val="00EA536C"/>
    <w:rsid w:val="00EA7A63"/>
    <w:rsid w:val="00EB0052"/>
    <w:rsid w:val="00EB0FBB"/>
    <w:rsid w:val="00EB215C"/>
    <w:rsid w:val="00EB3768"/>
    <w:rsid w:val="00EB3A44"/>
    <w:rsid w:val="00EB5817"/>
    <w:rsid w:val="00EB5D26"/>
    <w:rsid w:val="00EB7522"/>
    <w:rsid w:val="00EB7D69"/>
    <w:rsid w:val="00EC223C"/>
    <w:rsid w:val="00EC2870"/>
    <w:rsid w:val="00EC2AC1"/>
    <w:rsid w:val="00EC4184"/>
    <w:rsid w:val="00EC7BA7"/>
    <w:rsid w:val="00ED0CB1"/>
    <w:rsid w:val="00ED230B"/>
    <w:rsid w:val="00ED3570"/>
    <w:rsid w:val="00ED368F"/>
    <w:rsid w:val="00ED3B71"/>
    <w:rsid w:val="00ED4A3F"/>
    <w:rsid w:val="00ED4FDE"/>
    <w:rsid w:val="00ED519A"/>
    <w:rsid w:val="00ED6D87"/>
    <w:rsid w:val="00ED7FCD"/>
    <w:rsid w:val="00EE155B"/>
    <w:rsid w:val="00EE1DB5"/>
    <w:rsid w:val="00EE3357"/>
    <w:rsid w:val="00EF00C9"/>
    <w:rsid w:val="00EF0940"/>
    <w:rsid w:val="00EF0C29"/>
    <w:rsid w:val="00EF30E2"/>
    <w:rsid w:val="00EF3119"/>
    <w:rsid w:val="00EF3282"/>
    <w:rsid w:val="00EF6C64"/>
    <w:rsid w:val="00EF6D3B"/>
    <w:rsid w:val="00F002AB"/>
    <w:rsid w:val="00F00F89"/>
    <w:rsid w:val="00F013B9"/>
    <w:rsid w:val="00F016BB"/>
    <w:rsid w:val="00F0237A"/>
    <w:rsid w:val="00F039CF"/>
    <w:rsid w:val="00F05335"/>
    <w:rsid w:val="00F0536E"/>
    <w:rsid w:val="00F05D39"/>
    <w:rsid w:val="00F06333"/>
    <w:rsid w:val="00F07F3D"/>
    <w:rsid w:val="00F10E47"/>
    <w:rsid w:val="00F116E5"/>
    <w:rsid w:val="00F12F6E"/>
    <w:rsid w:val="00F13CBC"/>
    <w:rsid w:val="00F14855"/>
    <w:rsid w:val="00F169D5"/>
    <w:rsid w:val="00F17172"/>
    <w:rsid w:val="00F2003D"/>
    <w:rsid w:val="00F20238"/>
    <w:rsid w:val="00F21417"/>
    <w:rsid w:val="00F21E4B"/>
    <w:rsid w:val="00F22857"/>
    <w:rsid w:val="00F22A72"/>
    <w:rsid w:val="00F231CE"/>
    <w:rsid w:val="00F2385F"/>
    <w:rsid w:val="00F247C8"/>
    <w:rsid w:val="00F25BF4"/>
    <w:rsid w:val="00F2635E"/>
    <w:rsid w:val="00F278B9"/>
    <w:rsid w:val="00F30AFD"/>
    <w:rsid w:val="00F318C5"/>
    <w:rsid w:val="00F3199A"/>
    <w:rsid w:val="00F319A5"/>
    <w:rsid w:val="00F33B1D"/>
    <w:rsid w:val="00F343E0"/>
    <w:rsid w:val="00F360B3"/>
    <w:rsid w:val="00F36675"/>
    <w:rsid w:val="00F37376"/>
    <w:rsid w:val="00F40A28"/>
    <w:rsid w:val="00F41232"/>
    <w:rsid w:val="00F41319"/>
    <w:rsid w:val="00F421E6"/>
    <w:rsid w:val="00F42FAB"/>
    <w:rsid w:val="00F4303A"/>
    <w:rsid w:val="00F44BC3"/>
    <w:rsid w:val="00F475D0"/>
    <w:rsid w:val="00F5118A"/>
    <w:rsid w:val="00F555B0"/>
    <w:rsid w:val="00F6162A"/>
    <w:rsid w:val="00F653CC"/>
    <w:rsid w:val="00F66759"/>
    <w:rsid w:val="00F67967"/>
    <w:rsid w:val="00F67CF6"/>
    <w:rsid w:val="00F7144F"/>
    <w:rsid w:val="00F72651"/>
    <w:rsid w:val="00F7301E"/>
    <w:rsid w:val="00F80847"/>
    <w:rsid w:val="00F8175E"/>
    <w:rsid w:val="00F81B05"/>
    <w:rsid w:val="00F81F15"/>
    <w:rsid w:val="00F82049"/>
    <w:rsid w:val="00F82C9F"/>
    <w:rsid w:val="00F8388A"/>
    <w:rsid w:val="00F84E80"/>
    <w:rsid w:val="00F86D90"/>
    <w:rsid w:val="00F87537"/>
    <w:rsid w:val="00F947DC"/>
    <w:rsid w:val="00F9781A"/>
    <w:rsid w:val="00FA0262"/>
    <w:rsid w:val="00FA049B"/>
    <w:rsid w:val="00FA057C"/>
    <w:rsid w:val="00FA086F"/>
    <w:rsid w:val="00FA0D16"/>
    <w:rsid w:val="00FA185B"/>
    <w:rsid w:val="00FA60BF"/>
    <w:rsid w:val="00FA6883"/>
    <w:rsid w:val="00FA7405"/>
    <w:rsid w:val="00FB0D12"/>
    <w:rsid w:val="00FB1CB4"/>
    <w:rsid w:val="00FB23B5"/>
    <w:rsid w:val="00FB279B"/>
    <w:rsid w:val="00FB3D40"/>
    <w:rsid w:val="00FB44EB"/>
    <w:rsid w:val="00FB675F"/>
    <w:rsid w:val="00FB7611"/>
    <w:rsid w:val="00FC11A3"/>
    <w:rsid w:val="00FC1300"/>
    <w:rsid w:val="00FC1C93"/>
    <w:rsid w:val="00FC42A3"/>
    <w:rsid w:val="00FC5214"/>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FF9"/>
    <w:rsid w:val="00FE1ADC"/>
    <w:rsid w:val="00FE225D"/>
    <w:rsid w:val="00FE4989"/>
    <w:rsid w:val="00FE5C3E"/>
    <w:rsid w:val="00FE72FD"/>
    <w:rsid w:val="00FF0A2F"/>
    <w:rsid w:val="00FF1B04"/>
    <w:rsid w:val="00FF22F8"/>
    <w:rsid w:val="01654C82"/>
    <w:rsid w:val="020A6A96"/>
    <w:rsid w:val="034F7E8B"/>
    <w:rsid w:val="0356786B"/>
    <w:rsid w:val="03600F7F"/>
    <w:rsid w:val="046E31C1"/>
    <w:rsid w:val="04D06C9F"/>
    <w:rsid w:val="056C4F65"/>
    <w:rsid w:val="06F4696E"/>
    <w:rsid w:val="07245E56"/>
    <w:rsid w:val="07E73C15"/>
    <w:rsid w:val="07F57CDC"/>
    <w:rsid w:val="09D743EE"/>
    <w:rsid w:val="0BD42EFB"/>
    <w:rsid w:val="0C023D8C"/>
    <w:rsid w:val="0C225D7B"/>
    <w:rsid w:val="0E94232E"/>
    <w:rsid w:val="0EB51EA0"/>
    <w:rsid w:val="0F1306D5"/>
    <w:rsid w:val="11295396"/>
    <w:rsid w:val="1509103B"/>
    <w:rsid w:val="16253728"/>
    <w:rsid w:val="163E2FB7"/>
    <w:rsid w:val="16410C4C"/>
    <w:rsid w:val="17622796"/>
    <w:rsid w:val="17FE32EC"/>
    <w:rsid w:val="1A48157B"/>
    <w:rsid w:val="1AAA799F"/>
    <w:rsid w:val="1AD97D32"/>
    <w:rsid w:val="1B727B40"/>
    <w:rsid w:val="1BD70953"/>
    <w:rsid w:val="1BF87698"/>
    <w:rsid w:val="1E585AB7"/>
    <w:rsid w:val="1E9E2DE0"/>
    <w:rsid w:val="1EB160C2"/>
    <w:rsid w:val="1F4C4810"/>
    <w:rsid w:val="1F905DA2"/>
    <w:rsid w:val="1FF145B9"/>
    <w:rsid w:val="2193546F"/>
    <w:rsid w:val="24FE24F9"/>
    <w:rsid w:val="25103CBF"/>
    <w:rsid w:val="26F50BA9"/>
    <w:rsid w:val="272734AC"/>
    <w:rsid w:val="27835F8E"/>
    <w:rsid w:val="27BD5E26"/>
    <w:rsid w:val="285E4249"/>
    <w:rsid w:val="29026D00"/>
    <w:rsid w:val="2C7E406A"/>
    <w:rsid w:val="2DFA46AF"/>
    <w:rsid w:val="2EA644DF"/>
    <w:rsid w:val="2F5E69E7"/>
    <w:rsid w:val="2FB532A0"/>
    <w:rsid w:val="317F1B9B"/>
    <w:rsid w:val="319C4BEA"/>
    <w:rsid w:val="34C829B2"/>
    <w:rsid w:val="35381804"/>
    <w:rsid w:val="386A3F56"/>
    <w:rsid w:val="39376FF7"/>
    <w:rsid w:val="3A810EF7"/>
    <w:rsid w:val="3A842191"/>
    <w:rsid w:val="3ACF0F3F"/>
    <w:rsid w:val="3AE92B41"/>
    <w:rsid w:val="3B7626CB"/>
    <w:rsid w:val="3C3802E9"/>
    <w:rsid w:val="3E2254A0"/>
    <w:rsid w:val="3E586AB8"/>
    <w:rsid w:val="3E5C1B1D"/>
    <w:rsid w:val="3EAE14E9"/>
    <w:rsid w:val="3FD261A6"/>
    <w:rsid w:val="40BF0012"/>
    <w:rsid w:val="42830657"/>
    <w:rsid w:val="42EB2F9C"/>
    <w:rsid w:val="43687A55"/>
    <w:rsid w:val="45226963"/>
    <w:rsid w:val="46702C01"/>
    <w:rsid w:val="49DB0385"/>
    <w:rsid w:val="4AE63649"/>
    <w:rsid w:val="4D39606F"/>
    <w:rsid w:val="4EB92697"/>
    <w:rsid w:val="4F8E3D4D"/>
    <w:rsid w:val="512501A7"/>
    <w:rsid w:val="51AF6B1F"/>
    <w:rsid w:val="53063B85"/>
    <w:rsid w:val="533C1961"/>
    <w:rsid w:val="53B3493A"/>
    <w:rsid w:val="5537323C"/>
    <w:rsid w:val="55855837"/>
    <w:rsid w:val="55E83741"/>
    <w:rsid w:val="56503211"/>
    <w:rsid w:val="598B567E"/>
    <w:rsid w:val="5A14135F"/>
    <w:rsid w:val="5B714368"/>
    <w:rsid w:val="5C624734"/>
    <w:rsid w:val="5CF54CBA"/>
    <w:rsid w:val="5EBC5443"/>
    <w:rsid w:val="5FE91ABC"/>
    <w:rsid w:val="625E5181"/>
    <w:rsid w:val="628E734C"/>
    <w:rsid w:val="639A0BFF"/>
    <w:rsid w:val="63DD66A2"/>
    <w:rsid w:val="6580603B"/>
    <w:rsid w:val="682A44E1"/>
    <w:rsid w:val="68C506B9"/>
    <w:rsid w:val="68C7223A"/>
    <w:rsid w:val="68EF6886"/>
    <w:rsid w:val="695F7F7D"/>
    <w:rsid w:val="6C2B2E22"/>
    <w:rsid w:val="6EAA7DFD"/>
    <w:rsid w:val="6FDD1093"/>
    <w:rsid w:val="701F3814"/>
    <w:rsid w:val="709C0126"/>
    <w:rsid w:val="73582F5B"/>
    <w:rsid w:val="76022652"/>
    <w:rsid w:val="768501BE"/>
    <w:rsid w:val="76C8601E"/>
    <w:rsid w:val="77150144"/>
    <w:rsid w:val="77D3031A"/>
    <w:rsid w:val="789C2AB4"/>
    <w:rsid w:val="7B5A0C1E"/>
    <w:rsid w:val="7BEA1CFE"/>
    <w:rsid w:val="7CF248AA"/>
    <w:rsid w:val="7D803772"/>
    <w:rsid w:val="7D80556D"/>
    <w:rsid w:val="7DB8301C"/>
    <w:rsid w:val="7E3713F1"/>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99"/>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99"/>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 w:type="paragraph" w:customStyle="1" w:styleId="86">
    <w:name w:val="修订5"/>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6D3D55C-3DD8-4C31-8069-E5508DD844FB}">
  <ds:schemaRefs/>
</ds:datastoreItem>
</file>

<file path=customXml/itemProps11.xml><?xml version="1.0" encoding="utf-8"?>
<ds:datastoreItem xmlns:ds="http://schemas.openxmlformats.org/officeDocument/2006/customXml" ds:itemID="{AC7416E6-673E-4E7E-AFE6-82BD7F20EE11}">
  <ds:schemaRefs/>
</ds:datastoreItem>
</file>

<file path=customXml/itemProps12.xml><?xml version="1.0" encoding="utf-8"?>
<ds:datastoreItem xmlns:ds="http://schemas.openxmlformats.org/officeDocument/2006/customXml" ds:itemID="{1990A2D8-324F-45D5-B9CD-07245ED2860B}">
  <ds:schemaRefs/>
</ds:datastoreItem>
</file>

<file path=customXml/itemProps13.xml><?xml version="1.0" encoding="utf-8"?>
<ds:datastoreItem xmlns:ds="http://schemas.openxmlformats.org/officeDocument/2006/customXml" ds:itemID="{BEEE0313-55EB-45FA-BBBD-C0232D367255}">
  <ds:schemaRefs/>
</ds:datastoreItem>
</file>

<file path=customXml/itemProps14.xml><?xml version="1.0" encoding="utf-8"?>
<ds:datastoreItem xmlns:ds="http://schemas.openxmlformats.org/officeDocument/2006/customXml" ds:itemID="{A06CD169-7F5C-4082-81B2-6ECAA9AF6149}">
  <ds:schemaRefs/>
</ds:datastoreItem>
</file>

<file path=customXml/itemProps15.xml><?xml version="1.0" encoding="utf-8"?>
<ds:datastoreItem xmlns:ds="http://schemas.openxmlformats.org/officeDocument/2006/customXml" ds:itemID="{2108FF18-8EC8-4170-A536-1AA8E39CC797}">
  <ds:schemaRefs/>
</ds:datastoreItem>
</file>

<file path=customXml/itemProps16.xml><?xml version="1.0" encoding="utf-8"?>
<ds:datastoreItem xmlns:ds="http://schemas.openxmlformats.org/officeDocument/2006/customXml" ds:itemID="{D902962D-C8CC-43BF-804A-CD60AE6D7475}">
  <ds:schemaRefs/>
</ds:datastoreItem>
</file>

<file path=customXml/itemProps17.xml><?xml version="1.0" encoding="utf-8"?>
<ds:datastoreItem xmlns:ds="http://schemas.openxmlformats.org/officeDocument/2006/customXml" ds:itemID="{509BA638-9D3A-4AA3-A169-FF78BC0E4BE9}">
  <ds:schemaRefs/>
</ds:datastoreItem>
</file>

<file path=customXml/itemProps18.xml><?xml version="1.0" encoding="utf-8"?>
<ds:datastoreItem xmlns:ds="http://schemas.openxmlformats.org/officeDocument/2006/customXml" ds:itemID="{AC86F3EB-DB57-4B60-8A7E-BBB67A22EE0B}">
  <ds:schemaRefs/>
</ds:datastoreItem>
</file>

<file path=customXml/itemProps2.xml><?xml version="1.0" encoding="utf-8"?>
<ds:datastoreItem xmlns:ds="http://schemas.openxmlformats.org/officeDocument/2006/customXml" ds:itemID="{1A3BDF38-4832-4575-A8AB-7A1679738229}">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9114D43D-ED98-4C7B-A3AE-26D78B80CA82}">
  <ds:schemaRefs/>
</ds:datastoreItem>
</file>

<file path=customXml/itemProps5.xml><?xml version="1.0" encoding="utf-8"?>
<ds:datastoreItem xmlns:ds="http://schemas.openxmlformats.org/officeDocument/2006/customXml" ds:itemID="{7E5C9D84-6DB6-48FB-8632-D5279FC233C8}">
  <ds:schemaRefs/>
</ds:datastoreItem>
</file>

<file path=customXml/itemProps6.xml><?xml version="1.0" encoding="utf-8"?>
<ds:datastoreItem xmlns:ds="http://schemas.openxmlformats.org/officeDocument/2006/customXml" ds:itemID="{3A3C3A8D-C5E4-45AF-8B48-C3BF528808AD}">
  <ds:schemaRefs/>
</ds:datastoreItem>
</file>

<file path=customXml/itemProps7.xml><?xml version="1.0" encoding="utf-8"?>
<ds:datastoreItem xmlns:ds="http://schemas.openxmlformats.org/officeDocument/2006/customXml" ds:itemID="{EC45DDBE-A426-47CA-BC62-D025DE29F1BC}">
  <ds:schemaRefs/>
</ds:datastoreItem>
</file>

<file path=customXml/itemProps8.xml><?xml version="1.0" encoding="utf-8"?>
<ds:datastoreItem xmlns:ds="http://schemas.openxmlformats.org/officeDocument/2006/customXml" ds:itemID="{0A7AA9EF-3B8C-4BAA-9155-A6E3E5337D3C}">
  <ds:schemaRefs/>
</ds:datastoreItem>
</file>

<file path=customXml/itemProps9.xml><?xml version="1.0" encoding="utf-8"?>
<ds:datastoreItem xmlns:ds="http://schemas.openxmlformats.org/officeDocument/2006/customXml" ds:itemID="{79B37214-9E52-4241-8DD2-9E9CD944200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4127</Words>
  <Characters>23525</Characters>
  <Lines>196</Lines>
  <Paragraphs>55</Paragraphs>
  <TotalTime>0</TotalTime>
  <ScaleCrop>false</ScaleCrop>
  <LinksUpToDate>false</LinksUpToDate>
  <CharactersWithSpaces>27597</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2023-02-09T13:21:00Z</dcterms:created>
  <dc:creator>张淼雯</dc:creator>
  <cp:lastModifiedBy>cib</cp:lastModifiedBy>
  <cp:lastPrinted>2022-01-18T08:37:00Z</cp:lastPrinted>
  <dcterms:modified xsi:type="dcterms:W3CDTF">2025-06-16T08:41:44Z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5466F5ED04264CD88390FDC4DDCA6BAE</vt:lpwstr>
  </property>
</Properties>
</file>