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FZSSK--GBK1-0"/>
          <w:b/>
          <w:bCs/>
          <w:kern w:val="0"/>
          <w:sz w:val="28"/>
          <w:szCs w:val="28"/>
          <w:highlight w:val="none"/>
        </w:rPr>
      </w:pPr>
      <w:r>
        <w:rPr>
          <w:rFonts w:hint="eastAsia" w:ascii="仿宋" w:hAnsi="仿宋" w:eastAsia="仿宋" w:cs="FZSSK--GBK1-0"/>
          <w:b/>
          <w:bCs/>
          <w:kern w:val="0"/>
          <w:sz w:val="28"/>
          <w:szCs w:val="28"/>
          <w:highlight w:val="none"/>
        </w:rPr>
        <w:t>招银理财有限责任公司理财产品投资者权益须知</w:t>
      </w:r>
    </w:p>
    <w:p>
      <w:pPr>
        <w:jc w:val="center"/>
        <w:rPr>
          <w:rFonts w:ascii="仿宋" w:hAnsi="仿宋" w:eastAsia="仿宋" w:cs="FZSSK--GBK1-0"/>
          <w:bCs/>
          <w:kern w:val="0"/>
          <w:sz w:val="28"/>
          <w:szCs w:val="28"/>
          <w:highlight w:val="none"/>
        </w:rPr>
      </w:pPr>
      <w:r>
        <w:rPr>
          <w:rFonts w:hint="eastAsia" w:ascii="仿宋" w:hAnsi="仿宋" w:eastAsia="仿宋" w:cs="FZSSK--GBK1-0"/>
          <w:bCs/>
          <w:kern w:val="0"/>
          <w:sz w:val="28"/>
          <w:szCs w:val="28"/>
          <w:highlight w:val="none"/>
        </w:rPr>
        <w:t>（适用于</w:t>
      </w:r>
      <w:r>
        <w:rPr>
          <w:rFonts w:hint="eastAsia" w:ascii="仿宋" w:hAnsi="仿宋" w:eastAsia="仿宋" w:cs="FZSSK--GBK1-0"/>
          <w:bCs/>
          <w:kern w:val="0"/>
          <w:sz w:val="28"/>
          <w:szCs w:val="28"/>
          <w:highlight w:val="none"/>
          <w:lang w:val="en-US" w:eastAsia="zh-CN"/>
        </w:rPr>
        <w:t>浙江</w:t>
      </w:r>
      <w:r>
        <w:rPr>
          <w:rFonts w:hint="eastAsia" w:ascii="仿宋" w:hAnsi="仿宋" w:eastAsia="仿宋" w:cs="FZSSK--GBK1-0"/>
          <w:bCs/>
          <w:kern w:val="0"/>
          <w:sz w:val="28"/>
          <w:szCs w:val="28"/>
          <w:highlight w:val="none"/>
          <w:lang w:eastAsia="zh-CN"/>
        </w:rPr>
        <w:t>诸暨农村商业银行</w:t>
      </w:r>
      <w:r>
        <w:rPr>
          <w:rFonts w:hint="eastAsia" w:ascii="仿宋" w:hAnsi="仿宋" w:eastAsia="仿宋" w:cs="FZSSK--GBK1-0"/>
          <w:bCs/>
          <w:kern w:val="0"/>
          <w:sz w:val="28"/>
          <w:szCs w:val="28"/>
          <w:highlight w:val="none"/>
        </w:rPr>
        <w:t>股份有限公司代理销售的个人投资者）</w:t>
      </w:r>
    </w:p>
    <w:p>
      <w:pPr>
        <w:spacing w:line="300" w:lineRule="auto"/>
        <w:ind w:right="688"/>
        <w:rPr>
          <w:rFonts w:ascii="仿宋" w:hAnsi="仿宋" w:eastAsia="仿宋"/>
          <w:sz w:val="28"/>
          <w:szCs w:val="28"/>
          <w:highlight w:val="none"/>
        </w:rPr>
      </w:pPr>
      <w:r>
        <w:rPr>
          <w:rFonts w:hint="eastAsia" w:ascii="仿宋" w:hAnsi="仿宋" w:eastAsia="仿宋"/>
          <w:sz w:val="28"/>
          <w:szCs w:val="28"/>
          <w:highlight w:val="none"/>
        </w:rPr>
        <w:t>尊敬的投资者：</w:t>
      </w:r>
    </w:p>
    <w:p>
      <w:pPr>
        <w:spacing w:line="297" w:lineRule="auto"/>
        <w:ind w:left="105" w:leftChars="50" w:right="688" w:firstLine="562" w:firstLineChars="200"/>
        <w:rPr>
          <w:rFonts w:ascii="仿宋" w:hAnsi="仿宋" w:eastAsia="仿宋"/>
          <w:b/>
          <w:sz w:val="28"/>
          <w:szCs w:val="28"/>
          <w:highlight w:val="none"/>
        </w:rPr>
      </w:pPr>
      <w:r>
        <w:rPr>
          <w:rFonts w:hint="eastAsia" w:ascii="仿宋" w:hAnsi="仿宋" w:eastAsia="仿宋"/>
          <w:b/>
          <w:sz w:val="28"/>
          <w:szCs w:val="28"/>
          <w:highlight w:val="none"/>
        </w:rPr>
        <w:t>理财非存款、产品有风险、投资须谨慎。</w:t>
      </w:r>
    </w:p>
    <w:p>
      <w:pPr>
        <w:spacing w:line="30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招银理财有限责任公司发行的理财产品与存款存在明显区别，在获取收益的同时存在一定的风险。为了保护您的合法权益，请在投资前认真阅读以下内容：</w:t>
      </w:r>
    </w:p>
    <w:p>
      <w:pPr>
        <w:widowControl/>
        <w:spacing w:line="360" w:lineRule="auto"/>
        <w:ind w:firstLine="600"/>
        <w:rPr>
          <w:rFonts w:ascii="仿宋" w:hAnsi="仿宋" w:eastAsia="仿宋"/>
          <w:sz w:val="28"/>
          <w:szCs w:val="28"/>
          <w:highlight w:val="none"/>
        </w:rPr>
      </w:pPr>
      <w:r>
        <w:rPr>
          <w:rFonts w:hint="eastAsia" w:ascii="仿宋" w:hAnsi="仿宋" w:eastAsia="仿宋"/>
          <w:sz w:val="28"/>
          <w:szCs w:val="28"/>
          <w:highlight w:val="none"/>
        </w:rPr>
        <w:t>本投资者权益须知适用于</w:t>
      </w:r>
      <w:r>
        <w:rPr>
          <w:rFonts w:hint="eastAsia" w:ascii="仿宋" w:hAnsi="仿宋" w:eastAsia="仿宋"/>
          <w:b/>
          <w:sz w:val="28"/>
          <w:szCs w:val="28"/>
          <w:highlight w:val="none"/>
        </w:rPr>
        <w:t>销售服务机构</w:t>
      </w:r>
      <w:r>
        <w:rPr>
          <w:rFonts w:hint="eastAsia" w:ascii="仿宋" w:hAnsi="仿宋" w:eastAsia="仿宋"/>
          <w:b/>
          <w:sz w:val="28"/>
          <w:szCs w:val="28"/>
          <w:highlight w:val="none"/>
          <w:lang w:val="en-US" w:eastAsia="zh-CN"/>
        </w:rPr>
        <w:t>浙江</w:t>
      </w:r>
      <w:r>
        <w:rPr>
          <w:rFonts w:hint="eastAsia" w:ascii="仿宋" w:hAnsi="仿宋" w:eastAsia="仿宋"/>
          <w:b/>
          <w:sz w:val="28"/>
          <w:szCs w:val="28"/>
          <w:highlight w:val="none"/>
          <w:lang w:eastAsia="zh-CN"/>
        </w:rPr>
        <w:t>诸暨农村商业银行</w:t>
      </w:r>
      <w:r>
        <w:rPr>
          <w:rFonts w:hint="eastAsia" w:ascii="仿宋" w:hAnsi="仿宋" w:eastAsia="仿宋"/>
          <w:b/>
          <w:sz w:val="28"/>
          <w:szCs w:val="28"/>
          <w:highlight w:val="none"/>
        </w:rPr>
        <w:t>股份有限公司</w:t>
      </w:r>
      <w:r>
        <w:rPr>
          <w:rFonts w:ascii="仿宋" w:hAnsi="仿宋" w:eastAsia="仿宋"/>
          <w:b/>
          <w:sz w:val="28"/>
          <w:szCs w:val="28"/>
          <w:highlight w:val="none"/>
        </w:rPr>
        <w:t>（</w:t>
      </w:r>
      <w:r>
        <w:rPr>
          <w:rFonts w:hint="eastAsia" w:ascii="仿宋" w:hAnsi="仿宋" w:eastAsia="仿宋"/>
          <w:b/>
          <w:sz w:val="28"/>
          <w:szCs w:val="28"/>
          <w:highlight w:val="none"/>
        </w:rPr>
        <w:t>以下</w:t>
      </w:r>
      <w:r>
        <w:rPr>
          <w:rFonts w:ascii="仿宋" w:hAnsi="仿宋" w:eastAsia="仿宋"/>
          <w:b/>
          <w:sz w:val="28"/>
          <w:szCs w:val="28"/>
          <w:highlight w:val="none"/>
        </w:rPr>
        <w:t>简称“</w:t>
      </w:r>
      <w:r>
        <w:rPr>
          <w:rFonts w:hint="eastAsia" w:ascii="仿宋" w:hAnsi="仿宋" w:eastAsia="仿宋" w:cs="FZSSK--GBK1-0"/>
          <w:b/>
          <w:kern w:val="0"/>
          <w:sz w:val="28"/>
          <w:szCs w:val="28"/>
          <w:highlight w:val="none"/>
          <w:lang w:val="en-US" w:eastAsia="zh-CN"/>
        </w:rPr>
        <w:t>诸暨农村商业银行</w:t>
      </w:r>
      <w:r>
        <w:rPr>
          <w:rFonts w:ascii="仿宋" w:hAnsi="仿宋" w:eastAsia="仿宋"/>
          <w:b/>
          <w:sz w:val="28"/>
          <w:szCs w:val="28"/>
          <w:highlight w:val="none"/>
        </w:rPr>
        <w:t>”）</w:t>
      </w:r>
      <w:r>
        <w:rPr>
          <w:rFonts w:hint="eastAsia" w:ascii="仿宋" w:hAnsi="仿宋" w:eastAsia="仿宋"/>
          <w:b/>
          <w:sz w:val="28"/>
          <w:szCs w:val="28"/>
          <w:highlight w:val="none"/>
        </w:rPr>
        <w:t>代理销售招银理财有限责任公司（以下</w:t>
      </w:r>
      <w:r>
        <w:rPr>
          <w:rFonts w:ascii="仿宋" w:hAnsi="仿宋" w:eastAsia="仿宋"/>
          <w:b/>
          <w:sz w:val="28"/>
          <w:szCs w:val="28"/>
          <w:highlight w:val="none"/>
        </w:rPr>
        <w:t>简称“</w:t>
      </w:r>
      <w:r>
        <w:rPr>
          <w:rFonts w:hint="eastAsia" w:ascii="仿宋" w:hAnsi="仿宋" w:eastAsia="仿宋"/>
          <w:b/>
          <w:sz w:val="28"/>
          <w:szCs w:val="28"/>
          <w:highlight w:val="none"/>
        </w:rPr>
        <w:t>招银理财</w:t>
      </w:r>
      <w:r>
        <w:rPr>
          <w:rFonts w:ascii="仿宋" w:hAnsi="仿宋" w:eastAsia="仿宋"/>
          <w:b/>
          <w:sz w:val="28"/>
          <w:szCs w:val="28"/>
          <w:highlight w:val="none"/>
        </w:rPr>
        <w:t>”</w:t>
      </w:r>
      <w:r>
        <w:rPr>
          <w:rFonts w:hint="eastAsia" w:ascii="仿宋" w:hAnsi="仿宋" w:eastAsia="仿宋"/>
          <w:b/>
          <w:sz w:val="28"/>
          <w:szCs w:val="28"/>
          <w:highlight w:val="none"/>
        </w:rPr>
        <w:t>）发行的理财产品</w:t>
      </w:r>
      <w:r>
        <w:rPr>
          <w:rFonts w:hint="eastAsia" w:ascii="仿宋" w:hAnsi="仿宋" w:eastAsia="仿宋"/>
          <w:sz w:val="28"/>
          <w:szCs w:val="28"/>
          <w:highlight w:val="none"/>
        </w:rPr>
        <w:t>。为了保护您的合法权益，建议您：首先，请在投资理财产品前，通过</w:t>
      </w:r>
      <w:r>
        <w:rPr>
          <w:rFonts w:hint="eastAsia" w:ascii="仿宋" w:hAnsi="仿宋" w:eastAsia="仿宋"/>
          <w:sz w:val="28"/>
          <w:szCs w:val="28"/>
          <w:highlight w:val="none"/>
          <w:lang w:eastAsia="zh-CN"/>
        </w:rPr>
        <w:t>诸暨农村商业银行</w:t>
      </w:r>
      <w:r>
        <w:rPr>
          <w:rFonts w:hint="eastAsia" w:ascii="仿宋" w:hAnsi="仿宋" w:eastAsia="仿宋"/>
          <w:sz w:val="28"/>
          <w:szCs w:val="28"/>
          <w:highlight w:val="none"/>
        </w:rPr>
        <w:t>为您设计的个人风险承受能力评估流程，了解您的投资目标，风险偏好和产品需求。首次购买理财产品前必须在</w:t>
      </w:r>
      <w:r>
        <w:rPr>
          <w:rFonts w:hint="eastAsia" w:ascii="仿宋" w:hAnsi="仿宋" w:eastAsia="仿宋"/>
          <w:sz w:val="28"/>
          <w:szCs w:val="28"/>
          <w:highlight w:val="none"/>
          <w:lang w:eastAsia="zh-CN"/>
        </w:rPr>
        <w:t>诸暨农村商业银行</w:t>
      </w:r>
      <w:r>
        <w:rPr>
          <w:rFonts w:hint="eastAsia" w:ascii="仿宋" w:hAnsi="仿宋" w:eastAsia="仿宋"/>
          <w:sz w:val="28"/>
          <w:szCs w:val="28"/>
          <w:highlight w:val="none"/>
        </w:rPr>
        <w:t>的网点、网上银行或手机银行等销售渠道进行风险承受能力评估。其次，请认真阅读理财产品的相关销售文件，具体为《销售协议书》、《产品说明书》、《风险揭示书》、《投资协议书》和本《投资者权益须知》等，</w:t>
      </w:r>
      <w:r>
        <w:rPr>
          <w:rFonts w:hint="eastAsia" w:ascii="仿宋" w:hAnsi="仿宋" w:eastAsia="仿宋"/>
          <w:b/>
          <w:sz w:val="28"/>
          <w:szCs w:val="28"/>
          <w:highlight w:val="none"/>
          <w:u w:val="single"/>
        </w:rPr>
        <w:t>然后选择购买与您自身风险承受能力相匹配的产品</w:t>
      </w:r>
      <w:r>
        <w:rPr>
          <w:rFonts w:hint="eastAsia" w:ascii="仿宋" w:hAnsi="仿宋" w:eastAsia="仿宋"/>
          <w:sz w:val="28"/>
          <w:szCs w:val="28"/>
          <w:highlight w:val="none"/>
        </w:rPr>
        <w:t>。您在阅读时如有不明之处，可及时向</w:t>
      </w:r>
      <w:r>
        <w:rPr>
          <w:rFonts w:hint="eastAsia" w:ascii="仿宋" w:hAnsi="仿宋" w:eastAsia="仿宋" w:cs="FZSSK--GBK1-0"/>
          <w:bCs/>
          <w:kern w:val="0"/>
          <w:sz w:val="28"/>
          <w:szCs w:val="28"/>
          <w:highlight w:val="none"/>
          <w:lang w:eastAsia="zh-CN"/>
        </w:rPr>
        <w:t>诸暨农村商业银行</w:t>
      </w:r>
      <w:r>
        <w:rPr>
          <w:rFonts w:hint="eastAsia" w:ascii="仿宋" w:hAnsi="仿宋" w:eastAsia="仿宋"/>
          <w:sz w:val="28"/>
          <w:szCs w:val="28"/>
          <w:highlight w:val="none"/>
        </w:rPr>
        <w:t>理财人员进行咨询。最后，请关注</w:t>
      </w:r>
      <w:r>
        <w:rPr>
          <w:rFonts w:hint="eastAsia" w:ascii="仿宋" w:hAnsi="仿宋" w:eastAsia="仿宋"/>
          <w:sz w:val="28"/>
          <w:szCs w:val="28"/>
          <w:highlight w:val="none"/>
          <w:lang w:eastAsia="zh-CN"/>
        </w:rPr>
        <w:t>诸暨农村商业银行</w:t>
      </w:r>
      <w:r>
        <w:rPr>
          <w:rFonts w:hint="eastAsia" w:ascii="仿宋" w:hAnsi="仿宋" w:eastAsia="仿宋"/>
          <w:sz w:val="28"/>
          <w:szCs w:val="28"/>
          <w:highlight w:val="none"/>
        </w:rPr>
        <w:t>或招银理财对理财产品的信息披露方式、渠道与频率以及相关联络方式，当您对所购买的理财产品有任何异议或意见时请及时反馈。我们将以诚实守信、勤勉尽责的态度竭诚为您提供专业的服务。</w:t>
      </w:r>
    </w:p>
    <w:p>
      <w:pPr>
        <w:widowControl/>
        <w:spacing w:line="360" w:lineRule="auto"/>
        <w:ind w:firstLine="600"/>
        <w:rPr>
          <w:rFonts w:ascii="仿宋" w:hAnsi="仿宋" w:eastAsia="仿宋"/>
          <w:b/>
          <w:bCs/>
          <w:sz w:val="28"/>
          <w:szCs w:val="28"/>
          <w:highlight w:val="none"/>
        </w:rPr>
      </w:pPr>
      <w:r>
        <w:rPr>
          <w:rFonts w:hint="eastAsia" w:ascii="仿宋" w:hAnsi="仿宋" w:eastAsia="仿宋"/>
          <w:b/>
          <w:bCs/>
          <w:sz w:val="28"/>
          <w:szCs w:val="28"/>
          <w:highlight w:val="none"/>
        </w:rPr>
        <w:t>一、购买理财产品三部曲：</w:t>
      </w:r>
    </w:p>
    <w:p>
      <w:pPr>
        <w:widowControl/>
        <w:spacing w:line="360" w:lineRule="auto"/>
        <w:ind w:firstLine="600"/>
        <w:rPr>
          <w:rFonts w:ascii="仿宋" w:hAnsi="仿宋" w:eastAsia="仿宋"/>
          <w:b/>
          <w:sz w:val="28"/>
          <w:szCs w:val="28"/>
          <w:highlight w:val="none"/>
        </w:rPr>
      </w:pPr>
      <w:r>
        <w:rPr>
          <w:rFonts w:hint="eastAsia" w:ascii="仿宋" w:hAnsi="仿宋" w:eastAsia="仿宋"/>
          <w:b/>
          <w:sz w:val="28"/>
          <w:szCs w:val="28"/>
          <w:highlight w:val="none"/>
        </w:rPr>
        <w:t>第一部</w:t>
      </w:r>
      <w:r>
        <w:rPr>
          <w:rFonts w:ascii="仿宋" w:hAnsi="仿宋" w:eastAsia="仿宋"/>
          <w:b/>
          <w:sz w:val="28"/>
          <w:szCs w:val="28"/>
          <w:highlight w:val="none"/>
        </w:rPr>
        <w:t xml:space="preserve"> </w:t>
      </w:r>
      <w:r>
        <w:rPr>
          <w:rFonts w:hint="eastAsia" w:ascii="仿宋" w:hAnsi="仿宋" w:eastAsia="仿宋"/>
          <w:b/>
          <w:sz w:val="28"/>
          <w:szCs w:val="28"/>
          <w:highlight w:val="none"/>
        </w:rPr>
        <w:t>了解您的投资需求和风险承受能力</w:t>
      </w:r>
    </w:p>
    <w:p>
      <w:pPr>
        <w:widowControl/>
        <w:spacing w:line="360" w:lineRule="auto"/>
        <w:ind w:firstLine="600"/>
        <w:rPr>
          <w:rFonts w:ascii="仿宋" w:hAnsi="仿宋" w:eastAsia="仿宋"/>
          <w:sz w:val="28"/>
          <w:szCs w:val="28"/>
          <w:highlight w:val="none"/>
        </w:rPr>
      </w:pPr>
      <w:r>
        <w:rPr>
          <w:rFonts w:hint="eastAsia" w:ascii="仿宋" w:hAnsi="仿宋" w:eastAsia="仿宋"/>
          <w:sz w:val="28"/>
          <w:szCs w:val="28"/>
          <w:highlight w:val="none"/>
        </w:rPr>
        <w:t>根据《商业</w:t>
      </w:r>
      <w:r>
        <w:rPr>
          <w:rFonts w:ascii="仿宋" w:hAnsi="仿宋" w:eastAsia="仿宋"/>
          <w:sz w:val="28"/>
          <w:szCs w:val="28"/>
          <w:highlight w:val="none"/>
        </w:rPr>
        <w:t>银行理财子公司管理办法</w:t>
      </w:r>
      <w:r>
        <w:rPr>
          <w:rFonts w:hint="eastAsia" w:ascii="仿宋" w:hAnsi="仿宋" w:eastAsia="仿宋"/>
          <w:sz w:val="28"/>
          <w:szCs w:val="28"/>
          <w:highlight w:val="none"/>
        </w:rPr>
        <w:t>》、《商业银行理财业务监督管理办法》、</w:t>
      </w:r>
      <w:r>
        <w:rPr>
          <w:rFonts w:ascii="仿宋" w:hAnsi="仿宋" w:eastAsia="仿宋"/>
          <w:sz w:val="28"/>
          <w:szCs w:val="28"/>
          <w:highlight w:val="none"/>
        </w:rPr>
        <w:t>《理财公司理财产品销售管理暂行办法》等</w:t>
      </w:r>
      <w:r>
        <w:rPr>
          <w:rFonts w:hint="eastAsia" w:ascii="仿宋" w:hAnsi="仿宋" w:eastAsia="仿宋"/>
          <w:sz w:val="28"/>
          <w:szCs w:val="28"/>
          <w:highlight w:val="none"/>
        </w:rPr>
        <w:t>要求，</w:t>
      </w:r>
      <w:r>
        <w:rPr>
          <w:rFonts w:hint="eastAsia" w:ascii="仿宋" w:hAnsi="仿宋" w:eastAsia="仿宋"/>
          <w:sz w:val="28"/>
          <w:szCs w:val="28"/>
          <w:highlight w:val="none"/>
          <w:lang w:eastAsia="zh-CN"/>
        </w:rPr>
        <w:t>诸暨农村商业银行</w:t>
      </w:r>
      <w:r>
        <w:rPr>
          <w:rFonts w:hint="eastAsia" w:ascii="仿宋" w:hAnsi="仿宋" w:eastAsia="仿宋"/>
          <w:sz w:val="28"/>
          <w:szCs w:val="28"/>
          <w:highlight w:val="none"/>
        </w:rPr>
        <w:t>在非机构客户投资理财产品前，必须对非机构客户的风险承受能力进行评估，以保障非机构客户购买的理财产品与其风险承受能力相匹配。</w:t>
      </w:r>
      <w:r>
        <w:rPr>
          <w:rFonts w:hint="eastAsia" w:ascii="仿宋" w:hAnsi="仿宋" w:eastAsia="仿宋"/>
          <w:sz w:val="28"/>
          <w:szCs w:val="28"/>
          <w:highlight w:val="none"/>
          <w:lang w:eastAsia="zh-CN"/>
        </w:rPr>
        <w:t>诸暨农村商业银行</w:t>
      </w:r>
      <w:r>
        <w:rPr>
          <w:rFonts w:hint="eastAsia" w:ascii="仿宋" w:hAnsi="仿宋" w:eastAsia="仿宋"/>
          <w:sz w:val="28"/>
          <w:szCs w:val="28"/>
          <w:highlight w:val="none"/>
        </w:rPr>
        <w:t>将从非机构客户年龄、财务状况、投资经验、投资目的、收益预期、风险偏好、流动性要求、风险认识以及风险损失承受程度等方面，协助您全面了解您的投资需求和您的风险承受能力，帮助您选择适合自己风险承受能力的理财产品。</w:t>
      </w:r>
    </w:p>
    <w:p>
      <w:pPr>
        <w:widowControl/>
        <w:spacing w:line="360" w:lineRule="auto"/>
        <w:ind w:firstLine="560" w:firstLineChars="200"/>
        <w:rPr>
          <w:rFonts w:ascii="仿宋" w:hAnsi="仿宋" w:eastAsia="仿宋"/>
          <w:b/>
          <w:sz w:val="28"/>
          <w:szCs w:val="28"/>
          <w:highlight w:val="none"/>
        </w:rPr>
      </w:pPr>
      <w:r>
        <w:rPr>
          <w:rFonts w:hint="eastAsia" w:ascii="仿宋" w:hAnsi="仿宋" w:eastAsia="仿宋"/>
          <w:sz w:val="28"/>
          <w:szCs w:val="28"/>
          <w:highlight w:val="none"/>
        </w:rPr>
        <w:t>招银理财的理财产品分为公募理财产品和私募理财产品，根据理财产品投资范围、风险收益特点、流动性等不同因素，</w:t>
      </w:r>
      <w:r>
        <w:rPr>
          <w:rFonts w:hint="eastAsia" w:ascii="仿宋" w:hAnsi="仿宋" w:eastAsia="仿宋"/>
          <w:sz w:val="28"/>
          <w:szCs w:val="28"/>
          <w:highlight w:val="none"/>
          <w:lang w:eastAsia="zh-CN"/>
        </w:rPr>
        <w:t>诸暨农村商业银行</w:t>
      </w:r>
      <w:r>
        <w:rPr>
          <w:rFonts w:hint="eastAsia" w:ascii="仿宋" w:hAnsi="仿宋" w:eastAsia="仿宋"/>
          <w:sz w:val="28"/>
          <w:szCs w:val="28"/>
          <w:highlight w:val="none"/>
        </w:rPr>
        <w:t>将招银理财发行的理财产品分为低风险产品（</w:t>
      </w:r>
      <w:r>
        <w:rPr>
          <w:rFonts w:hint="eastAsia" w:ascii="仿宋" w:hAnsi="仿宋" w:eastAsia="仿宋"/>
          <w:sz w:val="28"/>
          <w:szCs w:val="28"/>
          <w:highlight w:val="none"/>
          <w:lang w:val="en-US" w:eastAsia="zh-CN"/>
        </w:rPr>
        <w:t>P</w:t>
      </w:r>
      <w:r>
        <w:rPr>
          <w:rFonts w:hint="eastAsia" w:ascii="仿宋" w:hAnsi="仿宋" w:eastAsia="仿宋"/>
          <w:sz w:val="28"/>
          <w:szCs w:val="28"/>
          <w:highlight w:val="none"/>
        </w:rPr>
        <w:t>R1）、中低风险产品（</w:t>
      </w:r>
      <w:r>
        <w:rPr>
          <w:rFonts w:hint="eastAsia" w:ascii="仿宋" w:hAnsi="仿宋" w:eastAsia="仿宋"/>
          <w:sz w:val="28"/>
          <w:szCs w:val="28"/>
          <w:highlight w:val="none"/>
          <w:lang w:val="en-US" w:eastAsia="zh-CN"/>
        </w:rPr>
        <w:t>P</w:t>
      </w:r>
      <w:r>
        <w:rPr>
          <w:rFonts w:hint="eastAsia" w:ascii="仿宋" w:hAnsi="仿宋" w:eastAsia="仿宋"/>
          <w:sz w:val="28"/>
          <w:szCs w:val="28"/>
          <w:highlight w:val="none"/>
        </w:rPr>
        <w:t>R2）、中风险产品（</w:t>
      </w:r>
      <w:r>
        <w:rPr>
          <w:rFonts w:hint="eastAsia" w:ascii="仿宋" w:hAnsi="仿宋" w:eastAsia="仿宋"/>
          <w:sz w:val="28"/>
          <w:szCs w:val="28"/>
          <w:highlight w:val="none"/>
          <w:lang w:val="en-US" w:eastAsia="zh-CN"/>
        </w:rPr>
        <w:t>P</w:t>
      </w:r>
      <w:r>
        <w:rPr>
          <w:rFonts w:hint="eastAsia" w:ascii="仿宋" w:hAnsi="仿宋" w:eastAsia="仿宋"/>
          <w:sz w:val="28"/>
          <w:szCs w:val="28"/>
          <w:highlight w:val="none"/>
        </w:rPr>
        <w:t>R3）、中高风险产品（</w:t>
      </w:r>
      <w:r>
        <w:rPr>
          <w:rFonts w:hint="eastAsia" w:ascii="仿宋" w:hAnsi="仿宋" w:eastAsia="仿宋"/>
          <w:sz w:val="28"/>
          <w:szCs w:val="28"/>
          <w:highlight w:val="none"/>
          <w:lang w:val="en-US" w:eastAsia="zh-CN"/>
        </w:rPr>
        <w:t>P</w:t>
      </w:r>
      <w:r>
        <w:rPr>
          <w:rFonts w:hint="eastAsia" w:ascii="仿宋" w:hAnsi="仿宋" w:eastAsia="仿宋"/>
          <w:sz w:val="28"/>
          <w:szCs w:val="28"/>
          <w:highlight w:val="none"/>
        </w:rPr>
        <w:t>R4）、高风险产品（</w:t>
      </w:r>
      <w:r>
        <w:rPr>
          <w:rFonts w:hint="eastAsia" w:ascii="仿宋" w:hAnsi="仿宋" w:eastAsia="仿宋"/>
          <w:sz w:val="28"/>
          <w:szCs w:val="28"/>
          <w:highlight w:val="none"/>
          <w:lang w:val="en-US" w:eastAsia="zh-CN"/>
        </w:rPr>
        <w:t>P</w:t>
      </w:r>
      <w:r>
        <w:rPr>
          <w:rFonts w:hint="eastAsia" w:ascii="仿宋" w:hAnsi="仿宋" w:eastAsia="仿宋"/>
          <w:sz w:val="28"/>
          <w:szCs w:val="28"/>
          <w:highlight w:val="none"/>
        </w:rPr>
        <w:t>R5）等五个风险等级。根据客户的不同情况</w:t>
      </w:r>
      <w:r>
        <w:rPr>
          <w:rFonts w:hint="eastAsia" w:ascii="仿宋" w:hAnsi="仿宋" w:eastAsia="仿宋"/>
          <w:sz w:val="28"/>
          <w:szCs w:val="28"/>
          <w:highlight w:val="none"/>
          <w:lang w:eastAsia="zh-CN"/>
        </w:rPr>
        <w:t>诸暨农村商业银行</w:t>
      </w:r>
      <w:r>
        <w:rPr>
          <w:rFonts w:hint="eastAsia" w:ascii="仿宋" w:hAnsi="仿宋" w:eastAsia="仿宋"/>
          <w:sz w:val="28"/>
          <w:szCs w:val="28"/>
          <w:highlight w:val="none"/>
        </w:rPr>
        <w:t>将客户风险承受能力分为保守型（R1）、谨慎型（R</w:t>
      </w:r>
      <w:r>
        <w:rPr>
          <w:rFonts w:ascii="仿宋" w:hAnsi="仿宋" w:eastAsia="仿宋"/>
          <w:sz w:val="28"/>
          <w:szCs w:val="28"/>
          <w:highlight w:val="none"/>
        </w:rPr>
        <w:t>2</w:t>
      </w:r>
      <w:r>
        <w:rPr>
          <w:rFonts w:hint="eastAsia" w:ascii="仿宋" w:hAnsi="仿宋" w:eastAsia="仿宋"/>
          <w:sz w:val="28"/>
          <w:szCs w:val="28"/>
          <w:highlight w:val="none"/>
        </w:rPr>
        <w:t>）、稳健型（R3）、进取型（R</w:t>
      </w:r>
      <w:r>
        <w:rPr>
          <w:rFonts w:ascii="仿宋" w:hAnsi="仿宋" w:eastAsia="仿宋"/>
          <w:sz w:val="28"/>
          <w:szCs w:val="28"/>
          <w:highlight w:val="none"/>
        </w:rPr>
        <w:t>4</w:t>
      </w:r>
      <w:r>
        <w:rPr>
          <w:rFonts w:hint="eastAsia" w:ascii="仿宋" w:hAnsi="仿宋" w:eastAsia="仿宋"/>
          <w:sz w:val="28"/>
          <w:szCs w:val="28"/>
          <w:highlight w:val="none"/>
        </w:rPr>
        <w:t>）、激进型（R5）五个等级。与此同时，</w:t>
      </w:r>
      <w:r>
        <w:rPr>
          <w:rFonts w:hint="eastAsia" w:ascii="仿宋" w:hAnsi="仿宋" w:eastAsia="仿宋" w:cs="FZSSK--GBK1-0"/>
          <w:b/>
          <w:kern w:val="0"/>
          <w:sz w:val="28"/>
          <w:szCs w:val="28"/>
          <w:highlight w:val="none"/>
          <w:lang w:val="en-US" w:eastAsia="zh-CN"/>
        </w:rPr>
        <w:t>诸暨农村商业银行</w:t>
      </w:r>
      <w:r>
        <w:rPr>
          <w:rFonts w:hint="eastAsia" w:ascii="仿宋" w:hAnsi="仿宋" w:eastAsia="仿宋"/>
          <w:b/>
          <w:sz w:val="28"/>
          <w:szCs w:val="28"/>
          <w:highlight w:val="none"/>
        </w:rPr>
        <w:t>根据风险匹配原则，在客户风险承受能力等级和产品风险等级之间建立如下对应关系，请您根据您的风险承受能力评估结果选择与您风险承受能力相匹配的理财产品。您的风险承受能力评估结果应以您在购买理财产品前的最近一次有效评估结果为准，请您参考该次评估结果来选择与您风险承受能力相匹配的理财产品。如果您在理财产品持有期间发生风险承受能力变化，导致您购买的理财产品与您自身风险承受能力不匹配的，建议您在购买的理财产品最近一个开放期尽快赎回，对于您依据产品说明书约定没有权利提前赎回的理财产品，您将无权以风险承受能力不再匹配为由进行赎回，所以，请您在投资前审慎决策。详见下表：</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2183"/>
        <w:gridCol w:w="4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182" w:type="dxa"/>
          </w:tcPr>
          <w:p>
            <w:pPr>
              <w:spacing w:line="540" w:lineRule="exact"/>
              <w:jc w:val="center"/>
              <w:rPr>
                <w:rFonts w:ascii="彩虹粗仿宋" w:eastAsia="彩虹粗仿宋"/>
                <w:b/>
                <w:bCs/>
                <w:kern w:val="0"/>
                <w:sz w:val="20"/>
                <w:szCs w:val="20"/>
                <w:highlight w:val="none"/>
              </w:rPr>
            </w:pPr>
            <w:r>
              <w:rPr>
                <w:rFonts w:hint="eastAsia" w:ascii="彩虹粗仿宋" w:eastAsia="彩虹粗仿宋"/>
                <w:b/>
                <w:bCs/>
                <w:kern w:val="0"/>
                <w:sz w:val="20"/>
                <w:szCs w:val="20"/>
                <w:highlight w:val="none"/>
              </w:rPr>
              <w:t>风险标识</w:t>
            </w:r>
          </w:p>
        </w:tc>
        <w:tc>
          <w:tcPr>
            <w:tcW w:w="2183" w:type="dxa"/>
          </w:tcPr>
          <w:p>
            <w:pPr>
              <w:spacing w:line="540" w:lineRule="exact"/>
              <w:jc w:val="center"/>
              <w:rPr>
                <w:rFonts w:ascii="彩虹粗仿宋" w:eastAsia="彩虹粗仿宋"/>
                <w:b/>
                <w:bCs/>
                <w:kern w:val="0"/>
                <w:sz w:val="20"/>
                <w:szCs w:val="20"/>
                <w:highlight w:val="none"/>
              </w:rPr>
            </w:pPr>
            <w:r>
              <w:rPr>
                <w:rFonts w:hint="eastAsia" w:ascii="彩虹粗仿宋" w:eastAsia="彩虹粗仿宋"/>
                <w:b/>
                <w:bCs/>
                <w:kern w:val="0"/>
                <w:sz w:val="20"/>
                <w:szCs w:val="20"/>
                <w:highlight w:val="none"/>
              </w:rPr>
              <w:t>风险等级说明</w:t>
            </w:r>
          </w:p>
        </w:tc>
        <w:tc>
          <w:tcPr>
            <w:tcW w:w="4157" w:type="dxa"/>
          </w:tcPr>
          <w:p>
            <w:pPr>
              <w:spacing w:line="540" w:lineRule="exact"/>
              <w:jc w:val="center"/>
              <w:rPr>
                <w:rFonts w:ascii="彩虹粗仿宋" w:eastAsia="彩虹粗仿宋"/>
                <w:b/>
                <w:bCs/>
                <w:kern w:val="0"/>
                <w:sz w:val="20"/>
                <w:szCs w:val="20"/>
                <w:highlight w:val="none"/>
              </w:rPr>
            </w:pPr>
            <w:r>
              <w:rPr>
                <w:rFonts w:hint="eastAsia" w:ascii="彩虹粗仿宋" w:eastAsia="彩虹粗仿宋"/>
                <w:b/>
                <w:bCs/>
                <w:kern w:val="0"/>
                <w:sz w:val="20"/>
                <w:szCs w:val="20"/>
                <w:highlight w:val="none"/>
              </w:rPr>
              <w:t>适用群体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182" w:type="dxa"/>
          </w:tcPr>
          <w:p>
            <w:pPr>
              <w:spacing w:line="540" w:lineRule="exact"/>
              <w:jc w:val="center"/>
              <w:rPr>
                <w:rFonts w:ascii="彩虹粗仿宋" w:eastAsia="彩虹粗仿宋"/>
                <w:kern w:val="0"/>
                <w:sz w:val="20"/>
                <w:szCs w:val="20"/>
                <w:highlight w:val="none"/>
              </w:rPr>
            </w:pPr>
            <w:r>
              <w:rPr>
                <w:rFonts w:hint="eastAsia" w:ascii="彩虹粗仿宋" w:eastAsia="彩虹粗仿宋"/>
                <w:kern w:val="0"/>
                <w:sz w:val="20"/>
                <w:szCs w:val="20"/>
                <w:highlight w:val="none"/>
                <w:lang w:val="en-US" w:eastAsia="zh-CN"/>
              </w:rPr>
              <w:t>P</w:t>
            </w:r>
            <w:r>
              <w:rPr>
                <w:rFonts w:hint="eastAsia" w:ascii="彩虹粗仿宋" w:eastAsia="彩虹粗仿宋"/>
                <w:kern w:val="0"/>
                <w:sz w:val="20"/>
                <w:szCs w:val="20"/>
                <w:highlight w:val="none"/>
              </w:rPr>
              <w:t>R1</w:t>
            </w:r>
          </w:p>
        </w:tc>
        <w:tc>
          <w:tcPr>
            <w:tcW w:w="2183" w:type="dxa"/>
          </w:tcPr>
          <w:p>
            <w:pPr>
              <w:spacing w:line="540" w:lineRule="exact"/>
              <w:jc w:val="center"/>
              <w:rPr>
                <w:rFonts w:ascii="彩虹粗仿宋" w:eastAsia="彩虹粗仿宋"/>
                <w:kern w:val="0"/>
                <w:sz w:val="20"/>
                <w:szCs w:val="20"/>
                <w:highlight w:val="none"/>
              </w:rPr>
            </w:pPr>
            <w:r>
              <w:rPr>
                <w:rFonts w:hint="eastAsia" w:ascii="彩虹粗仿宋" w:eastAsia="彩虹粗仿宋"/>
                <w:kern w:val="0"/>
                <w:sz w:val="20"/>
                <w:szCs w:val="20"/>
                <w:highlight w:val="none"/>
              </w:rPr>
              <w:t>低风险</w:t>
            </w:r>
          </w:p>
        </w:tc>
        <w:tc>
          <w:tcPr>
            <w:tcW w:w="4157" w:type="dxa"/>
          </w:tcPr>
          <w:p>
            <w:pPr>
              <w:spacing w:line="540" w:lineRule="exact"/>
              <w:jc w:val="center"/>
              <w:rPr>
                <w:rFonts w:ascii="彩虹粗仿宋" w:eastAsia="彩虹粗仿宋"/>
                <w:kern w:val="0"/>
                <w:sz w:val="20"/>
                <w:szCs w:val="20"/>
                <w:highlight w:val="none"/>
              </w:rPr>
            </w:pPr>
            <w:r>
              <w:rPr>
                <w:rFonts w:ascii="彩虹粗仿宋" w:eastAsia="彩虹粗仿宋"/>
                <w:kern w:val="0"/>
                <w:sz w:val="20"/>
                <w:szCs w:val="20"/>
                <w:highlight w:val="none"/>
              </w:rPr>
              <w:t>保守型</w:t>
            </w:r>
            <w:r>
              <w:rPr>
                <w:rFonts w:hint="eastAsia" w:ascii="彩虹粗仿宋" w:eastAsia="彩虹粗仿宋"/>
                <w:kern w:val="0"/>
                <w:sz w:val="20"/>
                <w:szCs w:val="20"/>
                <w:highlight w:val="none"/>
              </w:rPr>
              <w:t>、谨慎型、</w:t>
            </w:r>
            <w:r>
              <w:rPr>
                <w:rFonts w:hint="eastAsia" w:ascii="彩虹粗仿宋" w:eastAsia="彩虹粗仿宋"/>
                <w:kern w:val="0"/>
                <w:sz w:val="20"/>
                <w:szCs w:val="20"/>
                <w:highlight w:val="none"/>
                <w:lang w:val="en-US" w:eastAsia="zh-CN"/>
              </w:rPr>
              <w:t>稳健</w:t>
            </w:r>
            <w:r>
              <w:rPr>
                <w:rFonts w:ascii="彩虹粗仿宋" w:eastAsia="彩虹粗仿宋"/>
                <w:kern w:val="0"/>
                <w:sz w:val="20"/>
                <w:szCs w:val="20"/>
                <w:highlight w:val="none"/>
              </w:rPr>
              <w:t>型</w:t>
            </w:r>
            <w:r>
              <w:rPr>
                <w:rFonts w:hint="eastAsia" w:ascii="彩虹粗仿宋" w:eastAsia="彩虹粗仿宋"/>
                <w:kern w:val="0"/>
                <w:sz w:val="20"/>
                <w:szCs w:val="20"/>
                <w:highlight w:val="none"/>
              </w:rPr>
              <w:t>、进取</w:t>
            </w:r>
            <w:r>
              <w:rPr>
                <w:rFonts w:ascii="彩虹粗仿宋" w:eastAsia="彩虹粗仿宋"/>
                <w:kern w:val="0"/>
                <w:sz w:val="20"/>
                <w:szCs w:val="20"/>
                <w:highlight w:val="none"/>
              </w:rPr>
              <w:t>型</w:t>
            </w:r>
            <w:r>
              <w:rPr>
                <w:rFonts w:hint="eastAsia" w:ascii="彩虹粗仿宋" w:eastAsia="彩虹粗仿宋"/>
                <w:kern w:val="0"/>
                <w:sz w:val="20"/>
                <w:szCs w:val="20"/>
                <w:highlight w:val="none"/>
              </w:rPr>
              <w:t>、激进型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182" w:type="dxa"/>
          </w:tcPr>
          <w:p>
            <w:pPr>
              <w:spacing w:line="540" w:lineRule="exact"/>
              <w:jc w:val="center"/>
              <w:rPr>
                <w:rFonts w:ascii="彩虹粗仿宋" w:eastAsia="彩虹粗仿宋"/>
                <w:kern w:val="0"/>
                <w:sz w:val="20"/>
                <w:szCs w:val="20"/>
                <w:highlight w:val="none"/>
              </w:rPr>
            </w:pPr>
            <w:r>
              <w:rPr>
                <w:rFonts w:hint="eastAsia" w:ascii="彩虹粗仿宋" w:eastAsia="彩虹粗仿宋"/>
                <w:kern w:val="0"/>
                <w:sz w:val="20"/>
                <w:szCs w:val="20"/>
                <w:highlight w:val="none"/>
                <w:lang w:val="en-US" w:eastAsia="zh-CN"/>
              </w:rPr>
              <w:t>P</w:t>
            </w:r>
            <w:r>
              <w:rPr>
                <w:rFonts w:hint="eastAsia" w:ascii="彩虹粗仿宋" w:eastAsia="彩虹粗仿宋"/>
                <w:kern w:val="0"/>
                <w:sz w:val="20"/>
                <w:szCs w:val="20"/>
                <w:highlight w:val="none"/>
              </w:rPr>
              <w:t>R2</w:t>
            </w:r>
          </w:p>
        </w:tc>
        <w:tc>
          <w:tcPr>
            <w:tcW w:w="2183" w:type="dxa"/>
          </w:tcPr>
          <w:p>
            <w:pPr>
              <w:spacing w:line="540" w:lineRule="exact"/>
              <w:jc w:val="center"/>
              <w:rPr>
                <w:rFonts w:ascii="彩虹粗仿宋" w:eastAsia="彩虹粗仿宋"/>
                <w:kern w:val="0"/>
                <w:sz w:val="20"/>
                <w:szCs w:val="20"/>
                <w:highlight w:val="none"/>
              </w:rPr>
            </w:pPr>
            <w:r>
              <w:rPr>
                <w:rFonts w:hint="eastAsia" w:ascii="彩虹粗仿宋" w:eastAsia="彩虹粗仿宋"/>
                <w:kern w:val="0"/>
                <w:sz w:val="20"/>
                <w:szCs w:val="20"/>
                <w:highlight w:val="none"/>
              </w:rPr>
              <w:t>中低风险</w:t>
            </w:r>
          </w:p>
        </w:tc>
        <w:tc>
          <w:tcPr>
            <w:tcW w:w="4157" w:type="dxa"/>
          </w:tcPr>
          <w:p>
            <w:pPr>
              <w:spacing w:line="540" w:lineRule="exact"/>
              <w:jc w:val="center"/>
              <w:rPr>
                <w:rFonts w:ascii="彩虹粗仿宋" w:eastAsia="彩虹粗仿宋"/>
                <w:kern w:val="0"/>
                <w:sz w:val="20"/>
                <w:szCs w:val="20"/>
                <w:highlight w:val="none"/>
              </w:rPr>
            </w:pPr>
            <w:r>
              <w:rPr>
                <w:rFonts w:hint="eastAsia" w:ascii="彩虹粗仿宋" w:eastAsia="彩虹粗仿宋"/>
                <w:kern w:val="0"/>
                <w:sz w:val="20"/>
                <w:szCs w:val="20"/>
                <w:highlight w:val="none"/>
              </w:rPr>
              <w:t>谨慎型、</w:t>
            </w:r>
            <w:r>
              <w:rPr>
                <w:rFonts w:hint="eastAsia" w:ascii="彩虹粗仿宋" w:eastAsia="彩虹粗仿宋"/>
                <w:kern w:val="0"/>
                <w:sz w:val="20"/>
                <w:szCs w:val="20"/>
                <w:highlight w:val="none"/>
                <w:lang w:val="en-US" w:eastAsia="zh-CN"/>
              </w:rPr>
              <w:t>稳健</w:t>
            </w:r>
            <w:r>
              <w:rPr>
                <w:rFonts w:ascii="彩虹粗仿宋" w:eastAsia="彩虹粗仿宋"/>
                <w:kern w:val="0"/>
                <w:sz w:val="20"/>
                <w:szCs w:val="20"/>
                <w:highlight w:val="none"/>
              </w:rPr>
              <w:t>型</w:t>
            </w:r>
            <w:r>
              <w:rPr>
                <w:rFonts w:hint="eastAsia" w:ascii="彩虹粗仿宋" w:eastAsia="彩虹粗仿宋"/>
                <w:kern w:val="0"/>
                <w:sz w:val="20"/>
                <w:szCs w:val="20"/>
                <w:highlight w:val="none"/>
              </w:rPr>
              <w:t>、进取</w:t>
            </w:r>
            <w:r>
              <w:rPr>
                <w:rFonts w:ascii="彩虹粗仿宋" w:eastAsia="彩虹粗仿宋"/>
                <w:kern w:val="0"/>
                <w:sz w:val="20"/>
                <w:szCs w:val="20"/>
                <w:highlight w:val="none"/>
              </w:rPr>
              <w:t>型</w:t>
            </w:r>
            <w:r>
              <w:rPr>
                <w:rFonts w:hint="eastAsia" w:ascii="彩虹粗仿宋" w:eastAsia="彩虹粗仿宋"/>
                <w:kern w:val="0"/>
                <w:sz w:val="20"/>
                <w:szCs w:val="20"/>
                <w:highlight w:val="none"/>
              </w:rPr>
              <w:t>、激进型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182" w:type="dxa"/>
          </w:tcPr>
          <w:p>
            <w:pPr>
              <w:spacing w:line="540" w:lineRule="exact"/>
              <w:jc w:val="center"/>
              <w:rPr>
                <w:rFonts w:ascii="彩虹粗仿宋" w:eastAsia="彩虹粗仿宋"/>
                <w:kern w:val="0"/>
                <w:sz w:val="20"/>
                <w:szCs w:val="20"/>
                <w:highlight w:val="none"/>
              </w:rPr>
            </w:pPr>
            <w:r>
              <w:rPr>
                <w:rFonts w:hint="eastAsia" w:ascii="彩虹粗仿宋" w:eastAsia="彩虹粗仿宋"/>
                <w:kern w:val="0"/>
                <w:sz w:val="20"/>
                <w:szCs w:val="20"/>
                <w:highlight w:val="none"/>
                <w:lang w:val="en-US" w:eastAsia="zh-CN"/>
              </w:rPr>
              <w:t>P</w:t>
            </w:r>
            <w:r>
              <w:rPr>
                <w:rFonts w:hint="eastAsia" w:ascii="彩虹粗仿宋" w:eastAsia="彩虹粗仿宋"/>
                <w:kern w:val="0"/>
                <w:sz w:val="20"/>
                <w:szCs w:val="20"/>
                <w:highlight w:val="none"/>
              </w:rPr>
              <w:t>R3</w:t>
            </w:r>
          </w:p>
        </w:tc>
        <w:tc>
          <w:tcPr>
            <w:tcW w:w="2183" w:type="dxa"/>
          </w:tcPr>
          <w:p>
            <w:pPr>
              <w:spacing w:line="540" w:lineRule="exact"/>
              <w:jc w:val="center"/>
              <w:rPr>
                <w:rFonts w:ascii="彩虹粗仿宋" w:eastAsia="彩虹粗仿宋"/>
                <w:kern w:val="0"/>
                <w:sz w:val="20"/>
                <w:szCs w:val="20"/>
                <w:highlight w:val="none"/>
              </w:rPr>
            </w:pPr>
            <w:r>
              <w:rPr>
                <w:rFonts w:hint="eastAsia" w:ascii="彩虹粗仿宋" w:eastAsia="彩虹粗仿宋"/>
                <w:kern w:val="0"/>
                <w:sz w:val="20"/>
                <w:szCs w:val="20"/>
                <w:highlight w:val="none"/>
              </w:rPr>
              <w:t>中风险</w:t>
            </w:r>
          </w:p>
        </w:tc>
        <w:tc>
          <w:tcPr>
            <w:tcW w:w="4157" w:type="dxa"/>
          </w:tcPr>
          <w:p>
            <w:pPr>
              <w:tabs>
                <w:tab w:val="left" w:pos="988"/>
              </w:tabs>
              <w:spacing w:line="540" w:lineRule="exact"/>
              <w:jc w:val="center"/>
              <w:rPr>
                <w:rFonts w:ascii="彩虹粗仿宋" w:eastAsia="彩虹粗仿宋"/>
                <w:kern w:val="0"/>
                <w:sz w:val="20"/>
                <w:szCs w:val="20"/>
                <w:highlight w:val="none"/>
              </w:rPr>
            </w:pPr>
            <w:r>
              <w:rPr>
                <w:rFonts w:hint="eastAsia" w:ascii="彩虹粗仿宋" w:eastAsia="彩虹粗仿宋"/>
                <w:kern w:val="0"/>
                <w:sz w:val="20"/>
                <w:szCs w:val="20"/>
                <w:highlight w:val="none"/>
                <w:lang w:val="en-US" w:eastAsia="zh-CN"/>
              </w:rPr>
              <w:t>稳健</w:t>
            </w:r>
            <w:r>
              <w:rPr>
                <w:rFonts w:ascii="彩虹粗仿宋" w:eastAsia="彩虹粗仿宋"/>
                <w:kern w:val="0"/>
                <w:sz w:val="20"/>
                <w:szCs w:val="20"/>
                <w:highlight w:val="none"/>
              </w:rPr>
              <w:t>型</w:t>
            </w:r>
            <w:r>
              <w:rPr>
                <w:rFonts w:hint="eastAsia" w:ascii="彩虹粗仿宋" w:eastAsia="彩虹粗仿宋"/>
                <w:kern w:val="0"/>
                <w:sz w:val="20"/>
                <w:szCs w:val="20"/>
                <w:highlight w:val="none"/>
              </w:rPr>
              <w:t>、进取</w:t>
            </w:r>
            <w:r>
              <w:rPr>
                <w:rFonts w:ascii="彩虹粗仿宋" w:eastAsia="彩虹粗仿宋"/>
                <w:kern w:val="0"/>
                <w:sz w:val="20"/>
                <w:szCs w:val="20"/>
                <w:highlight w:val="none"/>
              </w:rPr>
              <w:t>型</w:t>
            </w:r>
            <w:r>
              <w:rPr>
                <w:rFonts w:hint="eastAsia" w:ascii="彩虹粗仿宋" w:eastAsia="彩虹粗仿宋"/>
                <w:kern w:val="0"/>
                <w:sz w:val="20"/>
                <w:szCs w:val="20"/>
                <w:highlight w:val="none"/>
              </w:rPr>
              <w:t>、激进型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182" w:type="dxa"/>
          </w:tcPr>
          <w:p>
            <w:pPr>
              <w:spacing w:line="540" w:lineRule="exact"/>
              <w:jc w:val="center"/>
              <w:rPr>
                <w:rFonts w:ascii="彩虹粗仿宋" w:eastAsia="彩虹粗仿宋"/>
                <w:kern w:val="0"/>
                <w:sz w:val="20"/>
                <w:szCs w:val="20"/>
                <w:highlight w:val="none"/>
              </w:rPr>
            </w:pPr>
            <w:r>
              <w:rPr>
                <w:rFonts w:hint="eastAsia" w:ascii="彩虹粗仿宋" w:eastAsia="彩虹粗仿宋"/>
                <w:kern w:val="0"/>
                <w:sz w:val="20"/>
                <w:szCs w:val="20"/>
                <w:highlight w:val="none"/>
                <w:lang w:val="en-US" w:eastAsia="zh-CN"/>
              </w:rPr>
              <w:t>P</w:t>
            </w:r>
            <w:r>
              <w:rPr>
                <w:rFonts w:hint="eastAsia" w:ascii="彩虹粗仿宋" w:eastAsia="彩虹粗仿宋"/>
                <w:kern w:val="0"/>
                <w:sz w:val="20"/>
                <w:szCs w:val="20"/>
                <w:highlight w:val="none"/>
              </w:rPr>
              <w:t>R4</w:t>
            </w:r>
          </w:p>
        </w:tc>
        <w:tc>
          <w:tcPr>
            <w:tcW w:w="2183" w:type="dxa"/>
          </w:tcPr>
          <w:p>
            <w:pPr>
              <w:spacing w:line="540" w:lineRule="exact"/>
              <w:jc w:val="center"/>
              <w:rPr>
                <w:rFonts w:ascii="彩虹粗仿宋" w:eastAsia="彩虹粗仿宋"/>
                <w:kern w:val="0"/>
                <w:sz w:val="20"/>
                <w:szCs w:val="20"/>
                <w:highlight w:val="none"/>
              </w:rPr>
            </w:pPr>
            <w:r>
              <w:rPr>
                <w:rFonts w:hint="eastAsia" w:ascii="彩虹粗仿宋" w:eastAsia="彩虹粗仿宋"/>
                <w:kern w:val="0"/>
                <w:sz w:val="20"/>
                <w:szCs w:val="20"/>
                <w:highlight w:val="none"/>
              </w:rPr>
              <w:t>中高风险</w:t>
            </w:r>
          </w:p>
        </w:tc>
        <w:tc>
          <w:tcPr>
            <w:tcW w:w="4157" w:type="dxa"/>
          </w:tcPr>
          <w:p>
            <w:pPr>
              <w:spacing w:line="540" w:lineRule="exact"/>
              <w:jc w:val="center"/>
              <w:rPr>
                <w:rFonts w:ascii="彩虹粗仿宋" w:eastAsia="彩虹粗仿宋"/>
                <w:kern w:val="0"/>
                <w:sz w:val="20"/>
                <w:szCs w:val="20"/>
                <w:highlight w:val="none"/>
              </w:rPr>
            </w:pPr>
            <w:r>
              <w:rPr>
                <w:rFonts w:hint="eastAsia" w:ascii="彩虹粗仿宋" w:eastAsia="彩虹粗仿宋"/>
                <w:kern w:val="0"/>
                <w:sz w:val="20"/>
                <w:szCs w:val="20"/>
                <w:highlight w:val="none"/>
              </w:rPr>
              <w:t>进取</w:t>
            </w:r>
            <w:r>
              <w:rPr>
                <w:rFonts w:ascii="彩虹粗仿宋" w:eastAsia="彩虹粗仿宋"/>
                <w:kern w:val="0"/>
                <w:sz w:val="20"/>
                <w:szCs w:val="20"/>
                <w:highlight w:val="none"/>
              </w:rPr>
              <w:t>型</w:t>
            </w:r>
            <w:r>
              <w:rPr>
                <w:rFonts w:hint="eastAsia" w:ascii="彩虹粗仿宋" w:eastAsia="彩虹粗仿宋"/>
                <w:kern w:val="0"/>
                <w:sz w:val="20"/>
                <w:szCs w:val="20"/>
                <w:highlight w:val="none"/>
              </w:rPr>
              <w:t>、激进型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182" w:type="dxa"/>
          </w:tcPr>
          <w:p>
            <w:pPr>
              <w:spacing w:line="540" w:lineRule="exact"/>
              <w:jc w:val="center"/>
              <w:rPr>
                <w:rFonts w:ascii="彩虹粗仿宋" w:eastAsia="彩虹粗仿宋"/>
                <w:kern w:val="0"/>
                <w:sz w:val="20"/>
                <w:szCs w:val="21"/>
                <w:highlight w:val="none"/>
              </w:rPr>
            </w:pPr>
            <w:r>
              <w:rPr>
                <w:rFonts w:hint="eastAsia" w:ascii="彩虹粗仿宋" w:eastAsia="彩虹粗仿宋"/>
                <w:kern w:val="0"/>
                <w:sz w:val="20"/>
                <w:szCs w:val="21"/>
                <w:highlight w:val="none"/>
                <w:lang w:val="en-US" w:eastAsia="zh-CN"/>
              </w:rPr>
              <w:t>P</w:t>
            </w:r>
            <w:r>
              <w:rPr>
                <w:rFonts w:hint="eastAsia" w:ascii="彩虹粗仿宋" w:eastAsia="彩虹粗仿宋"/>
                <w:kern w:val="0"/>
                <w:sz w:val="20"/>
                <w:szCs w:val="21"/>
                <w:highlight w:val="none"/>
              </w:rPr>
              <w:t>R5</w:t>
            </w:r>
          </w:p>
        </w:tc>
        <w:tc>
          <w:tcPr>
            <w:tcW w:w="2183" w:type="dxa"/>
          </w:tcPr>
          <w:p>
            <w:pPr>
              <w:spacing w:line="540" w:lineRule="exact"/>
              <w:jc w:val="center"/>
              <w:rPr>
                <w:rFonts w:ascii="彩虹粗仿宋" w:eastAsia="彩虹粗仿宋"/>
                <w:kern w:val="0"/>
                <w:sz w:val="20"/>
                <w:szCs w:val="21"/>
                <w:highlight w:val="none"/>
              </w:rPr>
            </w:pPr>
            <w:r>
              <w:rPr>
                <w:rFonts w:hint="eastAsia" w:ascii="彩虹粗仿宋" w:eastAsia="彩虹粗仿宋"/>
                <w:kern w:val="0"/>
                <w:sz w:val="20"/>
                <w:szCs w:val="21"/>
                <w:highlight w:val="none"/>
              </w:rPr>
              <w:t>高风险</w:t>
            </w:r>
          </w:p>
        </w:tc>
        <w:tc>
          <w:tcPr>
            <w:tcW w:w="4157" w:type="dxa"/>
          </w:tcPr>
          <w:p>
            <w:pPr>
              <w:spacing w:line="540" w:lineRule="exact"/>
              <w:jc w:val="center"/>
              <w:rPr>
                <w:rFonts w:ascii="彩虹粗仿宋" w:eastAsia="彩虹粗仿宋"/>
                <w:kern w:val="0"/>
                <w:sz w:val="20"/>
                <w:szCs w:val="21"/>
                <w:highlight w:val="none"/>
              </w:rPr>
            </w:pPr>
            <w:r>
              <w:rPr>
                <w:rFonts w:hint="eastAsia" w:ascii="彩虹粗仿宋" w:eastAsia="彩虹粗仿宋"/>
                <w:kern w:val="0"/>
                <w:sz w:val="20"/>
                <w:szCs w:val="20"/>
                <w:highlight w:val="none"/>
              </w:rPr>
              <w:t>激进型</w:t>
            </w:r>
          </w:p>
        </w:tc>
      </w:tr>
    </w:tbl>
    <w:p>
      <w:pPr>
        <w:spacing w:line="298" w:lineRule="auto"/>
        <w:ind w:right="338" w:firstLine="560" w:firstLineChars="200"/>
        <w:rPr>
          <w:rFonts w:ascii="仿宋" w:hAnsi="仿宋" w:eastAsia="仿宋"/>
          <w:sz w:val="28"/>
          <w:szCs w:val="28"/>
          <w:highlight w:val="none"/>
        </w:rPr>
      </w:pPr>
    </w:p>
    <w:p>
      <w:pPr>
        <w:spacing w:line="298" w:lineRule="auto"/>
        <w:ind w:right="338" w:firstLine="560" w:firstLineChars="200"/>
        <w:rPr>
          <w:rFonts w:ascii="仿宋" w:hAnsi="仿宋" w:eastAsia="仿宋"/>
          <w:sz w:val="28"/>
          <w:szCs w:val="28"/>
          <w:highlight w:val="none"/>
        </w:rPr>
      </w:pPr>
      <w:r>
        <w:rPr>
          <w:rFonts w:hint="eastAsia" w:ascii="仿宋" w:hAnsi="仿宋" w:eastAsia="仿宋"/>
          <w:sz w:val="28"/>
          <w:szCs w:val="28"/>
          <w:highlight w:val="none"/>
        </w:rPr>
        <w:t>为了准确地了解和评估您的投资需求，请您在首次购买理财产品前，通过</w:t>
      </w:r>
      <w:r>
        <w:rPr>
          <w:rFonts w:hint="eastAsia" w:ascii="仿宋" w:hAnsi="仿宋" w:eastAsia="仿宋"/>
          <w:sz w:val="28"/>
          <w:szCs w:val="28"/>
          <w:highlight w:val="none"/>
          <w:lang w:eastAsia="zh-CN"/>
        </w:rPr>
        <w:t>诸暨农村商业银行</w:t>
      </w:r>
      <w:r>
        <w:rPr>
          <w:rFonts w:hint="eastAsia" w:ascii="仿宋" w:hAnsi="仿宋" w:eastAsia="仿宋"/>
          <w:sz w:val="28"/>
          <w:szCs w:val="28"/>
          <w:highlight w:val="none"/>
        </w:rPr>
        <w:t>的营业网点或适用的电子渠道进行有效风险承受能力的评估。</w:t>
      </w:r>
    </w:p>
    <w:p>
      <w:pPr>
        <w:spacing w:line="298" w:lineRule="auto"/>
        <w:ind w:left="102" w:right="161" w:firstLine="422"/>
        <w:rPr>
          <w:rFonts w:ascii="仿宋" w:hAnsi="仿宋" w:eastAsia="仿宋"/>
          <w:sz w:val="28"/>
          <w:szCs w:val="28"/>
          <w:highlight w:val="none"/>
        </w:rPr>
      </w:pPr>
      <w:r>
        <w:rPr>
          <w:rFonts w:hint="eastAsia" w:ascii="仿宋" w:hAnsi="仿宋" w:eastAsia="仿宋"/>
          <w:sz w:val="28"/>
          <w:szCs w:val="28"/>
          <w:highlight w:val="none"/>
        </w:rPr>
        <w:t>为了及时更新您的财务状况，明确您的投资目标，个人投资风险承受能力评估结果的有效期为一年期，若您的风险承受能力评估结果已过有效期或者在评级结果有效期内发生了可能影响您自身风险承受能力的情形，请您在再次购买理财产品前，通过销售服务机构</w:t>
      </w:r>
      <w:bookmarkStart w:id="0" w:name="_GoBack"/>
      <w:r>
        <w:rPr>
          <w:rFonts w:hint="eastAsia" w:ascii="仿宋" w:hAnsi="仿宋" w:eastAsia="仿宋"/>
          <w:sz w:val="28"/>
          <w:szCs w:val="28"/>
          <w:highlight w:val="none"/>
          <w:lang w:eastAsia="zh-CN"/>
        </w:rPr>
        <w:t>诸暨农村商业</w:t>
      </w:r>
      <w:bookmarkEnd w:id="0"/>
      <w:r>
        <w:rPr>
          <w:rFonts w:hint="eastAsia" w:ascii="仿宋" w:hAnsi="仿宋" w:eastAsia="仿宋"/>
          <w:sz w:val="28"/>
          <w:szCs w:val="28"/>
          <w:highlight w:val="none"/>
          <w:lang w:eastAsia="zh-CN"/>
        </w:rPr>
        <w:t>银行</w:t>
      </w:r>
      <w:r>
        <w:rPr>
          <w:rFonts w:hint="eastAsia" w:ascii="仿宋" w:hAnsi="仿宋" w:eastAsia="仿宋"/>
          <w:sz w:val="28"/>
          <w:szCs w:val="28"/>
          <w:highlight w:val="none"/>
        </w:rPr>
        <w:t>的营业网点或适用的电子渠道重新进行风险承受能力评估。</w:t>
      </w:r>
    </w:p>
    <w:p>
      <w:pPr>
        <w:spacing w:line="298" w:lineRule="auto"/>
        <w:ind w:left="521" w:firstLine="2"/>
        <w:rPr>
          <w:rFonts w:ascii="仿宋" w:hAnsi="仿宋" w:eastAsia="仿宋"/>
          <w:b/>
          <w:bCs/>
          <w:sz w:val="28"/>
          <w:szCs w:val="28"/>
          <w:highlight w:val="none"/>
        </w:rPr>
      </w:pPr>
      <w:r>
        <w:rPr>
          <w:rFonts w:hint="eastAsia" w:ascii="仿宋" w:hAnsi="仿宋" w:eastAsia="仿宋"/>
          <w:b/>
          <w:bCs/>
          <w:sz w:val="28"/>
          <w:szCs w:val="28"/>
          <w:highlight w:val="none"/>
        </w:rPr>
        <w:t>第二部</w:t>
      </w:r>
      <w:r>
        <w:rPr>
          <w:rFonts w:ascii="仿宋" w:hAnsi="仿宋" w:eastAsia="仿宋"/>
          <w:b/>
          <w:bCs/>
          <w:sz w:val="28"/>
          <w:szCs w:val="28"/>
          <w:highlight w:val="none"/>
        </w:rPr>
        <w:t xml:space="preserve"> </w:t>
      </w:r>
      <w:r>
        <w:rPr>
          <w:rFonts w:hint="eastAsia" w:ascii="仿宋" w:hAnsi="仿宋" w:eastAsia="仿宋"/>
          <w:b/>
          <w:bCs/>
          <w:sz w:val="28"/>
          <w:szCs w:val="28"/>
          <w:highlight w:val="none"/>
        </w:rPr>
        <w:t>购买您选择的理财产品</w:t>
      </w:r>
    </w:p>
    <w:p>
      <w:pPr>
        <w:spacing w:line="298" w:lineRule="auto"/>
        <w:ind w:left="142" w:right="153" w:rightChars="73" w:firstLine="381"/>
        <w:rPr>
          <w:rFonts w:ascii="仿宋" w:hAnsi="仿宋" w:eastAsia="仿宋"/>
          <w:sz w:val="28"/>
          <w:szCs w:val="28"/>
          <w:highlight w:val="none"/>
        </w:rPr>
      </w:pPr>
      <w:r>
        <w:rPr>
          <w:rFonts w:hint="eastAsia" w:ascii="仿宋" w:hAnsi="仿宋" w:eastAsia="仿宋"/>
          <w:sz w:val="28"/>
          <w:szCs w:val="28"/>
          <w:highlight w:val="none"/>
        </w:rPr>
        <w:t>您在完成风险承受能力评估后，选择适合您风险承受能力的理财产品，可通过销售服务机构</w:t>
      </w:r>
      <w:r>
        <w:rPr>
          <w:rFonts w:hint="eastAsia" w:ascii="仿宋" w:hAnsi="仿宋" w:eastAsia="仿宋"/>
          <w:sz w:val="28"/>
          <w:szCs w:val="28"/>
          <w:highlight w:val="none"/>
          <w:lang w:eastAsia="zh-CN"/>
        </w:rPr>
        <w:t>诸暨农村商业银行</w:t>
      </w:r>
      <w:r>
        <w:rPr>
          <w:rFonts w:hint="eastAsia" w:ascii="仿宋" w:hAnsi="仿宋" w:eastAsia="仿宋"/>
          <w:sz w:val="28"/>
          <w:szCs w:val="28"/>
          <w:highlight w:val="none"/>
        </w:rPr>
        <w:t>适用的电子渠道等方式进行购买。电子渠道方式有：</w:t>
      </w:r>
    </w:p>
    <w:p>
      <w:pPr>
        <w:spacing w:line="298" w:lineRule="auto"/>
        <w:ind w:left="142" w:right="153" w:rightChars="73" w:firstLine="381"/>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1、网上银行</w:t>
      </w:r>
    </w:p>
    <w:p>
      <w:pPr>
        <w:spacing w:line="298" w:lineRule="auto"/>
        <w:ind w:left="142" w:right="153" w:rightChars="73" w:firstLine="381"/>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投资人签约我行网上银行后即可通过互联网登录我行个人网上银行进行理财购买和赎回等业务。</w:t>
      </w:r>
    </w:p>
    <w:p>
      <w:pPr>
        <w:spacing w:line="298" w:lineRule="auto"/>
        <w:ind w:left="142" w:right="153" w:rightChars="73" w:firstLine="381"/>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2、手机银行</w:t>
      </w:r>
    </w:p>
    <w:p>
      <w:pPr>
        <w:spacing w:line="298" w:lineRule="auto"/>
        <w:ind w:left="142" w:right="153" w:rightChars="73" w:firstLine="381"/>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投资人登录手机银行，可进行理财购买和赎回等业务。</w:t>
      </w:r>
    </w:p>
    <w:p>
      <w:pPr>
        <w:spacing w:line="298" w:lineRule="auto"/>
        <w:ind w:left="142" w:right="153" w:rightChars="73" w:firstLine="381"/>
        <w:rPr>
          <w:rFonts w:ascii="仿宋" w:hAnsi="仿宋" w:eastAsia="仿宋"/>
          <w:sz w:val="28"/>
          <w:szCs w:val="28"/>
          <w:highlight w:val="none"/>
        </w:rPr>
      </w:pPr>
    </w:p>
    <w:p>
      <w:pPr>
        <w:spacing w:line="298" w:lineRule="auto"/>
        <w:ind w:left="142" w:right="153" w:rightChars="73" w:firstLine="381"/>
        <w:rPr>
          <w:rFonts w:ascii="仿宋" w:hAnsi="仿宋" w:eastAsia="仿宋"/>
          <w:sz w:val="28"/>
          <w:szCs w:val="28"/>
          <w:highlight w:val="none"/>
        </w:rPr>
      </w:pPr>
      <w:r>
        <w:rPr>
          <w:rFonts w:hint="eastAsia" w:ascii="仿宋" w:hAnsi="仿宋" w:eastAsia="仿宋"/>
          <w:b/>
          <w:bCs/>
          <w:sz w:val="28"/>
          <w:szCs w:val="28"/>
          <w:highlight w:val="none"/>
        </w:rPr>
        <w:t>第三部</w:t>
      </w:r>
      <w:r>
        <w:rPr>
          <w:rFonts w:ascii="仿宋" w:hAnsi="仿宋" w:eastAsia="仿宋"/>
          <w:b/>
          <w:bCs/>
          <w:sz w:val="28"/>
          <w:szCs w:val="28"/>
          <w:highlight w:val="none"/>
        </w:rPr>
        <w:t xml:space="preserve"> </w:t>
      </w:r>
      <w:r>
        <w:rPr>
          <w:rFonts w:hint="eastAsia" w:ascii="仿宋" w:hAnsi="仿宋" w:eastAsia="仿宋"/>
          <w:b/>
          <w:bCs/>
          <w:sz w:val="28"/>
          <w:szCs w:val="28"/>
          <w:highlight w:val="none"/>
        </w:rPr>
        <w:t>了解理财产品的信息披露方式、渠道和频率</w:t>
      </w:r>
    </w:p>
    <w:p>
      <w:pPr>
        <w:spacing w:line="298" w:lineRule="auto"/>
        <w:ind w:left="142" w:right="161" w:firstLine="560" w:firstLineChars="200"/>
        <w:rPr>
          <w:rFonts w:ascii="仿宋" w:hAnsi="仿宋" w:eastAsia="仿宋"/>
          <w:b/>
          <w:sz w:val="28"/>
          <w:szCs w:val="28"/>
          <w:highlight w:val="none"/>
        </w:rPr>
      </w:pPr>
      <w:r>
        <w:rPr>
          <w:rFonts w:hint="eastAsia" w:ascii="仿宋" w:hAnsi="仿宋" w:eastAsia="仿宋"/>
          <w:sz w:val="28"/>
          <w:szCs w:val="28"/>
          <w:highlight w:val="none"/>
        </w:rPr>
        <w:t>有关产品相关信息的披露方式、渠道和频率，您可根据《产品说明书》中所载明的</w:t>
      </w:r>
      <w:r>
        <w:rPr>
          <w:rFonts w:ascii="仿宋" w:hAnsi="仿宋" w:eastAsia="仿宋"/>
          <w:sz w:val="28"/>
          <w:szCs w:val="28"/>
          <w:highlight w:val="none"/>
        </w:rPr>
        <w:t>“</w:t>
      </w:r>
      <w:r>
        <w:rPr>
          <w:rFonts w:hint="eastAsia" w:ascii="仿宋" w:hAnsi="仿宋" w:eastAsia="仿宋"/>
          <w:sz w:val="28"/>
          <w:szCs w:val="28"/>
          <w:highlight w:val="none"/>
        </w:rPr>
        <w:t>信息公告</w:t>
      </w:r>
      <w:r>
        <w:rPr>
          <w:rFonts w:ascii="仿宋" w:hAnsi="仿宋" w:eastAsia="仿宋"/>
          <w:sz w:val="28"/>
          <w:szCs w:val="28"/>
          <w:highlight w:val="none"/>
        </w:rPr>
        <w:t>”</w:t>
      </w:r>
      <w:r>
        <w:rPr>
          <w:rFonts w:hint="eastAsia" w:ascii="仿宋" w:hAnsi="仿宋" w:eastAsia="仿宋"/>
          <w:sz w:val="28"/>
          <w:szCs w:val="28"/>
          <w:highlight w:val="none"/>
        </w:rPr>
        <w:t>约定，</w:t>
      </w:r>
      <w:r>
        <w:rPr>
          <w:rFonts w:hint="eastAsia" w:ascii="仿宋" w:hAnsi="仿宋" w:eastAsia="仿宋"/>
          <w:b/>
          <w:sz w:val="28"/>
          <w:szCs w:val="28"/>
          <w:highlight w:val="none"/>
        </w:rPr>
        <w:t>及时登录销售服务</w:t>
      </w:r>
      <w:r>
        <w:rPr>
          <w:rFonts w:ascii="仿宋" w:hAnsi="仿宋" w:eastAsia="仿宋"/>
          <w:b/>
          <w:sz w:val="28"/>
          <w:szCs w:val="28"/>
          <w:highlight w:val="none"/>
        </w:rPr>
        <w:t>机构</w:t>
      </w:r>
      <w:r>
        <w:rPr>
          <w:rFonts w:hint="eastAsia" w:ascii="仿宋" w:hAnsi="仿宋" w:eastAsia="仿宋"/>
          <w:b/>
          <w:sz w:val="28"/>
          <w:szCs w:val="28"/>
          <w:highlight w:val="none"/>
        </w:rPr>
        <w:t>【</w:t>
      </w:r>
      <w:r>
        <w:rPr>
          <w:rFonts w:hint="eastAsia" w:ascii="仿宋" w:hAnsi="仿宋" w:eastAsia="仿宋"/>
          <w:b/>
          <w:sz w:val="28"/>
          <w:szCs w:val="28"/>
          <w:highlight w:val="none"/>
          <w:lang w:eastAsia="zh-CN"/>
        </w:rPr>
        <w:t>诸暨农村商业银行</w:t>
      </w:r>
      <w:r>
        <w:rPr>
          <w:rFonts w:hint="eastAsia" w:ascii="仿宋" w:hAnsi="仿宋" w:eastAsia="仿宋"/>
          <w:b/>
          <w:sz w:val="28"/>
          <w:szCs w:val="28"/>
          <w:highlight w:val="none"/>
        </w:rPr>
        <w:t>网站或致电</w:t>
      </w:r>
      <w:r>
        <w:rPr>
          <w:rFonts w:hint="eastAsia" w:ascii="仿宋" w:hAnsi="仿宋" w:eastAsia="仿宋"/>
          <w:b/>
          <w:sz w:val="28"/>
          <w:szCs w:val="28"/>
          <w:highlight w:val="none"/>
          <w:lang w:eastAsia="zh-CN"/>
        </w:rPr>
        <w:t>诸暨农村商业银行</w:t>
      </w:r>
      <w:r>
        <w:rPr>
          <w:rFonts w:hint="eastAsia" w:ascii="仿宋" w:hAnsi="仿宋" w:eastAsia="仿宋"/>
          <w:b/>
          <w:sz w:val="28"/>
          <w:szCs w:val="28"/>
          <w:highlight w:val="none"/>
        </w:rPr>
        <w:t>全国统一客户服务热线（</w:t>
      </w:r>
      <w:r>
        <w:rPr>
          <w:rFonts w:hint="eastAsia" w:ascii="仿宋" w:hAnsi="仿宋" w:eastAsia="仿宋"/>
          <w:b/>
          <w:sz w:val="28"/>
          <w:szCs w:val="28"/>
          <w:highlight w:val="none"/>
          <w:lang w:val="en-US" w:eastAsia="zh-CN"/>
        </w:rPr>
        <w:t>400-8896596</w:t>
      </w:r>
      <w:r>
        <w:rPr>
          <w:rFonts w:hint="eastAsia" w:ascii="仿宋" w:hAnsi="仿宋" w:eastAsia="仿宋"/>
          <w:b/>
          <w:sz w:val="28"/>
          <w:szCs w:val="28"/>
          <w:highlight w:val="none"/>
        </w:rPr>
        <w:t>）或到</w:t>
      </w:r>
      <w:r>
        <w:rPr>
          <w:rFonts w:hint="eastAsia" w:ascii="仿宋" w:hAnsi="仿宋" w:eastAsia="仿宋"/>
          <w:b/>
          <w:sz w:val="28"/>
          <w:szCs w:val="28"/>
          <w:highlight w:val="none"/>
          <w:lang w:eastAsia="zh-CN"/>
        </w:rPr>
        <w:t>诸暨农村商业银行</w:t>
      </w:r>
      <w:r>
        <w:rPr>
          <w:rFonts w:hint="eastAsia" w:ascii="仿宋" w:hAnsi="仿宋" w:eastAsia="仿宋"/>
          <w:b/>
          <w:sz w:val="28"/>
          <w:szCs w:val="28"/>
          <w:highlight w:val="none"/>
        </w:rPr>
        <w:t>营业网点进行查询】。</w:t>
      </w:r>
    </w:p>
    <w:p>
      <w:pPr>
        <w:pStyle w:val="19"/>
        <w:numPr>
          <w:ilvl w:val="0"/>
          <w:numId w:val="1"/>
        </w:numPr>
        <w:spacing w:before="30" w:line="298" w:lineRule="auto"/>
        <w:ind w:right="1503" w:firstLineChars="0"/>
        <w:rPr>
          <w:rFonts w:ascii="仿宋" w:hAnsi="仿宋" w:eastAsia="仿宋"/>
          <w:b/>
          <w:bCs/>
          <w:sz w:val="28"/>
          <w:szCs w:val="28"/>
          <w:highlight w:val="none"/>
        </w:rPr>
      </w:pPr>
      <w:r>
        <w:rPr>
          <w:rFonts w:hint="eastAsia" w:ascii="仿宋" w:hAnsi="仿宋" w:eastAsia="仿宋"/>
          <w:b/>
          <w:bCs/>
          <w:sz w:val="28"/>
          <w:szCs w:val="28"/>
          <w:highlight w:val="none"/>
        </w:rPr>
        <w:t>客户对银行理财产品的投诉方式和程序</w:t>
      </w:r>
    </w:p>
    <w:p>
      <w:pPr>
        <w:spacing w:line="300" w:lineRule="auto"/>
        <w:ind w:right="688" w:firstLine="560" w:firstLineChars="200"/>
        <w:rPr>
          <w:rStyle w:val="11"/>
          <w:rFonts w:ascii="仿宋" w:hAnsi="仿宋" w:eastAsia="仿宋"/>
          <w:sz w:val="28"/>
          <w:szCs w:val="28"/>
          <w:highlight w:val="none"/>
        </w:rPr>
      </w:pPr>
      <w:r>
        <w:rPr>
          <w:rFonts w:hint="eastAsia" w:ascii="仿宋" w:hAnsi="仿宋" w:eastAsia="仿宋"/>
          <w:sz w:val="28"/>
          <w:szCs w:val="28"/>
          <w:highlight w:val="none"/>
        </w:rPr>
        <w:t>如您对本理财产品、招银理财以及</w:t>
      </w:r>
      <w:r>
        <w:rPr>
          <w:rFonts w:hint="eastAsia" w:ascii="仿宋" w:hAnsi="仿宋" w:eastAsia="仿宋"/>
          <w:sz w:val="28"/>
          <w:szCs w:val="28"/>
          <w:highlight w:val="none"/>
          <w:lang w:eastAsia="zh-CN"/>
        </w:rPr>
        <w:t>诸暨农村商业银行</w:t>
      </w:r>
      <w:r>
        <w:rPr>
          <w:rFonts w:hint="eastAsia" w:ascii="仿宋" w:hAnsi="仿宋" w:eastAsia="仿宋"/>
          <w:sz w:val="28"/>
          <w:szCs w:val="28"/>
          <w:highlight w:val="none"/>
        </w:rPr>
        <w:t>服务有任何意见和建议，可通过【</w:t>
      </w:r>
      <w:r>
        <w:rPr>
          <w:rFonts w:hint="eastAsia" w:ascii="仿宋" w:hAnsi="仿宋" w:eastAsia="仿宋"/>
          <w:sz w:val="28"/>
          <w:szCs w:val="28"/>
          <w:highlight w:val="none"/>
          <w:lang w:eastAsia="zh-CN"/>
        </w:rPr>
        <w:t>诸暨农村商业银行</w:t>
      </w:r>
      <w:r>
        <w:rPr>
          <w:rFonts w:hint="eastAsia" w:ascii="仿宋" w:hAnsi="仿宋" w:eastAsia="仿宋"/>
          <w:sz w:val="28"/>
          <w:szCs w:val="28"/>
          <w:highlight w:val="none"/>
        </w:rPr>
        <w:t>营业网点工作人员、</w:t>
      </w:r>
      <w:r>
        <w:rPr>
          <w:rFonts w:hint="eastAsia" w:ascii="仿宋" w:hAnsi="仿宋" w:eastAsia="仿宋"/>
          <w:sz w:val="28"/>
          <w:szCs w:val="28"/>
          <w:highlight w:val="none"/>
          <w:lang w:eastAsia="zh-CN"/>
        </w:rPr>
        <w:t>（400-8896596）</w:t>
      </w:r>
      <w:r>
        <w:rPr>
          <w:rFonts w:hint="eastAsia" w:ascii="仿宋" w:hAnsi="仿宋" w:eastAsia="仿宋"/>
          <w:sz w:val="28"/>
          <w:szCs w:val="28"/>
          <w:highlight w:val="none"/>
        </w:rPr>
        <w:t>客户服务电话以及官网</w:t>
      </w:r>
      <w:r>
        <w:rPr>
          <w:rFonts w:hint="eastAsia" w:ascii="华文仿宋" w:hAnsi="华文仿宋" w:eastAsia="华文仿宋" w:cs="宋体"/>
          <w:bCs/>
          <w:sz w:val="24"/>
          <w:szCs w:val="24"/>
        </w:rPr>
        <w:t>www.zhujibank.com</w:t>
      </w:r>
      <w:r>
        <w:rPr>
          <w:rStyle w:val="11"/>
          <w:rFonts w:hint="eastAsia" w:ascii="仿宋" w:hAnsi="仿宋" w:eastAsia="仿宋"/>
          <w:sz w:val="28"/>
          <w:szCs w:val="28"/>
          <w:highlight w:val="none"/>
        </w:rPr>
        <w:t>】进行反映，</w:t>
      </w:r>
      <w:r>
        <w:rPr>
          <w:rFonts w:hint="eastAsia" w:ascii="仿宋" w:hAnsi="仿宋" w:eastAsia="仿宋"/>
          <w:sz w:val="28"/>
          <w:szCs w:val="28"/>
          <w:highlight w:val="none"/>
          <w:lang w:eastAsia="zh-CN"/>
        </w:rPr>
        <w:t>诸暨农村商业银行</w:t>
      </w:r>
      <w:r>
        <w:rPr>
          <w:rStyle w:val="11"/>
          <w:rFonts w:hint="eastAsia" w:ascii="仿宋" w:hAnsi="仿宋" w:eastAsia="仿宋"/>
          <w:sz w:val="28"/>
          <w:szCs w:val="28"/>
          <w:highlight w:val="none"/>
        </w:rPr>
        <w:t>将予以受理。</w:t>
      </w:r>
    </w:p>
    <w:p>
      <w:pPr>
        <w:snapToGrid w:val="0"/>
        <w:spacing w:before="156" w:beforeLines="50" w:line="360" w:lineRule="auto"/>
        <w:ind w:firstLine="560" w:firstLineChars="200"/>
        <w:rPr>
          <w:rFonts w:ascii="仿宋" w:hAnsi="仿宋" w:eastAsia="仿宋"/>
          <w:b/>
          <w:sz w:val="28"/>
          <w:szCs w:val="28"/>
          <w:highlight w:val="none"/>
        </w:rPr>
      </w:pPr>
      <w:r>
        <w:rPr>
          <w:rFonts w:ascii="仿宋" w:hAnsi="仿宋" w:eastAsia="仿宋"/>
          <w:sz w:val="28"/>
          <w:szCs w:val="28"/>
          <w:highlight w:val="none"/>
        </w:rPr>
        <w:t>如您对所购买的理财计划有任何意见或建议，还可以联系产品管理人</w:t>
      </w:r>
      <w:r>
        <w:rPr>
          <w:rFonts w:hint="eastAsia" w:ascii="仿宋" w:hAnsi="仿宋" w:eastAsia="仿宋"/>
          <w:sz w:val="28"/>
          <w:szCs w:val="28"/>
          <w:highlight w:val="none"/>
        </w:rPr>
        <w:t>，以下是</w:t>
      </w:r>
      <w:r>
        <w:rPr>
          <w:rFonts w:ascii="仿宋" w:hAnsi="仿宋" w:eastAsia="仿宋"/>
          <w:sz w:val="28"/>
          <w:szCs w:val="28"/>
          <w:highlight w:val="none"/>
        </w:rPr>
        <w:t>产品管理人</w:t>
      </w:r>
      <w:r>
        <w:rPr>
          <w:rFonts w:hint="eastAsia" w:ascii="仿宋" w:hAnsi="仿宋" w:eastAsia="仿宋"/>
          <w:sz w:val="28"/>
          <w:szCs w:val="28"/>
          <w:highlight w:val="none"/>
        </w:rPr>
        <w:t>投诉受理联系方式，</w:t>
      </w:r>
      <w:r>
        <w:rPr>
          <w:rFonts w:ascii="仿宋" w:hAnsi="仿宋" w:eastAsia="仿宋"/>
          <w:sz w:val="28"/>
          <w:szCs w:val="28"/>
          <w:highlight w:val="none"/>
        </w:rPr>
        <w:t>产品管理人将及时受理并给予答复。</w:t>
      </w:r>
    </w:p>
    <w:p>
      <w:pPr>
        <w:snapToGrid w:val="0"/>
        <w:spacing w:before="156" w:beforeLines="50"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招银理财投诉邮箱：</w:t>
      </w:r>
      <w:r>
        <w:rPr>
          <w:highlight w:val="none"/>
        </w:rPr>
        <w:fldChar w:fldCharType="begin"/>
      </w:r>
      <w:r>
        <w:rPr>
          <w:highlight w:val="none"/>
        </w:rPr>
        <w:instrText xml:space="preserve"> HYPERLINK "mailto:cmbwm_service@cmbchina.com" </w:instrText>
      </w:r>
      <w:r>
        <w:rPr>
          <w:highlight w:val="none"/>
        </w:rPr>
        <w:fldChar w:fldCharType="separate"/>
      </w:r>
      <w:r>
        <w:rPr>
          <w:rStyle w:val="11"/>
          <w:rFonts w:ascii="仿宋" w:hAnsi="仿宋" w:eastAsia="仿宋"/>
          <w:sz w:val="28"/>
          <w:szCs w:val="28"/>
          <w:highlight w:val="none"/>
        </w:rPr>
        <w:t>cmbwm_service@cmbchina.com</w:t>
      </w:r>
      <w:r>
        <w:rPr>
          <w:rStyle w:val="11"/>
          <w:rFonts w:ascii="仿宋" w:hAnsi="仿宋" w:eastAsia="仿宋"/>
          <w:sz w:val="28"/>
          <w:szCs w:val="28"/>
          <w:highlight w:val="none"/>
        </w:rPr>
        <w:fldChar w:fldCharType="end"/>
      </w:r>
    </w:p>
    <w:p>
      <w:pPr>
        <w:snapToGrid w:val="0"/>
        <w:spacing w:before="156" w:beforeLines="50"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投诉处理流程详见招银理财官网主页（</w:t>
      </w:r>
      <w:r>
        <w:rPr>
          <w:highlight w:val="none"/>
        </w:rPr>
        <w:fldChar w:fldCharType="begin"/>
      </w:r>
      <w:r>
        <w:rPr>
          <w:highlight w:val="none"/>
        </w:rPr>
        <w:instrText xml:space="preserve"> HYPERLINK "http://www.cmbchinawm.com" </w:instrText>
      </w:r>
      <w:r>
        <w:rPr>
          <w:highlight w:val="none"/>
        </w:rPr>
        <w:fldChar w:fldCharType="separate"/>
      </w:r>
      <w:r>
        <w:rPr>
          <w:rStyle w:val="11"/>
          <w:rFonts w:ascii="仿宋" w:hAnsi="仿宋" w:eastAsia="仿宋"/>
          <w:sz w:val="28"/>
          <w:szCs w:val="28"/>
          <w:highlight w:val="none"/>
        </w:rPr>
        <w:t>www.cmbchinawm.com</w:t>
      </w:r>
      <w:r>
        <w:rPr>
          <w:rStyle w:val="11"/>
          <w:rFonts w:ascii="仿宋" w:hAnsi="仿宋" w:eastAsia="仿宋"/>
          <w:sz w:val="28"/>
          <w:szCs w:val="28"/>
          <w:highlight w:val="none"/>
        </w:rPr>
        <w:fldChar w:fldCharType="end"/>
      </w:r>
      <w:r>
        <w:rPr>
          <w:rFonts w:ascii="仿宋" w:hAnsi="仿宋" w:eastAsia="仿宋"/>
          <w:sz w:val="28"/>
          <w:szCs w:val="28"/>
          <w:highlight w:val="none"/>
        </w:rPr>
        <w:t>）</w:t>
      </w:r>
      <w:r>
        <w:rPr>
          <w:rFonts w:hint="eastAsia" w:ascii="仿宋" w:hAnsi="仿宋" w:eastAsia="仿宋"/>
          <w:sz w:val="28"/>
          <w:szCs w:val="28"/>
          <w:highlight w:val="none"/>
        </w:rPr>
        <w:t>。</w:t>
      </w:r>
    </w:p>
    <w:p>
      <w:pPr>
        <w:spacing w:line="300" w:lineRule="auto"/>
        <w:ind w:right="688"/>
        <w:rPr>
          <w:rFonts w:ascii="仿宋" w:hAnsi="仿宋" w:eastAsia="仿宋"/>
          <w:b/>
          <w:bCs/>
          <w:sz w:val="28"/>
          <w:szCs w:val="28"/>
          <w:highlight w:val="none"/>
        </w:rPr>
      </w:pPr>
      <w:r>
        <w:rPr>
          <w:rFonts w:hint="eastAsia" w:ascii="仿宋" w:hAnsi="仿宋" w:eastAsia="仿宋"/>
          <w:b/>
          <w:bCs/>
          <w:sz w:val="28"/>
          <w:szCs w:val="28"/>
          <w:highlight w:val="none"/>
        </w:rPr>
        <w:t>三、参与主体：</w:t>
      </w:r>
    </w:p>
    <w:p>
      <w:pPr>
        <w:spacing w:line="300" w:lineRule="auto"/>
        <w:ind w:left="524" w:right="688" w:firstLine="324" w:firstLineChars="116"/>
        <w:rPr>
          <w:rFonts w:ascii="仿宋" w:hAnsi="仿宋" w:eastAsia="仿宋"/>
          <w:sz w:val="28"/>
          <w:szCs w:val="28"/>
          <w:highlight w:val="none"/>
        </w:rPr>
      </w:pPr>
      <w:r>
        <w:rPr>
          <w:rFonts w:hint="eastAsia" w:ascii="仿宋" w:hAnsi="仿宋" w:eastAsia="仿宋"/>
          <w:sz w:val="28"/>
          <w:szCs w:val="28"/>
          <w:highlight w:val="none"/>
        </w:rPr>
        <w:t>产品管理人：招银理财有限责任公司</w:t>
      </w:r>
    </w:p>
    <w:p>
      <w:pPr>
        <w:spacing w:line="300" w:lineRule="auto"/>
        <w:ind w:left="524" w:right="688" w:firstLine="324" w:firstLineChars="116"/>
        <w:rPr>
          <w:rFonts w:ascii="仿宋" w:hAnsi="仿宋" w:eastAsia="仿宋"/>
          <w:sz w:val="28"/>
          <w:szCs w:val="28"/>
          <w:highlight w:val="none"/>
        </w:rPr>
      </w:pPr>
      <w:r>
        <w:rPr>
          <w:rFonts w:hint="eastAsia" w:ascii="仿宋" w:hAnsi="仿宋" w:eastAsia="仿宋"/>
          <w:sz w:val="28"/>
          <w:szCs w:val="28"/>
          <w:highlight w:val="none"/>
        </w:rPr>
        <w:t>销售服务机构：</w:t>
      </w:r>
      <w:r>
        <w:rPr>
          <w:rFonts w:hint="eastAsia" w:ascii="仿宋" w:hAnsi="仿宋" w:eastAsia="仿宋" w:cs="FZSSK--GBK1-0"/>
          <w:bCs/>
          <w:kern w:val="0"/>
          <w:sz w:val="28"/>
          <w:szCs w:val="28"/>
          <w:highlight w:val="none"/>
          <w:lang w:val="en-US" w:eastAsia="zh-CN"/>
        </w:rPr>
        <w:t>诸暨农村商业银行</w:t>
      </w:r>
      <w:r>
        <w:rPr>
          <w:rFonts w:hint="eastAsia" w:ascii="仿宋" w:hAnsi="仿宋" w:eastAsia="仿宋"/>
          <w:sz w:val="28"/>
          <w:szCs w:val="28"/>
          <w:highlight w:val="none"/>
        </w:rPr>
        <w:t>股份有限公司</w:t>
      </w:r>
    </w:p>
    <w:p>
      <w:pPr>
        <w:pStyle w:val="19"/>
        <w:numPr>
          <w:ilvl w:val="0"/>
          <w:numId w:val="2"/>
        </w:numPr>
        <w:spacing w:line="300" w:lineRule="auto"/>
        <w:ind w:right="688" w:firstLineChars="0"/>
        <w:rPr>
          <w:rFonts w:ascii="仿宋" w:hAnsi="仿宋" w:eastAsia="仿宋"/>
          <w:b/>
          <w:bCs/>
          <w:sz w:val="28"/>
          <w:szCs w:val="28"/>
          <w:highlight w:val="none"/>
        </w:rPr>
      </w:pPr>
      <w:r>
        <w:rPr>
          <w:rFonts w:hint="eastAsia" w:ascii="仿宋" w:hAnsi="仿宋" w:eastAsia="仿宋"/>
          <w:b/>
          <w:bCs/>
          <w:sz w:val="28"/>
          <w:szCs w:val="28"/>
          <w:highlight w:val="none"/>
        </w:rPr>
        <w:t>联系方式：</w:t>
      </w:r>
    </w:p>
    <w:p>
      <w:pPr>
        <w:spacing w:line="300" w:lineRule="auto"/>
        <w:ind w:left="524" w:right="688" w:firstLine="467" w:firstLineChars="167"/>
        <w:rPr>
          <w:rFonts w:ascii="仿宋" w:hAnsi="仿宋" w:eastAsia="仿宋"/>
          <w:sz w:val="28"/>
          <w:szCs w:val="28"/>
          <w:highlight w:val="none"/>
        </w:rPr>
      </w:pPr>
      <w:r>
        <w:rPr>
          <w:rFonts w:hint="eastAsia" w:ascii="仿宋" w:hAnsi="仿宋" w:eastAsia="仿宋"/>
          <w:sz w:val="28"/>
          <w:szCs w:val="28"/>
          <w:highlight w:val="none"/>
        </w:rPr>
        <w:t>招银理财有限责任公司：</w:t>
      </w:r>
    </w:p>
    <w:p>
      <w:pPr>
        <w:spacing w:line="300" w:lineRule="auto"/>
        <w:ind w:left="524" w:right="688" w:firstLine="467" w:firstLineChars="167"/>
        <w:rPr>
          <w:rFonts w:ascii="仿宋" w:hAnsi="仿宋" w:eastAsia="仿宋"/>
          <w:sz w:val="28"/>
          <w:szCs w:val="28"/>
          <w:highlight w:val="none"/>
        </w:rPr>
      </w:pPr>
      <w:r>
        <w:rPr>
          <w:rFonts w:hint="eastAsia" w:ascii="仿宋" w:hAnsi="仿宋" w:eastAsia="仿宋"/>
          <w:sz w:val="28"/>
          <w:szCs w:val="28"/>
          <w:highlight w:val="none"/>
        </w:rPr>
        <w:t>地址：深圳市科苑南路2700号华润金融大厦17-20层</w:t>
      </w:r>
    </w:p>
    <w:p>
      <w:pPr>
        <w:spacing w:line="300" w:lineRule="auto"/>
        <w:ind w:left="524" w:right="688" w:firstLine="467" w:firstLineChars="167"/>
        <w:rPr>
          <w:rFonts w:ascii="仿宋" w:hAnsi="仿宋" w:eastAsia="仿宋"/>
          <w:sz w:val="28"/>
          <w:szCs w:val="28"/>
          <w:highlight w:val="none"/>
        </w:rPr>
      </w:pPr>
      <w:r>
        <w:rPr>
          <w:rFonts w:hint="eastAsia" w:ascii="仿宋" w:hAnsi="仿宋" w:eastAsia="仿宋" w:cs="FZSSK--GBK1-0"/>
          <w:bCs/>
          <w:kern w:val="0"/>
          <w:sz w:val="28"/>
          <w:szCs w:val="28"/>
          <w:highlight w:val="none"/>
          <w:lang w:val="en-US" w:eastAsia="zh-CN"/>
        </w:rPr>
        <w:t>诸暨农村商业银行</w:t>
      </w:r>
      <w:r>
        <w:rPr>
          <w:rFonts w:hint="eastAsia" w:ascii="仿宋" w:hAnsi="仿宋" w:eastAsia="仿宋"/>
          <w:sz w:val="28"/>
          <w:szCs w:val="28"/>
          <w:highlight w:val="none"/>
        </w:rPr>
        <w:t>股份有限公司：</w:t>
      </w:r>
    </w:p>
    <w:p>
      <w:pPr>
        <w:spacing w:line="300" w:lineRule="auto"/>
        <w:ind w:left="524" w:right="688" w:firstLine="467" w:firstLineChars="167"/>
        <w:rPr>
          <w:rFonts w:ascii="仿宋" w:hAnsi="仿宋" w:eastAsia="仿宋"/>
          <w:sz w:val="28"/>
          <w:szCs w:val="28"/>
          <w:highlight w:val="none"/>
        </w:rPr>
      </w:pPr>
      <w:r>
        <w:rPr>
          <w:rFonts w:hint="eastAsia" w:ascii="仿宋" w:hAnsi="仿宋" w:eastAsia="仿宋"/>
          <w:sz w:val="28"/>
          <w:szCs w:val="28"/>
          <w:highlight w:val="none"/>
        </w:rPr>
        <w:t>网址：</w:t>
      </w:r>
      <w:r>
        <w:rPr>
          <w:rFonts w:hint="eastAsia" w:ascii="华文仿宋" w:hAnsi="华文仿宋" w:eastAsia="华文仿宋" w:cs="宋体"/>
          <w:bCs/>
          <w:sz w:val="24"/>
          <w:szCs w:val="24"/>
        </w:rPr>
        <w:t>www.zhujibank.com</w:t>
      </w:r>
      <w:r>
        <w:rPr>
          <w:rFonts w:hint="eastAsia" w:ascii="仿宋" w:hAnsi="仿宋" w:eastAsia="仿宋"/>
          <w:sz w:val="28"/>
          <w:szCs w:val="28"/>
          <w:highlight w:val="none"/>
        </w:rPr>
        <w:t xml:space="preserve"> </w:t>
      </w:r>
    </w:p>
    <w:p>
      <w:pPr>
        <w:spacing w:line="300" w:lineRule="auto"/>
        <w:ind w:left="524" w:right="688" w:firstLine="467" w:firstLineChars="167"/>
        <w:rPr>
          <w:rFonts w:hint="default" w:ascii="仿宋" w:hAnsi="仿宋" w:eastAsia="仿宋"/>
          <w:sz w:val="28"/>
          <w:szCs w:val="28"/>
          <w:highlight w:val="none"/>
          <w:lang w:val="en-US" w:eastAsia="zh-CN"/>
        </w:rPr>
      </w:pPr>
      <w:r>
        <w:rPr>
          <w:rFonts w:hint="eastAsia" w:ascii="仿宋" w:hAnsi="仿宋" w:eastAsia="仿宋"/>
          <w:sz w:val="28"/>
          <w:szCs w:val="28"/>
          <w:highlight w:val="none"/>
        </w:rPr>
        <w:t>客户服务热线：</w:t>
      </w:r>
      <w:r>
        <w:rPr>
          <w:rFonts w:hint="eastAsia" w:ascii="仿宋" w:hAnsi="仿宋" w:eastAsia="仿宋"/>
          <w:sz w:val="28"/>
          <w:szCs w:val="28"/>
          <w:highlight w:val="none"/>
          <w:lang w:eastAsia="zh-CN"/>
        </w:rPr>
        <w:t>400-8896596</w:t>
      </w:r>
    </w:p>
    <w:p>
      <w:pPr>
        <w:spacing w:before="66" w:line="300" w:lineRule="auto"/>
        <w:ind w:right="1503"/>
        <w:rPr>
          <w:rFonts w:ascii="仿宋" w:hAnsi="仿宋" w:eastAsia="仿宋"/>
          <w:sz w:val="28"/>
          <w:szCs w:val="28"/>
          <w:highlight w:val="none"/>
        </w:rPr>
      </w:pPr>
    </w:p>
    <w:p>
      <w:pPr>
        <w:jc w:val="right"/>
        <w:rPr>
          <w:rFonts w:ascii="仿宋" w:hAnsi="仿宋" w:eastAsia="仿宋" w:cs="FZSSK--GBK1-0"/>
          <w:b/>
          <w:bCs/>
          <w:kern w:val="0"/>
          <w:sz w:val="28"/>
          <w:szCs w:val="28"/>
          <w:highlight w:val="none"/>
        </w:rPr>
      </w:pPr>
    </w:p>
    <w:p>
      <w:pPr>
        <w:jc w:val="right"/>
        <w:rPr>
          <w:rFonts w:ascii="仿宋" w:hAnsi="仿宋" w:eastAsia="仿宋"/>
          <w:sz w:val="28"/>
          <w:szCs w:val="28"/>
          <w:highlight w:val="none"/>
        </w:rPr>
      </w:pPr>
      <w:r>
        <w:rPr>
          <w:rFonts w:hint="eastAsia" w:ascii="仿宋" w:hAnsi="仿宋" w:eastAsia="仿宋" w:cs="FZSSK--GBK1-0"/>
          <w:b/>
          <w:bCs/>
          <w:kern w:val="0"/>
          <w:sz w:val="28"/>
          <w:szCs w:val="28"/>
          <w:highlight w:val="none"/>
        </w:rPr>
        <w:t>招银理财有限责任公司</w:t>
      </w:r>
    </w:p>
    <w:p>
      <w:pPr>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FZSSK--GBK1-0">
    <w:altName w:val="微软雅黑"/>
    <w:panose1 w:val="00000000000000000000"/>
    <w:charset w:val="86"/>
    <w:family w:val="auto"/>
    <w:pitch w:val="default"/>
    <w:sig w:usb0="00000000" w:usb1="00000000" w:usb2="00000010" w:usb3="00000000" w:csb0="00040000" w:csb1="00000000"/>
  </w:font>
  <w:font w:name="彩虹粗仿宋">
    <w:altName w:val="微软雅黑"/>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仿宋" w:hAnsi="仿宋" w:eastAsia="仿宋" w:cs="FZSSK--GBK1-0"/>
        <w:kern w:val="0"/>
        <w:sz w:val="20"/>
        <w:szCs w:val="20"/>
      </w:rPr>
    </w:pPr>
    <w:r>
      <w:rPr>
        <w:rFonts w:hint="eastAsia" w:ascii="仿宋" w:hAnsi="仿宋" w:eastAsia="仿宋" w:cs="FZSSK--GBK1-0"/>
        <w:kern w:val="0"/>
        <w:sz w:val="20"/>
        <w:szCs w:val="20"/>
      </w:rPr>
      <w:t xml:space="preserve">招银理财有限责任公司理财产品投资者权益须知 </w:t>
    </w:r>
    <w:r>
      <w:rPr>
        <w:rFonts w:ascii="仿宋" w:hAnsi="仿宋" w:eastAsia="仿宋" w:cs="FZSSK--GBK1-0"/>
        <w:kern w:val="0"/>
        <w:sz w:val="20"/>
        <w:szCs w:val="20"/>
      </w:rPr>
      <w:t xml:space="preserve"> </w:t>
    </w:r>
    <w:r>
      <w:rPr>
        <w:rFonts w:hint="eastAsia" w:ascii="仿宋" w:hAnsi="仿宋" w:eastAsia="仿宋"/>
        <w:sz w:val="20"/>
        <w:szCs w:val="20"/>
      </w:rPr>
      <w:t>第</w:t>
    </w:r>
    <w:r>
      <w:rPr>
        <w:rFonts w:ascii="仿宋" w:hAnsi="仿宋" w:eastAsia="仿宋"/>
        <w:sz w:val="20"/>
        <w:szCs w:val="20"/>
      </w:rPr>
      <w:fldChar w:fldCharType="begin"/>
    </w:r>
    <w:r>
      <w:rPr>
        <w:rFonts w:ascii="仿宋" w:hAnsi="仿宋" w:eastAsia="仿宋"/>
        <w:sz w:val="20"/>
        <w:szCs w:val="20"/>
      </w:rPr>
      <w:instrText xml:space="preserve"> PAGE   \* MERGEFORMAT </w:instrText>
    </w:r>
    <w:r>
      <w:rPr>
        <w:rFonts w:ascii="仿宋" w:hAnsi="仿宋" w:eastAsia="仿宋"/>
        <w:sz w:val="20"/>
        <w:szCs w:val="20"/>
      </w:rPr>
      <w:fldChar w:fldCharType="separate"/>
    </w:r>
    <w:r>
      <w:rPr>
        <w:rFonts w:ascii="仿宋" w:hAnsi="仿宋" w:eastAsia="仿宋"/>
        <w:sz w:val="20"/>
        <w:szCs w:val="20"/>
      </w:rPr>
      <w:t>4</w:t>
    </w:r>
    <w:r>
      <w:rPr>
        <w:rFonts w:ascii="仿宋" w:hAnsi="仿宋" w:eastAsia="仿宋"/>
        <w:sz w:val="20"/>
        <w:szCs w:val="20"/>
      </w:rPr>
      <w:fldChar w:fldCharType="end"/>
    </w:r>
    <w:r>
      <w:rPr>
        <w:rFonts w:hint="eastAsia" w:ascii="仿宋" w:hAnsi="仿宋" w:eastAsia="仿宋"/>
        <w:sz w:val="20"/>
        <w:szCs w:val="20"/>
      </w:rPr>
      <w:t>页（共</w:t>
    </w:r>
    <w:r>
      <w:rPr>
        <w:rFonts w:ascii="仿宋" w:hAnsi="仿宋" w:eastAsia="仿宋"/>
        <w:sz w:val="20"/>
        <w:szCs w:val="20"/>
      </w:rPr>
      <w:t>5</w:t>
    </w:r>
    <w:r>
      <w:rPr>
        <w:rFonts w:hint="eastAsia" w:ascii="仿宋" w:hAnsi="仿宋" w:eastAsia="仿宋"/>
        <w:sz w:val="20"/>
        <w:szCs w:val="20"/>
      </w:rPr>
      <w:t>页）</w: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E6724"/>
    <w:multiLevelType w:val="multilevel"/>
    <w:tmpl w:val="1CAE6724"/>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B5F4B4B"/>
    <w:multiLevelType w:val="multilevel"/>
    <w:tmpl w:val="7B5F4B4B"/>
    <w:lvl w:ilvl="0" w:tentative="0">
      <w:start w:val="2"/>
      <w:numFmt w:val="japaneseCounting"/>
      <w:lvlText w:val="%1、"/>
      <w:lvlJc w:val="left"/>
      <w:pPr>
        <w:ind w:left="862" w:hanging="72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4NTcyYWRlZmM4OGU1MDNhN2JjZWUxMWUxYmRlZDcifQ=="/>
  </w:docVars>
  <w:rsids>
    <w:rsidRoot w:val="00F94BBA"/>
    <w:rsid w:val="00015127"/>
    <w:rsid w:val="00021268"/>
    <w:rsid w:val="00043D81"/>
    <w:rsid w:val="00045019"/>
    <w:rsid w:val="000637A3"/>
    <w:rsid w:val="00074BDC"/>
    <w:rsid w:val="0008068C"/>
    <w:rsid w:val="000B7E70"/>
    <w:rsid w:val="00141E8A"/>
    <w:rsid w:val="00184593"/>
    <w:rsid w:val="00194E4C"/>
    <w:rsid w:val="001A6DE3"/>
    <w:rsid w:val="001B1D7D"/>
    <w:rsid w:val="001F69BF"/>
    <w:rsid w:val="00200417"/>
    <w:rsid w:val="002144C0"/>
    <w:rsid w:val="00223EB6"/>
    <w:rsid w:val="002459FF"/>
    <w:rsid w:val="00250358"/>
    <w:rsid w:val="00262926"/>
    <w:rsid w:val="00275F04"/>
    <w:rsid w:val="002800B8"/>
    <w:rsid w:val="002C4C17"/>
    <w:rsid w:val="002C54A6"/>
    <w:rsid w:val="002C70C6"/>
    <w:rsid w:val="002D1F72"/>
    <w:rsid w:val="002D7271"/>
    <w:rsid w:val="002E7401"/>
    <w:rsid w:val="00317651"/>
    <w:rsid w:val="00320110"/>
    <w:rsid w:val="00325C15"/>
    <w:rsid w:val="003323EC"/>
    <w:rsid w:val="00336A64"/>
    <w:rsid w:val="003A4D3A"/>
    <w:rsid w:val="00403049"/>
    <w:rsid w:val="00410E65"/>
    <w:rsid w:val="00432DA9"/>
    <w:rsid w:val="00443FCB"/>
    <w:rsid w:val="0045256E"/>
    <w:rsid w:val="00457254"/>
    <w:rsid w:val="00473646"/>
    <w:rsid w:val="00474A49"/>
    <w:rsid w:val="00492B58"/>
    <w:rsid w:val="004A3ECD"/>
    <w:rsid w:val="004E77BB"/>
    <w:rsid w:val="00532D8F"/>
    <w:rsid w:val="00553333"/>
    <w:rsid w:val="00571F60"/>
    <w:rsid w:val="005A1A3B"/>
    <w:rsid w:val="005C4792"/>
    <w:rsid w:val="005E5D92"/>
    <w:rsid w:val="00606C38"/>
    <w:rsid w:val="006222B1"/>
    <w:rsid w:val="0063311C"/>
    <w:rsid w:val="00640C30"/>
    <w:rsid w:val="00682901"/>
    <w:rsid w:val="00695764"/>
    <w:rsid w:val="006A7F19"/>
    <w:rsid w:val="006B57AD"/>
    <w:rsid w:val="006D0AFA"/>
    <w:rsid w:val="006E2845"/>
    <w:rsid w:val="006F7144"/>
    <w:rsid w:val="007124CB"/>
    <w:rsid w:val="00727441"/>
    <w:rsid w:val="007560AC"/>
    <w:rsid w:val="007A1EEA"/>
    <w:rsid w:val="007C1E22"/>
    <w:rsid w:val="007C2BF9"/>
    <w:rsid w:val="007D0B28"/>
    <w:rsid w:val="007D46C5"/>
    <w:rsid w:val="0080329A"/>
    <w:rsid w:val="008062CF"/>
    <w:rsid w:val="008327F1"/>
    <w:rsid w:val="00836D6E"/>
    <w:rsid w:val="008370C0"/>
    <w:rsid w:val="008A24BE"/>
    <w:rsid w:val="008A3F7A"/>
    <w:rsid w:val="008A6F65"/>
    <w:rsid w:val="008D615E"/>
    <w:rsid w:val="008D6923"/>
    <w:rsid w:val="00905B69"/>
    <w:rsid w:val="009071D1"/>
    <w:rsid w:val="00915E0B"/>
    <w:rsid w:val="0094459C"/>
    <w:rsid w:val="00946352"/>
    <w:rsid w:val="00972596"/>
    <w:rsid w:val="00983A8B"/>
    <w:rsid w:val="00984963"/>
    <w:rsid w:val="009855D9"/>
    <w:rsid w:val="009A4763"/>
    <w:rsid w:val="009A4DB8"/>
    <w:rsid w:val="009B591F"/>
    <w:rsid w:val="009B6784"/>
    <w:rsid w:val="009C35AB"/>
    <w:rsid w:val="009C5328"/>
    <w:rsid w:val="009D58FE"/>
    <w:rsid w:val="009E64F4"/>
    <w:rsid w:val="009F46B2"/>
    <w:rsid w:val="00A21B8E"/>
    <w:rsid w:val="00A3294E"/>
    <w:rsid w:val="00A45E08"/>
    <w:rsid w:val="00A66A33"/>
    <w:rsid w:val="00A67B4A"/>
    <w:rsid w:val="00A861CE"/>
    <w:rsid w:val="00A90DD2"/>
    <w:rsid w:val="00AD4DF2"/>
    <w:rsid w:val="00AE3948"/>
    <w:rsid w:val="00B14A3F"/>
    <w:rsid w:val="00B226DC"/>
    <w:rsid w:val="00B626C0"/>
    <w:rsid w:val="00B62942"/>
    <w:rsid w:val="00B67074"/>
    <w:rsid w:val="00B76B8E"/>
    <w:rsid w:val="00BC02C3"/>
    <w:rsid w:val="00BD0449"/>
    <w:rsid w:val="00BD4083"/>
    <w:rsid w:val="00BE403F"/>
    <w:rsid w:val="00BF6DED"/>
    <w:rsid w:val="00C32AE7"/>
    <w:rsid w:val="00C46807"/>
    <w:rsid w:val="00C5053F"/>
    <w:rsid w:val="00C607C2"/>
    <w:rsid w:val="00CA550A"/>
    <w:rsid w:val="00CB1AA4"/>
    <w:rsid w:val="00CC52FD"/>
    <w:rsid w:val="00CF0CDF"/>
    <w:rsid w:val="00CF44CC"/>
    <w:rsid w:val="00D003A7"/>
    <w:rsid w:val="00D330CA"/>
    <w:rsid w:val="00D405CC"/>
    <w:rsid w:val="00D57D7D"/>
    <w:rsid w:val="00D91F1A"/>
    <w:rsid w:val="00DA2D1D"/>
    <w:rsid w:val="00DB693C"/>
    <w:rsid w:val="00DF5B0A"/>
    <w:rsid w:val="00E0542C"/>
    <w:rsid w:val="00E17524"/>
    <w:rsid w:val="00E23157"/>
    <w:rsid w:val="00E824CB"/>
    <w:rsid w:val="00E84D8C"/>
    <w:rsid w:val="00EA255C"/>
    <w:rsid w:val="00EA5FDC"/>
    <w:rsid w:val="00EA7D1F"/>
    <w:rsid w:val="00EB021D"/>
    <w:rsid w:val="00EB390F"/>
    <w:rsid w:val="00EC034E"/>
    <w:rsid w:val="00EC3F1F"/>
    <w:rsid w:val="00EC5FF3"/>
    <w:rsid w:val="00EE48DF"/>
    <w:rsid w:val="00F42232"/>
    <w:rsid w:val="00F5596F"/>
    <w:rsid w:val="00F94BBA"/>
    <w:rsid w:val="00FB0DAF"/>
    <w:rsid w:val="00FC414D"/>
    <w:rsid w:val="00FD7DF8"/>
    <w:rsid w:val="00FE2EE7"/>
    <w:rsid w:val="00FE796B"/>
    <w:rsid w:val="00FF2D30"/>
    <w:rsid w:val="03144B06"/>
    <w:rsid w:val="049C34C9"/>
    <w:rsid w:val="04BA78CE"/>
    <w:rsid w:val="04E87E9C"/>
    <w:rsid w:val="07450A48"/>
    <w:rsid w:val="09482C61"/>
    <w:rsid w:val="0B904B07"/>
    <w:rsid w:val="0D935A9B"/>
    <w:rsid w:val="0E8457DE"/>
    <w:rsid w:val="0EDF0924"/>
    <w:rsid w:val="10655BA0"/>
    <w:rsid w:val="1428639F"/>
    <w:rsid w:val="1B1716E1"/>
    <w:rsid w:val="1B3D18F0"/>
    <w:rsid w:val="1E030E37"/>
    <w:rsid w:val="27604855"/>
    <w:rsid w:val="29B277F5"/>
    <w:rsid w:val="2D1016C8"/>
    <w:rsid w:val="2DB520D0"/>
    <w:rsid w:val="2EE92D2D"/>
    <w:rsid w:val="30471F50"/>
    <w:rsid w:val="309F63EE"/>
    <w:rsid w:val="30F77FD8"/>
    <w:rsid w:val="34A70E0B"/>
    <w:rsid w:val="377C08B6"/>
    <w:rsid w:val="37C15E70"/>
    <w:rsid w:val="3944113F"/>
    <w:rsid w:val="3AD44AF5"/>
    <w:rsid w:val="3D2B6684"/>
    <w:rsid w:val="48E23DB2"/>
    <w:rsid w:val="4B0C58A2"/>
    <w:rsid w:val="4CA21DF5"/>
    <w:rsid w:val="4F172343"/>
    <w:rsid w:val="4FD40531"/>
    <w:rsid w:val="5091746C"/>
    <w:rsid w:val="50FC0800"/>
    <w:rsid w:val="51F85787"/>
    <w:rsid w:val="52C51658"/>
    <w:rsid w:val="546A681E"/>
    <w:rsid w:val="54DB3464"/>
    <w:rsid w:val="5612779B"/>
    <w:rsid w:val="565A24B9"/>
    <w:rsid w:val="56A67A3D"/>
    <w:rsid w:val="5DF05B34"/>
    <w:rsid w:val="5F5A1E3D"/>
    <w:rsid w:val="638B6225"/>
    <w:rsid w:val="662A142D"/>
    <w:rsid w:val="66502FE9"/>
    <w:rsid w:val="683A42D6"/>
    <w:rsid w:val="689B0BE8"/>
    <w:rsid w:val="69140A20"/>
    <w:rsid w:val="6F067512"/>
    <w:rsid w:val="72867E26"/>
    <w:rsid w:val="78CF6CC0"/>
    <w:rsid w:val="7A1F1D95"/>
    <w:rsid w:val="7B7E782F"/>
    <w:rsid w:val="7EC246D1"/>
    <w:rsid w:val="7EDF7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ody Text"/>
    <w:basedOn w:val="1"/>
    <w:link w:val="20"/>
    <w:unhideWhenUsed/>
    <w:qFormat/>
    <w:uiPriority w:val="1"/>
    <w:pPr>
      <w:spacing w:after="120"/>
    </w:pPr>
    <w:rPr>
      <w:rFonts w:ascii="Times New Roman" w:hAnsi="Times New Roman"/>
      <w:szCs w:val="24"/>
    </w:rPr>
  </w:style>
  <w:style w:type="paragraph" w:styleId="4">
    <w:name w:val="Balloon Text"/>
    <w:basedOn w:val="1"/>
    <w:link w:val="16"/>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2"/>
    <w:next w:val="2"/>
    <w:link w:val="18"/>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00"/>
      <w:u w:val="none"/>
    </w:rPr>
  </w:style>
  <w:style w:type="character" w:styleId="12">
    <w:name w:val="annotation reference"/>
    <w:semiHidden/>
    <w:unhideWhenUsed/>
    <w:qFormat/>
    <w:uiPriority w:val="99"/>
    <w:rPr>
      <w:sz w:val="21"/>
      <w:szCs w:val="21"/>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paragraph" w:customStyle="1" w:styleId="15">
    <w:name w:val="Default"/>
    <w:qFormat/>
    <w:uiPriority w:val="0"/>
    <w:pPr>
      <w:widowControl w:val="0"/>
      <w:autoSpaceDE w:val="0"/>
      <w:autoSpaceDN w:val="0"/>
      <w:adjustRightInd w:val="0"/>
    </w:pPr>
    <w:rPr>
      <w:rFonts w:ascii="华文楷体" w:hAnsi="Calibri" w:eastAsia="华文楷体" w:cs="华文楷体"/>
      <w:color w:val="000000"/>
      <w:sz w:val="24"/>
      <w:szCs w:val="24"/>
      <w:lang w:val="en-US" w:eastAsia="zh-CN" w:bidi="ar-SA"/>
    </w:rPr>
  </w:style>
  <w:style w:type="character" w:customStyle="1" w:styleId="16">
    <w:name w:val="批注框文本 字符"/>
    <w:basedOn w:val="10"/>
    <w:link w:val="4"/>
    <w:semiHidden/>
    <w:qFormat/>
    <w:uiPriority w:val="99"/>
    <w:rPr>
      <w:rFonts w:ascii="Calibri" w:hAnsi="Calibri" w:eastAsia="宋体" w:cs="Times New Roman"/>
      <w:sz w:val="18"/>
      <w:szCs w:val="18"/>
    </w:rPr>
  </w:style>
  <w:style w:type="character" w:customStyle="1" w:styleId="17">
    <w:name w:val="批注文字 字符"/>
    <w:basedOn w:val="10"/>
    <w:link w:val="2"/>
    <w:semiHidden/>
    <w:qFormat/>
    <w:uiPriority w:val="99"/>
    <w:rPr>
      <w:rFonts w:ascii="Calibri" w:hAnsi="Calibri" w:eastAsia="宋体" w:cs="Times New Roman"/>
    </w:rPr>
  </w:style>
  <w:style w:type="character" w:customStyle="1" w:styleId="18">
    <w:name w:val="批注主题 字符"/>
    <w:basedOn w:val="17"/>
    <w:link w:val="7"/>
    <w:semiHidden/>
    <w:qFormat/>
    <w:uiPriority w:val="99"/>
    <w:rPr>
      <w:rFonts w:ascii="Calibri" w:hAnsi="Calibri" w:eastAsia="宋体" w:cs="Times New Roman"/>
      <w:b/>
      <w:bCs/>
    </w:rPr>
  </w:style>
  <w:style w:type="paragraph" w:styleId="19">
    <w:name w:val="List Paragraph"/>
    <w:basedOn w:val="1"/>
    <w:qFormat/>
    <w:uiPriority w:val="34"/>
    <w:pPr>
      <w:ind w:firstLine="420" w:firstLineChars="200"/>
    </w:pPr>
  </w:style>
  <w:style w:type="character" w:customStyle="1" w:styleId="20">
    <w:name w:val="正文文本 字符"/>
    <w:basedOn w:val="10"/>
    <w:link w:val="3"/>
    <w:qFormat/>
    <w:uiPriority w:val="1"/>
    <w:rPr>
      <w:rFonts w:ascii="Times New Roman" w:hAnsi="Times New Roman" w:eastAsia="宋体" w:cs="Times New Roman"/>
      <w:szCs w:val="24"/>
    </w:rPr>
  </w:style>
  <w:style w:type="paragraph" w:customStyle="1" w:styleId="21">
    <w:name w:val="Table Paragraph"/>
    <w:basedOn w:val="1"/>
    <w:qFormat/>
    <w:uiPriority w:val="1"/>
    <w:pPr>
      <w:spacing w:line="249" w:lineRule="exact"/>
      <w:ind w:left="100"/>
      <w:jc w:val="left"/>
    </w:pPr>
    <w:rPr>
      <w:rFonts w:ascii="宋体" w:hAnsi="宋体" w:cs="宋体"/>
      <w:kern w:val="0"/>
      <w:sz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EB195-ACFE-45D6-AD44-9939CEF8EC2B}">
  <ds:schemaRefs/>
</ds:datastoreItem>
</file>

<file path=docProps/app.xml><?xml version="1.0" encoding="utf-8"?>
<Properties xmlns="http://schemas.openxmlformats.org/officeDocument/2006/extended-properties" xmlns:vt="http://schemas.openxmlformats.org/officeDocument/2006/docPropsVTypes">
  <Template>Normal.dotm</Template>
  <Company>CMB China HeadOffice</Company>
  <Pages>5</Pages>
  <Words>373</Words>
  <Characters>2130</Characters>
  <Lines>17</Lines>
  <Paragraphs>4</Paragraphs>
  <TotalTime>1</TotalTime>
  <ScaleCrop>false</ScaleCrop>
  <LinksUpToDate>false</LinksUpToDate>
  <CharactersWithSpaces>2499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2024-02-07T07:09:00Z</dcterms:created>
  <dc:creator>uclif</dc:creator>
  <cp:lastModifiedBy>80369612</cp:lastModifiedBy>
  <cp:lastPrinted>2021-01-20T08:28:00Z</cp:lastPrinted>
  <dcterms:modified xsi:type="dcterms:W3CDTF">2024-12-13T07:04:46Z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C3F667DC51544244A29B5C5418508064</vt:lpwstr>
  </property>
</Properties>
</file>