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E9CA63">
      <w:pPr>
        <w:shd w:val="clear" w:color="auto" w:fill="FFFFFF"/>
        <w:spacing w:line="300" w:lineRule="exact"/>
        <w:jc w:val="center"/>
        <w:outlineLvl w:val="1"/>
        <w:rPr>
          <w:rFonts w:ascii="Times New Roman" w:hAnsi="Times New Roman" w:eastAsia="黑体" w:cs="Times New Roman"/>
          <w:sz w:val="22"/>
        </w:rPr>
      </w:pPr>
      <w:bookmarkStart w:id="0" w:name="_GoBack"/>
      <w:r>
        <w:rPr>
          <w:rFonts w:hint="eastAsia" w:ascii="Times New Roman" w:hAnsi="Times New Roman" w:eastAsia="黑体" w:cs="Times New Roman"/>
          <w:sz w:val="22"/>
        </w:rPr>
        <w:t>信银理财理财产品投资协议书</w:t>
      </w:r>
    </w:p>
    <w:bookmarkEnd w:id="0"/>
    <w:p w14:paraId="1F05FED9">
      <w:pPr>
        <w:spacing w:line="300" w:lineRule="exact"/>
        <w:ind w:firstLine="480"/>
        <w:rPr>
          <w:rFonts w:ascii="Times New Roman" w:hAnsi="Times New Roman" w:eastAsia="楷体_GB2312" w:cs="Times New Roman"/>
          <w:sz w:val="20"/>
          <w:szCs w:val="20"/>
        </w:rPr>
      </w:pPr>
    </w:p>
    <w:p w14:paraId="440E9E3A">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sz w:val="20"/>
          <w:szCs w:val="20"/>
        </w:rPr>
        <w:t>甲方：投资者（投资者信息详见签署页）</w:t>
      </w:r>
    </w:p>
    <w:p w14:paraId="7FD8F746">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sz w:val="20"/>
          <w:szCs w:val="20"/>
        </w:rPr>
        <w:t>乙方：信银理财有限责任公司</w:t>
      </w:r>
    </w:p>
    <w:p w14:paraId="41934153">
      <w:pPr>
        <w:spacing w:line="300" w:lineRule="exact"/>
        <w:ind w:firstLine="480"/>
        <w:rPr>
          <w:rFonts w:ascii="Times New Roman" w:hAnsi="Times New Roman" w:eastAsia="楷体_GB2312" w:cs="Times New Roman"/>
          <w:sz w:val="20"/>
          <w:szCs w:val="20"/>
        </w:rPr>
      </w:pPr>
    </w:p>
    <w:p w14:paraId="493DE199">
      <w:pPr>
        <w:spacing w:line="300" w:lineRule="exact"/>
        <w:ind w:firstLine="480"/>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经甲方和乙方平等协商，就甲方认购</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申购乙方发行的理财产品（以下简称</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理财产品</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），达成本协议如下：</w:t>
      </w:r>
    </w:p>
    <w:p w14:paraId="30B488CB">
      <w:pPr>
        <w:spacing w:line="300" w:lineRule="exact"/>
        <w:ind w:firstLine="480"/>
        <w:rPr>
          <w:rFonts w:ascii="Times New Roman" w:hAnsi="Times New Roman" w:eastAsia="楷体_GB2312" w:cs="Times New Roman"/>
          <w:b/>
          <w:bCs/>
          <w:sz w:val="20"/>
          <w:szCs w:val="20"/>
        </w:rPr>
      </w:pPr>
    </w:p>
    <w:p w14:paraId="66047941">
      <w:pPr>
        <w:spacing w:line="300" w:lineRule="exact"/>
        <w:ind w:firstLine="480"/>
        <w:rPr>
          <w:rFonts w:ascii="Times New Roman" w:hAnsi="Times New Roman" w:eastAsia="楷体_GB2312" w:cs="Times New Roman"/>
          <w:sz w:val="20"/>
          <w:szCs w:val="20"/>
        </w:rPr>
      </w:pPr>
      <w:r>
        <w:rPr>
          <w:rFonts w:hint="eastAsia" w:ascii="Times New Roman" w:hAnsi="Times New Roman" w:eastAsia="楷体_GB2312" w:cs="Times New Roman"/>
          <w:b/>
          <w:bCs/>
          <w:sz w:val="20"/>
          <w:szCs w:val="20"/>
        </w:rPr>
        <w:t>一、适用范围</w:t>
      </w:r>
    </w:p>
    <w:p w14:paraId="54ACA82D">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甲方在认购</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申购乙方发行的理财产品之前应签署本协议。本协议生效后，甲方认购</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申购乙方发行的理财产品的，均适用本协议。</w:t>
      </w:r>
    </w:p>
    <w:p w14:paraId="7EBC9FF5">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本协议为规范甲乙双方在理财业务中权利与义务的法律文件，与甲方认购</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申购理财产品对应的《信银理财理财产品产品说明书》《信银理财理财产品风险揭示书》等相关文件与本协议共同构成理财产品合同的有效组成部分，与本协议具有同等法律效力。甲方认购</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申购乙方多支理财产品时，不同理财产品对应的《信银理财理财产品产品说明书》《信银理财理财产品风险揭示书》组成的理财产品合同互相独立。</w:t>
      </w:r>
    </w:p>
    <w:p w14:paraId="25518380">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本协议不作为甲方认购</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申购或持有理财产品的凭证。</w:t>
      </w:r>
    </w:p>
    <w:p w14:paraId="18F0AD24">
      <w:pPr>
        <w:spacing w:line="300" w:lineRule="exact"/>
        <w:ind w:firstLine="480"/>
        <w:rPr>
          <w:rFonts w:ascii="Times New Roman" w:hAnsi="Times New Roman" w:eastAsia="楷体_GB2312" w:cs="Times New Roman"/>
          <w:b/>
          <w:bCs/>
          <w:sz w:val="20"/>
          <w:szCs w:val="20"/>
        </w:rPr>
      </w:pPr>
    </w:p>
    <w:p w14:paraId="432E84F7">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二、风险提示</w:t>
      </w:r>
    </w:p>
    <w:p w14:paraId="6AAFCBCC">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本产品为</w:t>
      </w:r>
      <w:r>
        <w:rPr>
          <w:rFonts w:ascii="Times New Roman" w:hAnsi="Times New Roman" w:eastAsia="楷体_GB2312" w:cs="Times New Roman"/>
          <w:b/>
          <w:bCs/>
          <w:sz w:val="20"/>
          <w:szCs w:val="20"/>
        </w:rPr>
        <w:t>【固定收益类】</w:t>
      </w:r>
      <w:r>
        <w:rPr>
          <w:rFonts w:hint="eastAsia" w:ascii="Times New Roman" w:hAnsi="Times New Roman" w:eastAsia="楷体_GB2312" w:cs="Times New Roman"/>
          <w:b/>
          <w:bCs/>
          <w:sz w:val="20"/>
          <w:szCs w:val="20"/>
        </w:rPr>
        <w:t>产品</w:t>
      </w:r>
      <w:r>
        <w:rPr>
          <w:rFonts w:ascii="Times New Roman" w:hAnsi="Times New Roman" w:eastAsia="楷体_GB2312" w:cs="Times New Roman"/>
          <w:b/>
          <w:bCs/>
          <w:sz w:val="20"/>
          <w:szCs w:val="20"/>
        </w:rPr>
        <w:t>，</w:t>
      </w:r>
      <w:r>
        <w:rPr>
          <w:rFonts w:hint="eastAsia" w:ascii="Times New Roman" w:hAnsi="Times New Roman" w:eastAsia="楷体_GB2312" w:cs="Times New Roman"/>
          <w:b/>
          <w:bCs/>
          <w:sz w:val="20"/>
          <w:szCs w:val="20"/>
        </w:rPr>
        <w:t>具体投资对象</w:t>
      </w:r>
      <w:r>
        <w:rPr>
          <w:rFonts w:ascii="Times New Roman" w:hAnsi="Times New Roman" w:eastAsia="楷体_GB2312" w:cs="Times New Roman"/>
          <w:b/>
          <w:bCs/>
          <w:sz w:val="20"/>
          <w:szCs w:val="20"/>
        </w:rPr>
        <w:t>投资比例如下：</w:t>
      </w:r>
    </w:p>
    <w:tbl>
      <w:tblPr>
        <w:tblStyle w:val="7"/>
        <w:tblW w:w="3503" w:type="pct"/>
        <w:tblInd w:w="1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24"/>
        <w:gridCol w:w="1747"/>
      </w:tblGrid>
      <w:tr w14:paraId="5CB8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7" w:type="pct"/>
            <w:vAlign w:val="center"/>
          </w:tcPr>
          <w:p w14:paraId="752A49AB">
            <w:pPr>
              <w:ind w:right="29" w:rightChars="12"/>
              <w:jc w:val="center"/>
              <w:rPr>
                <w:rFonts w:ascii="楷体" w:hAnsi="楷体" w:eastAsia="楷体"/>
                <w:b/>
                <w:bCs/>
                <w:color w:val="000000"/>
                <w:sz w:val="20"/>
                <w:szCs w:val="20"/>
              </w:rPr>
            </w:pPr>
            <w:r>
              <w:rPr>
                <w:rFonts w:hint="eastAsia" w:ascii="楷体" w:hAnsi="楷体" w:eastAsia="楷体"/>
                <w:b/>
                <w:bCs/>
                <w:color w:val="000000"/>
                <w:sz w:val="20"/>
                <w:szCs w:val="20"/>
              </w:rPr>
              <w:t>资产种类</w:t>
            </w:r>
          </w:p>
        </w:tc>
        <w:tc>
          <w:tcPr>
            <w:tcW w:w="1463" w:type="pct"/>
            <w:vAlign w:val="center"/>
          </w:tcPr>
          <w:p w14:paraId="725908EC">
            <w:pPr>
              <w:ind w:right="29" w:rightChars="12"/>
              <w:jc w:val="center"/>
              <w:rPr>
                <w:rFonts w:ascii="楷体" w:hAnsi="楷体" w:eastAsia="楷体"/>
                <w:b/>
                <w:bCs/>
                <w:color w:val="000000"/>
                <w:sz w:val="20"/>
                <w:szCs w:val="20"/>
              </w:rPr>
            </w:pPr>
            <w:r>
              <w:rPr>
                <w:rFonts w:hint="eastAsia" w:ascii="楷体" w:hAnsi="楷体" w:eastAsia="楷体"/>
                <w:b/>
                <w:bCs/>
                <w:color w:val="000000"/>
                <w:sz w:val="20"/>
                <w:szCs w:val="20"/>
              </w:rPr>
              <w:t>投资比例</w:t>
            </w:r>
          </w:p>
        </w:tc>
      </w:tr>
      <w:tr w14:paraId="1327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7" w:type="pct"/>
            <w:vAlign w:val="center"/>
          </w:tcPr>
          <w:p w14:paraId="240F5D8F">
            <w:pPr>
              <w:ind w:right="29" w:rightChars="12"/>
              <w:jc w:val="center"/>
              <w:rPr>
                <w:rFonts w:ascii="楷体" w:hAnsi="楷体" w:eastAsia="楷体"/>
                <w:color w:val="000000"/>
                <w:sz w:val="20"/>
                <w:szCs w:val="20"/>
              </w:rPr>
            </w:pPr>
            <w:r>
              <w:rPr>
                <w:rFonts w:hint="eastAsia" w:ascii="楷体" w:hAnsi="楷体" w:eastAsia="楷体"/>
                <w:color w:val="000000"/>
                <w:sz w:val="20"/>
                <w:szCs w:val="20"/>
              </w:rPr>
              <w:t>债权类资产</w:t>
            </w:r>
          </w:p>
        </w:tc>
        <w:tc>
          <w:tcPr>
            <w:tcW w:w="1463" w:type="pct"/>
            <w:vAlign w:val="center"/>
          </w:tcPr>
          <w:p w14:paraId="7C84F13D">
            <w:pPr>
              <w:ind w:right="29" w:rightChars="12"/>
              <w:jc w:val="center"/>
              <w:rPr>
                <w:rFonts w:ascii="楷体" w:hAnsi="楷体" w:eastAsia="楷体"/>
                <w:color w:val="000000"/>
                <w:sz w:val="20"/>
                <w:szCs w:val="20"/>
              </w:rPr>
            </w:pPr>
            <w:r>
              <w:rPr>
                <w:rFonts w:hint="eastAsia" w:ascii="楷体" w:hAnsi="楷体" w:eastAsia="楷体"/>
                <w:sz w:val="20"/>
                <w:szCs w:val="20"/>
              </w:rPr>
              <w:t>【</w:t>
            </w:r>
            <w:r>
              <w:rPr>
                <w:rFonts w:ascii="楷体" w:hAnsi="楷体" w:eastAsia="楷体"/>
                <w:sz w:val="20"/>
                <w:szCs w:val="20"/>
              </w:rPr>
              <w:t>100%</w:t>
            </w:r>
            <w:r>
              <w:rPr>
                <w:rFonts w:hint="eastAsia" w:ascii="楷体" w:hAnsi="楷体" w:eastAsia="楷体"/>
                <w:sz w:val="20"/>
                <w:szCs w:val="20"/>
              </w:rPr>
              <w:t>】</w:t>
            </w:r>
          </w:p>
        </w:tc>
      </w:tr>
      <w:tr w14:paraId="48BC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7" w:type="pct"/>
            <w:vAlign w:val="center"/>
          </w:tcPr>
          <w:p w14:paraId="769DB994">
            <w:pPr>
              <w:ind w:right="29" w:rightChars="12"/>
              <w:jc w:val="center"/>
              <w:rPr>
                <w:rFonts w:ascii="楷体" w:hAnsi="楷体" w:eastAsia="楷体"/>
                <w:color w:val="000000"/>
                <w:sz w:val="20"/>
                <w:szCs w:val="20"/>
              </w:rPr>
            </w:pPr>
            <w:r>
              <w:rPr>
                <w:rFonts w:hint="eastAsia" w:ascii="楷体" w:hAnsi="楷体" w:eastAsia="楷体"/>
                <w:color w:val="000000"/>
                <w:sz w:val="20"/>
                <w:szCs w:val="20"/>
              </w:rPr>
              <w:t>其中</w:t>
            </w:r>
            <w:r>
              <w:rPr>
                <w:rFonts w:ascii="楷体" w:hAnsi="楷体" w:eastAsia="楷体"/>
                <w:color w:val="000000"/>
                <w:sz w:val="20"/>
                <w:szCs w:val="20"/>
              </w:rPr>
              <w:t>，非标准化债权类资产</w:t>
            </w:r>
          </w:p>
        </w:tc>
        <w:tc>
          <w:tcPr>
            <w:tcW w:w="1463" w:type="pct"/>
            <w:vAlign w:val="center"/>
          </w:tcPr>
          <w:p w14:paraId="1BE55A0E">
            <w:pPr>
              <w:ind w:right="29" w:rightChars="12"/>
              <w:jc w:val="center"/>
              <w:rPr>
                <w:rFonts w:ascii="楷体" w:hAnsi="楷体" w:eastAsia="楷体"/>
                <w:color w:val="000000"/>
                <w:sz w:val="20"/>
                <w:szCs w:val="20"/>
              </w:rPr>
            </w:pPr>
            <w:r>
              <w:rPr>
                <w:rFonts w:hint="eastAsia" w:ascii="楷体" w:hAnsi="楷体" w:eastAsia="楷体"/>
                <w:sz w:val="20"/>
                <w:szCs w:val="20"/>
              </w:rPr>
              <w:t>【</w:t>
            </w:r>
            <w:r>
              <w:rPr>
                <w:rFonts w:ascii="楷体" w:hAnsi="楷体" w:eastAsia="楷体"/>
                <w:sz w:val="20"/>
                <w:szCs w:val="20"/>
              </w:rPr>
              <w:t>0%】</w:t>
            </w:r>
          </w:p>
        </w:tc>
      </w:tr>
      <w:tr w14:paraId="37A7C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7" w:type="pct"/>
            <w:vAlign w:val="center"/>
          </w:tcPr>
          <w:p w14:paraId="034D209C">
            <w:pPr>
              <w:ind w:right="29" w:rightChars="12"/>
              <w:jc w:val="center"/>
              <w:rPr>
                <w:rFonts w:ascii="楷体" w:hAnsi="楷体" w:eastAsia="楷体"/>
                <w:color w:val="000000"/>
                <w:sz w:val="20"/>
                <w:szCs w:val="20"/>
              </w:rPr>
            </w:pPr>
            <w:r>
              <w:rPr>
                <w:rFonts w:hint="eastAsia" w:ascii="楷体" w:hAnsi="楷体" w:eastAsia="楷体"/>
                <w:color w:val="000000"/>
                <w:sz w:val="20"/>
                <w:szCs w:val="20"/>
              </w:rPr>
              <w:t>权益类资产</w:t>
            </w:r>
          </w:p>
        </w:tc>
        <w:tc>
          <w:tcPr>
            <w:tcW w:w="1463" w:type="pct"/>
            <w:vAlign w:val="center"/>
          </w:tcPr>
          <w:p w14:paraId="40E8A251">
            <w:pPr>
              <w:ind w:right="29" w:rightChars="12"/>
              <w:jc w:val="center"/>
              <w:rPr>
                <w:rFonts w:ascii="楷体" w:hAnsi="楷体" w:eastAsia="楷体"/>
                <w:color w:val="000000"/>
                <w:sz w:val="20"/>
                <w:szCs w:val="20"/>
              </w:rPr>
            </w:pPr>
            <w:r>
              <w:rPr>
                <w:rFonts w:hint="eastAsia" w:ascii="楷体" w:hAnsi="楷体" w:eastAsia="楷体"/>
                <w:sz w:val="20"/>
                <w:szCs w:val="20"/>
              </w:rPr>
              <w:t>【</w:t>
            </w:r>
            <w:r>
              <w:rPr>
                <w:rFonts w:ascii="楷体" w:hAnsi="楷体" w:eastAsia="楷体"/>
                <w:sz w:val="20"/>
                <w:szCs w:val="20"/>
              </w:rPr>
              <w:t>0%</w:t>
            </w:r>
            <w:r>
              <w:rPr>
                <w:rFonts w:hint="eastAsia" w:ascii="楷体" w:hAnsi="楷体" w:eastAsia="楷体"/>
                <w:sz w:val="20"/>
                <w:szCs w:val="20"/>
              </w:rPr>
              <w:t>】</w:t>
            </w:r>
          </w:p>
        </w:tc>
      </w:tr>
      <w:tr w14:paraId="7B736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37" w:type="pct"/>
            <w:vAlign w:val="center"/>
          </w:tcPr>
          <w:p w14:paraId="3A6DB1BC">
            <w:pPr>
              <w:ind w:right="29" w:rightChars="12"/>
              <w:jc w:val="center"/>
              <w:rPr>
                <w:rFonts w:ascii="楷体" w:hAnsi="楷体" w:eastAsia="楷体"/>
                <w:color w:val="000000"/>
                <w:sz w:val="20"/>
                <w:szCs w:val="20"/>
              </w:rPr>
            </w:pPr>
            <w:r>
              <w:rPr>
                <w:rFonts w:hint="eastAsia" w:ascii="楷体" w:hAnsi="楷体" w:eastAsia="楷体"/>
                <w:color w:val="000000"/>
                <w:sz w:val="20"/>
                <w:szCs w:val="20"/>
              </w:rPr>
              <w:t>商品</w:t>
            </w:r>
            <w:r>
              <w:rPr>
                <w:rFonts w:ascii="楷体" w:hAnsi="楷体" w:eastAsia="楷体"/>
                <w:color w:val="000000"/>
                <w:sz w:val="20"/>
                <w:szCs w:val="20"/>
              </w:rPr>
              <w:t>及</w:t>
            </w:r>
            <w:r>
              <w:rPr>
                <w:rFonts w:hint="eastAsia" w:ascii="楷体" w:hAnsi="楷体" w:eastAsia="楷体"/>
                <w:color w:val="000000"/>
                <w:sz w:val="20"/>
                <w:szCs w:val="20"/>
              </w:rPr>
              <w:t>金融</w:t>
            </w:r>
            <w:r>
              <w:rPr>
                <w:rFonts w:ascii="楷体" w:hAnsi="楷体" w:eastAsia="楷体"/>
                <w:color w:val="000000"/>
                <w:sz w:val="20"/>
                <w:szCs w:val="20"/>
              </w:rPr>
              <w:t>衍生品类</w:t>
            </w:r>
            <w:r>
              <w:rPr>
                <w:rFonts w:hint="eastAsia" w:ascii="楷体" w:hAnsi="楷体" w:eastAsia="楷体"/>
                <w:color w:val="000000"/>
                <w:sz w:val="20"/>
                <w:szCs w:val="20"/>
              </w:rPr>
              <w:t>资产：持仓合约价值</w:t>
            </w:r>
          </w:p>
        </w:tc>
        <w:tc>
          <w:tcPr>
            <w:tcW w:w="1463" w:type="pct"/>
            <w:vAlign w:val="center"/>
          </w:tcPr>
          <w:p w14:paraId="1D485862">
            <w:pPr>
              <w:ind w:right="29" w:rightChars="12"/>
              <w:jc w:val="center"/>
              <w:rPr>
                <w:rFonts w:ascii="楷体" w:hAnsi="楷体" w:eastAsia="楷体"/>
                <w:color w:val="000000"/>
                <w:sz w:val="20"/>
                <w:szCs w:val="20"/>
              </w:rPr>
            </w:pPr>
            <w:r>
              <w:rPr>
                <w:rFonts w:hint="eastAsia" w:ascii="楷体" w:hAnsi="楷体" w:eastAsia="楷体"/>
                <w:sz w:val="20"/>
                <w:szCs w:val="20"/>
              </w:rPr>
              <w:t>【</w:t>
            </w:r>
            <w:r>
              <w:rPr>
                <w:rFonts w:ascii="楷体" w:hAnsi="楷体" w:eastAsia="楷体"/>
                <w:sz w:val="20"/>
                <w:szCs w:val="20"/>
              </w:rPr>
              <w:t>0%</w:t>
            </w:r>
            <w:r>
              <w:rPr>
                <w:rFonts w:hint="eastAsia" w:ascii="楷体" w:hAnsi="楷体" w:eastAsia="楷体"/>
                <w:sz w:val="20"/>
                <w:szCs w:val="20"/>
              </w:rPr>
              <w:t>】</w:t>
            </w:r>
          </w:p>
        </w:tc>
      </w:tr>
      <w:tr w14:paraId="2FB1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3537" w:type="pct"/>
            <w:vAlign w:val="center"/>
          </w:tcPr>
          <w:p w14:paraId="165C9EB4">
            <w:pPr>
              <w:ind w:right="29" w:rightChars="12"/>
              <w:jc w:val="center"/>
              <w:rPr>
                <w:rFonts w:ascii="楷体" w:hAnsi="楷体" w:eastAsia="楷体"/>
                <w:color w:val="000000"/>
                <w:sz w:val="20"/>
                <w:szCs w:val="20"/>
              </w:rPr>
            </w:pPr>
            <w:r>
              <w:rPr>
                <w:rFonts w:hint="eastAsia" w:ascii="楷体" w:hAnsi="楷体" w:eastAsia="楷体"/>
                <w:color w:val="000000"/>
                <w:sz w:val="20"/>
                <w:szCs w:val="20"/>
              </w:rPr>
              <w:t>商品</w:t>
            </w:r>
            <w:r>
              <w:rPr>
                <w:rFonts w:ascii="楷体" w:hAnsi="楷体" w:eastAsia="楷体"/>
                <w:color w:val="000000"/>
                <w:sz w:val="20"/>
                <w:szCs w:val="20"/>
              </w:rPr>
              <w:t>及</w:t>
            </w:r>
            <w:r>
              <w:rPr>
                <w:rFonts w:hint="eastAsia" w:ascii="楷体" w:hAnsi="楷体" w:eastAsia="楷体"/>
                <w:color w:val="000000"/>
                <w:sz w:val="20"/>
                <w:szCs w:val="20"/>
              </w:rPr>
              <w:t>金融</w:t>
            </w:r>
            <w:r>
              <w:rPr>
                <w:rFonts w:ascii="楷体" w:hAnsi="楷体" w:eastAsia="楷体"/>
                <w:color w:val="000000"/>
                <w:sz w:val="20"/>
                <w:szCs w:val="20"/>
              </w:rPr>
              <w:t>衍生品类</w:t>
            </w:r>
            <w:r>
              <w:rPr>
                <w:rFonts w:hint="eastAsia" w:ascii="楷体" w:hAnsi="楷体" w:eastAsia="楷体"/>
                <w:color w:val="000000"/>
                <w:sz w:val="20"/>
                <w:szCs w:val="20"/>
              </w:rPr>
              <w:t>资产：衍生品账户权益</w:t>
            </w:r>
          </w:p>
        </w:tc>
        <w:tc>
          <w:tcPr>
            <w:tcW w:w="1463" w:type="pct"/>
            <w:vAlign w:val="center"/>
          </w:tcPr>
          <w:p w14:paraId="7A41218D">
            <w:pPr>
              <w:ind w:right="29" w:rightChars="12"/>
              <w:jc w:val="center"/>
              <w:rPr>
                <w:rFonts w:ascii="楷体" w:hAnsi="楷体" w:eastAsia="楷体"/>
                <w:color w:val="000000"/>
                <w:sz w:val="20"/>
                <w:szCs w:val="20"/>
              </w:rPr>
            </w:pPr>
            <w:r>
              <w:rPr>
                <w:rFonts w:hint="eastAsia" w:ascii="楷体" w:hAnsi="楷体" w:eastAsia="楷体"/>
                <w:sz w:val="20"/>
                <w:szCs w:val="20"/>
              </w:rPr>
              <w:t>【</w:t>
            </w:r>
            <w:r>
              <w:rPr>
                <w:rFonts w:ascii="楷体" w:hAnsi="楷体" w:eastAsia="楷体"/>
                <w:sz w:val="20"/>
                <w:szCs w:val="20"/>
              </w:rPr>
              <w:t>0%</w:t>
            </w:r>
            <w:r>
              <w:rPr>
                <w:rFonts w:hint="eastAsia" w:ascii="楷体" w:hAnsi="楷体" w:eastAsia="楷体"/>
                <w:sz w:val="20"/>
                <w:szCs w:val="20"/>
              </w:rPr>
              <w:t>】</w:t>
            </w:r>
          </w:p>
        </w:tc>
      </w:tr>
    </w:tbl>
    <w:p w14:paraId="356555E6">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投资者投资本产品可能面临的特定风险主要包括（但不限于）</w:t>
      </w:r>
    </w:p>
    <w:p w14:paraId="0B9D316C">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（1）投资债权类资产的风险</w:t>
      </w:r>
    </w:p>
    <w:p w14:paraId="287DC00C">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1）投资标准化债权类资产的风险</w:t>
      </w:r>
    </w:p>
    <w:p w14:paraId="7B3D4E98">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79FD0CEF">
      <w:pPr>
        <w:spacing w:line="300" w:lineRule="exact"/>
        <w:ind w:firstLine="480"/>
        <w:rPr>
          <w:rFonts w:ascii="Times New Roman" w:hAnsi="Times New Roman" w:eastAsia="楷体_GB2312" w:cs="Times New Roman"/>
          <w:b/>
          <w:bCs/>
          <w:sz w:val="20"/>
          <w:szCs w:val="20"/>
        </w:rPr>
      </w:pPr>
      <w:r>
        <w:rPr>
          <w:rFonts w:ascii="Times New Roman" w:hAnsi="Times New Roman" w:eastAsia="楷体_GB2312" w:cs="Times New Roman"/>
          <w:b/>
          <w:bCs/>
          <w:sz w:val="20"/>
          <w:szCs w:val="20"/>
        </w:rPr>
        <w:t>2</w:t>
      </w:r>
      <w:r>
        <w:rPr>
          <w:rFonts w:hint="eastAsia" w:ascii="Times New Roman" w:hAnsi="Times New Roman" w:eastAsia="楷体_GB2312" w:cs="Times New Roman"/>
          <w:b/>
          <w:bCs/>
          <w:sz w:val="20"/>
          <w:szCs w:val="20"/>
        </w:rPr>
        <w:t>）投资非标准化债权类资产的风险</w:t>
      </w:r>
    </w:p>
    <w:p w14:paraId="7BE6266E">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475D42AC">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w:t>
      </w:r>
      <w:r>
        <w:rPr>
          <w:rFonts w:ascii="Times New Roman" w:hAnsi="Times New Roman" w:eastAsia="楷体_GB2312" w:cs="Times New Roman"/>
          <w:b/>
          <w:bCs/>
          <w:sz w:val="20"/>
          <w:szCs w:val="20"/>
        </w:rPr>
        <w:t>2</w:t>
      </w:r>
      <w:r>
        <w:rPr>
          <w:rFonts w:hint="eastAsia" w:ascii="Times New Roman" w:hAnsi="Times New Roman" w:eastAsia="楷体_GB2312" w:cs="Times New Roman"/>
          <w:b/>
          <w:bCs/>
          <w:sz w:val="20"/>
          <w:szCs w:val="20"/>
        </w:rPr>
        <w:t>）投资权益类资产的风险</w:t>
      </w:r>
    </w:p>
    <w:p w14:paraId="5FD38BF0">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1）投资普通股票可能面临的风险</w:t>
      </w:r>
    </w:p>
    <w:p w14:paraId="51AC4CA7">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 xml:space="preserve">本产品投资普通股票时可能面临以下风险：国家政策、经济周期、利率、汇率、股票发行人经营情况等因素可能发生变化导致的市场风险；因市场、技术、竞争、管理、财务等导致公司盈利发生变化，其股票价格可能下跌，影响投资者收益；股票定向增发等可能的流通和转让限制导致的流动性风险等。 </w:t>
      </w:r>
    </w:p>
    <w:p w14:paraId="5A059409">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2）投资优先股可能面临的风险</w:t>
      </w:r>
    </w:p>
    <w:p w14:paraId="230CF04B">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本产品投资优先股时可能面临的以下风险：国家政策、经济周期、利率、汇率、股票发行人经营情况等因素可能发生变化导致的市场风险；因公司基本面改变导致影响优先股的股利支付、在触发事件发生时优先股可能被强制转换为普通股的信用风险；向特定对象发行的优先股只能挂牌转让等优先股可能的流通和转让限制导致的流动性风险等。</w:t>
      </w:r>
    </w:p>
    <w:p w14:paraId="426B2A9D">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w:t>
      </w:r>
      <w:r>
        <w:rPr>
          <w:rFonts w:ascii="Times New Roman" w:hAnsi="Times New Roman" w:eastAsia="楷体_GB2312" w:cs="Times New Roman"/>
          <w:b/>
          <w:bCs/>
          <w:sz w:val="20"/>
          <w:szCs w:val="20"/>
        </w:rPr>
        <w:t>3</w:t>
      </w:r>
      <w:r>
        <w:rPr>
          <w:rFonts w:hint="eastAsia" w:ascii="Times New Roman" w:hAnsi="Times New Roman" w:eastAsia="楷体_GB2312" w:cs="Times New Roman"/>
          <w:b/>
          <w:bCs/>
          <w:sz w:val="20"/>
          <w:szCs w:val="20"/>
        </w:rPr>
        <w:t>）投资商品及金融衍生品类资产的风险</w:t>
      </w:r>
    </w:p>
    <w:p w14:paraId="244E99CF">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本产品投资商品及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766F6CB1">
      <w:pPr>
        <w:spacing w:line="300" w:lineRule="exact"/>
        <w:ind w:firstLine="480"/>
        <w:rPr>
          <w:rFonts w:ascii="Times New Roman" w:hAnsi="Times New Roman" w:eastAsia="楷体_GB2312" w:cs="Times New Roman"/>
          <w:b/>
          <w:bCs/>
          <w:sz w:val="20"/>
          <w:szCs w:val="20"/>
        </w:rPr>
      </w:pPr>
    </w:p>
    <w:p w14:paraId="2BA9C1FB">
      <w:pPr>
        <w:spacing w:line="300" w:lineRule="exact"/>
        <w:ind w:firstLine="480"/>
        <w:rPr>
          <w:rFonts w:ascii="Times New Roman" w:hAnsi="Times New Roman" w:eastAsia="楷体_GB2312" w:cs="Times New Roman"/>
          <w:b/>
          <w:bCs/>
          <w:i/>
          <w:szCs w:val="20"/>
          <w:u w:val="single"/>
        </w:rPr>
      </w:pPr>
      <w:r>
        <w:rPr>
          <w:rFonts w:hint="eastAsia" w:ascii="Times New Roman" w:hAnsi="Times New Roman" w:eastAsia="楷体_GB2312" w:cs="Times New Roman"/>
          <w:b/>
          <w:bCs/>
          <w:i/>
          <w:szCs w:val="20"/>
          <w:u w:val="single"/>
        </w:rPr>
        <w:t>注：以上特定风险仅为列举性质，未能详尽列明投资本产品可能面临的全部风险和可能导致投资者投资本金及收益损失的所有因素。</w:t>
      </w:r>
    </w:p>
    <w:p w14:paraId="2A838171">
      <w:pPr>
        <w:spacing w:line="300" w:lineRule="exact"/>
        <w:ind w:firstLine="480"/>
        <w:rPr>
          <w:rFonts w:ascii="Times New Roman" w:hAnsi="Times New Roman" w:eastAsia="楷体_GB2312" w:cs="Times New Roman"/>
          <w:b/>
          <w:bCs/>
          <w:sz w:val="20"/>
          <w:szCs w:val="20"/>
        </w:rPr>
      </w:pPr>
    </w:p>
    <w:p w14:paraId="12099BED">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b/>
          <w:bCs/>
          <w:sz w:val="20"/>
          <w:szCs w:val="20"/>
        </w:rPr>
        <w:t>理财非存款、产品有风险、投资须谨慎，理财产品过往业绩不代表其未来表现，不等于理财产品实际收益。投资者投资理财产品的，请关注产品各类</w:t>
      </w:r>
      <w:r>
        <w:rPr>
          <w:rFonts w:ascii="Times New Roman" w:hAnsi="Times New Roman" w:eastAsia="楷体_GB2312" w:cs="Times New Roman"/>
          <w:b/>
          <w:bCs/>
          <w:sz w:val="20"/>
          <w:szCs w:val="20"/>
        </w:rPr>
        <w:t>投资对象</w:t>
      </w:r>
      <w:r>
        <w:rPr>
          <w:rFonts w:hint="eastAsia" w:ascii="Times New Roman" w:hAnsi="Times New Roman" w:eastAsia="楷体_GB2312" w:cs="Times New Roman"/>
          <w:b/>
          <w:bCs/>
          <w:sz w:val="20"/>
          <w:szCs w:val="20"/>
        </w:rPr>
        <w:t>的</w:t>
      </w:r>
      <w:r>
        <w:rPr>
          <w:rFonts w:ascii="Times New Roman" w:hAnsi="Times New Roman" w:eastAsia="楷体_GB2312" w:cs="Times New Roman"/>
          <w:b/>
          <w:bCs/>
          <w:sz w:val="20"/>
          <w:szCs w:val="20"/>
        </w:rPr>
        <w:t>投资比例及相应</w:t>
      </w:r>
      <w:r>
        <w:rPr>
          <w:rFonts w:hint="eastAsia" w:ascii="Times New Roman" w:hAnsi="Times New Roman" w:eastAsia="楷体_GB2312" w:cs="Times New Roman"/>
          <w:b/>
          <w:bCs/>
          <w:sz w:val="20"/>
          <w:szCs w:val="20"/>
        </w:rPr>
        <w:t>投资</w:t>
      </w:r>
      <w:r>
        <w:rPr>
          <w:rFonts w:ascii="Times New Roman" w:hAnsi="Times New Roman" w:eastAsia="楷体_GB2312" w:cs="Times New Roman"/>
          <w:b/>
          <w:bCs/>
          <w:sz w:val="20"/>
          <w:szCs w:val="20"/>
        </w:rPr>
        <w:t>风险</w:t>
      </w:r>
      <w:r>
        <w:rPr>
          <w:rFonts w:hint="eastAsia" w:ascii="Times New Roman" w:hAnsi="Times New Roman" w:eastAsia="楷体_GB2312" w:cs="Times New Roman"/>
          <w:b/>
          <w:bCs/>
          <w:sz w:val="20"/>
          <w:szCs w:val="20"/>
        </w:rPr>
        <w:t>，基于所投资的不同理财产品可能面临包括但不限于信用风险、市场风险、流动性风险、提前终止风险、政策风险、信息传递风险、管理风险、延期清算风险、理财产品不成立风险、不可抗力及意外事件风险、理财本金全部损失风险、合作销售机构（代销机构）风险、操作风险、关联交易风险等风险，具体风险请甲方仔细阅读认购</w:t>
      </w:r>
      <w:r>
        <w:rPr>
          <w:rFonts w:ascii="Times New Roman" w:hAnsi="Times New Roman" w:eastAsia="楷体_GB2312" w:cs="Times New Roman"/>
          <w:b/>
          <w:bCs/>
          <w:sz w:val="20"/>
          <w:szCs w:val="20"/>
        </w:rPr>
        <w:t>/</w:t>
      </w:r>
      <w:r>
        <w:rPr>
          <w:rFonts w:hint="eastAsia" w:ascii="Times New Roman" w:hAnsi="Times New Roman" w:eastAsia="楷体_GB2312" w:cs="Times New Roman"/>
          <w:b/>
          <w:bCs/>
          <w:sz w:val="20"/>
          <w:szCs w:val="20"/>
        </w:rPr>
        <w:t>申购的理财产品的《信银理财理财产品产品说明书》和《信银理财理财产品风险揭示书》中的相应条款。</w:t>
      </w:r>
    </w:p>
    <w:p w14:paraId="61BBAA85">
      <w:pPr>
        <w:spacing w:line="300" w:lineRule="exact"/>
        <w:ind w:firstLine="480"/>
        <w:rPr>
          <w:rFonts w:ascii="Times New Roman" w:hAnsi="Times New Roman" w:eastAsia="楷体_GB2312" w:cs="Times New Roman"/>
          <w:b/>
          <w:bCs/>
          <w:sz w:val="20"/>
          <w:szCs w:val="20"/>
        </w:rPr>
      </w:pPr>
    </w:p>
    <w:p w14:paraId="15AF9EB4">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三、投资条款</w:t>
      </w:r>
    </w:p>
    <w:p w14:paraId="0D681D6F">
      <w:pPr>
        <w:spacing w:line="300" w:lineRule="exact"/>
        <w:ind w:firstLine="482"/>
        <w:rPr>
          <w:rFonts w:ascii="Times New Roman" w:hAnsi="Times New Roman" w:eastAsia="楷体_GB2312" w:cs="Times New Roman"/>
          <w:b/>
          <w:bCs/>
          <w:sz w:val="20"/>
          <w:szCs w:val="20"/>
        </w:rPr>
      </w:pPr>
      <w:r>
        <w:rPr>
          <w:rFonts w:hint="eastAsia" w:ascii="Times New Roman" w:hAnsi="Times New Roman" w:eastAsia="楷体_GB2312" w:cs="Times New Roman"/>
          <w:bCs/>
          <w:sz w:val="20"/>
          <w:szCs w:val="20"/>
        </w:rPr>
        <w:t>甲方认购</w:t>
      </w:r>
      <w:r>
        <w:rPr>
          <w:rFonts w:ascii="Times New Roman" w:hAnsi="Times New Roman" w:eastAsia="楷体_GB2312" w:cs="Times New Roman"/>
          <w:bCs/>
          <w:sz w:val="20"/>
          <w:szCs w:val="20"/>
        </w:rPr>
        <w:t>/</w:t>
      </w:r>
      <w:r>
        <w:rPr>
          <w:rFonts w:hint="eastAsia" w:ascii="Times New Roman" w:hAnsi="Times New Roman" w:eastAsia="楷体_GB2312" w:cs="Times New Roman"/>
          <w:bCs/>
          <w:sz w:val="20"/>
          <w:szCs w:val="20"/>
        </w:rPr>
        <w:t>申购理财产品的具体认购</w:t>
      </w:r>
      <w:r>
        <w:rPr>
          <w:rFonts w:ascii="Times New Roman" w:hAnsi="Times New Roman" w:eastAsia="楷体_GB2312" w:cs="Times New Roman"/>
          <w:bCs/>
          <w:sz w:val="20"/>
          <w:szCs w:val="20"/>
        </w:rPr>
        <w:t>/</w:t>
      </w:r>
      <w:r>
        <w:rPr>
          <w:rFonts w:hint="eastAsia" w:ascii="Times New Roman" w:hAnsi="Times New Roman" w:eastAsia="楷体_GB2312" w:cs="Times New Roman"/>
          <w:bCs/>
          <w:sz w:val="20"/>
          <w:szCs w:val="20"/>
        </w:rPr>
        <w:t>申购条件、流程、金额、份额、费用以及其他投资条款，由甲方实际认购</w:t>
      </w:r>
      <w:r>
        <w:rPr>
          <w:rFonts w:ascii="Times New Roman" w:hAnsi="Times New Roman" w:eastAsia="楷体_GB2312" w:cs="Times New Roman"/>
          <w:bCs/>
          <w:sz w:val="20"/>
          <w:szCs w:val="20"/>
        </w:rPr>
        <w:t>/</w:t>
      </w:r>
      <w:r>
        <w:rPr>
          <w:rFonts w:hint="eastAsia" w:ascii="Times New Roman" w:hAnsi="Times New Roman" w:eastAsia="楷体_GB2312" w:cs="Times New Roman"/>
          <w:bCs/>
          <w:sz w:val="20"/>
          <w:szCs w:val="20"/>
        </w:rPr>
        <w:t>申购的理财产品的《信银理财理财产品产品说明书》具体约定。</w:t>
      </w:r>
    </w:p>
    <w:p w14:paraId="778999E3">
      <w:pPr>
        <w:spacing w:line="300" w:lineRule="exact"/>
        <w:ind w:firstLine="480"/>
        <w:rPr>
          <w:rFonts w:ascii="Times New Roman" w:hAnsi="Times New Roman" w:eastAsia="楷体_GB2312" w:cs="Times New Roman"/>
          <w:b/>
          <w:bCs/>
          <w:sz w:val="20"/>
          <w:szCs w:val="20"/>
        </w:rPr>
      </w:pPr>
    </w:p>
    <w:p w14:paraId="6E3DEE15">
      <w:pPr>
        <w:spacing w:line="300" w:lineRule="exact"/>
        <w:ind w:firstLine="480"/>
        <w:rPr>
          <w:rFonts w:ascii="Times New Roman" w:hAnsi="Times New Roman" w:eastAsia="楷体_GB2312" w:cs="Times New Roman"/>
          <w:sz w:val="20"/>
          <w:szCs w:val="20"/>
        </w:rPr>
      </w:pPr>
      <w:r>
        <w:rPr>
          <w:rFonts w:hint="eastAsia" w:ascii="Times New Roman" w:hAnsi="Times New Roman" w:eastAsia="楷体_GB2312" w:cs="Times New Roman"/>
          <w:b/>
          <w:bCs/>
          <w:sz w:val="20"/>
          <w:szCs w:val="20"/>
        </w:rPr>
        <w:t>四、甲方的权利与义务</w:t>
      </w:r>
    </w:p>
    <w:p w14:paraId="58E395C3">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（一）甲方具有完全民事行为能力，有完全适当的资格与能力订立并履行理财产品销售文件，不存在法律、行政法规有关规定禁止或限制投资理财产品的情形（适用于个人投资者）；</w:t>
      </w:r>
    </w:p>
    <w:p w14:paraId="2DF536AD">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甲方确认签署和履行理财产品销售文件系其真实意思表示，已经按照其章程或者其它内部管理文件的要求取得合法、有效的授权且不会违反对其有约束力的任何合同和其他法律文件；甲方已经取得签订和履行理财产品销售文件所需的一切有关批准、许可、备案或者登记（适用于机构投资者）；</w:t>
      </w:r>
    </w:p>
    <w:p w14:paraId="333F66B6">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（二）甲方保证以真实身份投资本理财产品，保证提供给产品管理人</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代销机构的信息和资料均真实、准确、完整、合法。如甲方的信息和</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或资料发生变更，应当及时书面告知产品管理人或代销机构；</w:t>
      </w:r>
    </w:p>
    <w:p w14:paraId="2254221F">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（三）甲方声明熟悉理财产品类型特征及不同销售渠道的法律法规规定；</w:t>
      </w:r>
    </w:p>
    <w:p w14:paraId="10ADB61D">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（四）甲方承诺：如委托他人购买本产品，代理人须出具具有法律效力的授权委托书；</w:t>
      </w:r>
    </w:p>
    <w:p w14:paraId="73302882">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（五）甲方保证理财投资资金来源和用途合法，保证可向产品管理人</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代销机构提供合法筹集的证明文件；</w:t>
      </w:r>
    </w:p>
    <w:p w14:paraId="198F095A">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（六）甲方不得利用理财业务及理财产品销售文件项下理财产品从事违法活动；</w:t>
      </w:r>
    </w:p>
    <w:p w14:paraId="1F667A91">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（七）甲方保证遵守国家反洗钱法律、法规及相关政策要求，不从事涉及洗钱、恐怖融资、逃税、逃废债务、套取现金等违法违规活动，积极配合管理人</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代销机构开展投资者身份识别、交易记录保存、投资者身份及交易背景尽职调查、大额和可疑交易报告等各项反洗钱工作，并按要求提供相关证明材料；</w:t>
      </w:r>
    </w:p>
    <w:p w14:paraId="3978E158">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（八）甲方不属于联合国、欧盟或美国等制裁名单，及中国政府部门或有权机关发布的涉恐及反洗钱相关风险名单内的企业或个人；不位于被联合国、欧盟或美国等制裁的国家和地区；</w:t>
      </w:r>
    </w:p>
    <w:p w14:paraId="6D69D08C">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（九）甲方保证不使用贷款、发行债券等筹集的非自有资金投资理财产品，保证投资本理财产品不存在违反监管要求的产品嵌套，以及以投资本理财产品规避投资范围、杠杆约束等监管要求等违规行为。</w:t>
      </w:r>
    </w:p>
    <w:p w14:paraId="0D6C6B53">
      <w:pPr>
        <w:spacing w:line="300" w:lineRule="exact"/>
        <w:ind w:firstLine="480"/>
        <w:rPr>
          <w:rFonts w:ascii="Times New Roman" w:hAnsi="Times New Roman" w:eastAsia="楷体_GB2312" w:cs="Times New Roman"/>
          <w:b/>
          <w:bCs/>
          <w:sz w:val="20"/>
          <w:szCs w:val="20"/>
        </w:rPr>
      </w:pPr>
    </w:p>
    <w:p w14:paraId="0F727410">
      <w:pPr>
        <w:spacing w:line="300" w:lineRule="exact"/>
        <w:ind w:firstLine="480"/>
        <w:rPr>
          <w:rFonts w:ascii="Times New Roman" w:hAnsi="Times New Roman" w:eastAsia="楷体_GB2312" w:cs="Times New Roman"/>
          <w:sz w:val="20"/>
          <w:szCs w:val="20"/>
        </w:rPr>
      </w:pPr>
      <w:r>
        <w:rPr>
          <w:rFonts w:hint="eastAsia" w:ascii="Times New Roman" w:hAnsi="Times New Roman" w:eastAsia="楷体_GB2312" w:cs="Times New Roman"/>
          <w:b/>
          <w:bCs/>
          <w:sz w:val="20"/>
          <w:szCs w:val="20"/>
        </w:rPr>
        <w:t>五、乙方的权利与义务</w:t>
      </w:r>
    </w:p>
    <w:p w14:paraId="34DB3E30">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（一）乙方具有开办理财业务的经营资质，保证以诚实守信、勤勉尽职的原则管理和运用理财资金；</w:t>
      </w:r>
    </w:p>
    <w:p w14:paraId="59ED9000">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（二）乙方具有完全适当的资格和能力订立与履行理财产品合同。</w:t>
      </w:r>
    </w:p>
    <w:p w14:paraId="135DF90A">
      <w:pPr>
        <w:spacing w:line="300" w:lineRule="exact"/>
        <w:ind w:firstLine="480"/>
        <w:rPr>
          <w:rFonts w:ascii="Times New Roman" w:hAnsi="Times New Roman" w:eastAsia="楷体_GB2312" w:cs="Times New Roman"/>
          <w:b/>
          <w:bCs/>
          <w:sz w:val="20"/>
          <w:szCs w:val="20"/>
        </w:rPr>
      </w:pPr>
    </w:p>
    <w:p w14:paraId="09BA44AB">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bCs/>
          <w:sz w:val="20"/>
          <w:szCs w:val="20"/>
        </w:rPr>
        <w:t>六、违约责任</w:t>
      </w:r>
    </w:p>
    <w:p w14:paraId="49E9007A">
      <w:pPr>
        <w:spacing w:line="300" w:lineRule="exact"/>
        <w:ind w:firstLine="482"/>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双方因违反本协议约定而给对方造成损失的，违约方应赔偿因此给对方造成的直接损失。</w:t>
      </w:r>
    </w:p>
    <w:p w14:paraId="1727BCB7">
      <w:pPr>
        <w:spacing w:line="300" w:lineRule="exact"/>
        <w:ind w:firstLine="480"/>
        <w:rPr>
          <w:rFonts w:ascii="Times New Roman" w:hAnsi="Times New Roman" w:eastAsia="楷体_GB2312" w:cs="Times New Roman"/>
          <w:b/>
          <w:bCs/>
          <w:sz w:val="20"/>
          <w:szCs w:val="20"/>
        </w:rPr>
      </w:pPr>
    </w:p>
    <w:p w14:paraId="0AC4368B">
      <w:pPr>
        <w:spacing w:line="300" w:lineRule="exact"/>
        <w:ind w:firstLine="480"/>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七、免责内容</w:t>
      </w:r>
    </w:p>
    <w:p w14:paraId="246D2D64">
      <w:pPr>
        <w:spacing w:line="300" w:lineRule="exact"/>
        <w:ind w:firstLine="482"/>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因法律法规或监管政策变化、自然灾害、意外事故、战争、系统故障、通讯故障等信银理财客观不能预见、不能避免、不能克服的不可抗力事件或意外事件，导致信银理财无法或延后履行本协议及《信银理财理财产品产品说明书》有关义务的，信银理财不承担责任，但因信银理财故意或重大过失造成的系统故障、通讯故障的除外。前述约定不免除因信银理财过错导致依法应由产品管理人承担的责任。乙方应在条件允许的情况下，采取必要的补救措施以减少不可抗力造成的损失</w:t>
      </w:r>
      <w:r>
        <w:rPr>
          <w:rFonts w:ascii="Times New Roman" w:hAnsi="Times New Roman" w:eastAsia="楷体_GB2312" w:cs="Times New Roman"/>
          <w:b/>
          <w:bCs/>
          <w:sz w:val="20"/>
          <w:szCs w:val="20"/>
        </w:rPr>
        <w:t>。</w:t>
      </w:r>
    </w:p>
    <w:p w14:paraId="6A7F8847">
      <w:pPr>
        <w:spacing w:line="300" w:lineRule="exact"/>
        <w:ind w:firstLine="480"/>
        <w:rPr>
          <w:rFonts w:ascii="Times New Roman" w:hAnsi="Times New Roman" w:eastAsia="楷体_GB2312" w:cs="Times New Roman"/>
          <w:b/>
          <w:bCs/>
          <w:sz w:val="20"/>
          <w:szCs w:val="20"/>
        </w:rPr>
      </w:pPr>
    </w:p>
    <w:p w14:paraId="0B732654">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bCs/>
          <w:sz w:val="20"/>
          <w:szCs w:val="20"/>
        </w:rPr>
        <w:t>八、争议解决</w:t>
      </w:r>
    </w:p>
    <w:p w14:paraId="5B92258D">
      <w:pPr>
        <w:spacing w:line="300" w:lineRule="exact"/>
        <w:ind w:firstLine="482"/>
        <w:rPr>
          <w:rFonts w:ascii="Times New Roman" w:hAnsi="Times New Roman" w:eastAsia="楷体_GB2312" w:cs="Times New Roman"/>
          <w:b/>
          <w:bCs/>
          <w:sz w:val="20"/>
          <w:szCs w:val="20"/>
        </w:rPr>
      </w:pPr>
      <w:r>
        <w:rPr>
          <w:rFonts w:hint="eastAsia" w:ascii="Times New Roman" w:hAnsi="Times New Roman" w:eastAsia="楷体_GB2312" w:cs="Times New Roman"/>
          <w:b/>
          <w:sz w:val="20"/>
          <w:szCs w:val="20"/>
        </w:rPr>
        <w:t>（一）本协议及其他理财产品合同适用中华人民共和国法律（为履行理财产品合同之目的，不包括中国香港特别行政区、澳门特别行政区及台湾地区法律）。</w:t>
      </w:r>
    </w:p>
    <w:p w14:paraId="10B7858A">
      <w:pPr>
        <w:spacing w:line="300" w:lineRule="exact"/>
        <w:ind w:firstLine="482"/>
        <w:rPr>
          <w:rFonts w:ascii="Times New Roman" w:hAnsi="Times New Roman" w:eastAsia="楷体_GB2312" w:cs="Times New Roman"/>
          <w:b/>
          <w:bCs/>
          <w:sz w:val="20"/>
          <w:szCs w:val="20"/>
        </w:rPr>
      </w:pPr>
      <w:r>
        <w:rPr>
          <w:rFonts w:hint="eastAsia" w:ascii="Times New Roman" w:hAnsi="Times New Roman" w:eastAsia="楷体_GB2312" w:cs="Times New Roman"/>
          <w:b/>
          <w:bCs/>
          <w:sz w:val="20"/>
          <w:szCs w:val="20"/>
        </w:rPr>
        <w:t>（二）凡因</w:t>
      </w:r>
      <w:r>
        <w:rPr>
          <w:rFonts w:hint="eastAsia" w:ascii="Times New Roman" w:hAnsi="Times New Roman" w:eastAsia="楷体_GB2312" w:cs="Times New Roman"/>
          <w:b/>
          <w:sz w:val="20"/>
          <w:szCs w:val="20"/>
        </w:rPr>
        <w:t>本协议/</w:t>
      </w:r>
      <w:r>
        <w:rPr>
          <w:rFonts w:hint="eastAsia" w:ascii="Times New Roman" w:hAnsi="Times New Roman" w:eastAsia="楷体_GB2312" w:cs="Times New Roman"/>
          <w:b/>
          <w:bCs/>
          <w:sz w:val="20"/>
          <w:szCs w:val="20"/>
        </w:rPr>
        <w:t>理财产品合同引起的或与本协议/理财产品合同有关的任何争议，甲乙双方应本着诚实信用的原则通过协商解决。如通过协商仍不能解决争议时，双方应将该等争议提交上海仲裁委员会仲裁，仲裁地在上海。仲裁裁决是终局性的，对双方均有约束力。除非仲裁裁决另有规定，双方为仲裁而实际支付的费用（包括但不限于仲裁费和律师费）由败诉方承担。</w:t>
      </w:r>
    </w:p>
    <w:p w14:paraId="6B8AC783">
      <w:pPr>
        <w:spacing w:line="300" w:lineRule="exact"/>
        <w:ind w:firstLine="482"/>
        <w:rPr>
          <w:rFonts w:ascii="Times New Roman" w:hAnsi="Times New Roman" w:eastAsia="楷体_GB2312" w:cs="Times New Roman"/>
          <w:b/>
          <w:sz w:val="20"/>
          <w:szCs w:val="20"/>
        </w:rPr>
      </w:pPr>
      <w:r>
        <w:rPr>
          <w:rFonts w:hint="eastAsia" w:ascii="Times New Roman" w:hAnsi="Times New Roman" w:eastAsia="楷体_GB2312" w:cs="Times New Roman"/>
          <w:b/>
          <w:bCs/>
          <w:sz w:val="20"/>
          <w:szCs w:val="20"/>
        </w:rPr>
        <w:t>（三）在协商或仲裁期间，对于本协议/理财产品合同部涉及争议部分的条款，双方仍须履行。</w:t>
      </w:r>
    </w:p>
    <w:p w14:paraId="399BF6CB">
      <w:pPr>
        <w:spacing w:line="300" w:lineRule="exact"/>
        <w:ind w:firstLine="480"/>
        <w:rPr>
          <w:rFonts w:ascii="Times New Roman" w:hAnsi="Times New Roman" w:eastAsia="楷体_GB2312" w:cs="Times New Roman"/>
          <w:b/>
          <w:sz w:val="20"/>
          <w:szCs w:val="20"/>
        </w:rPr>
      </w:pPr>
    </w:p>
    <w:p w14:paraId="4614D843">
      <w:pPr>
        <w:spacing w:line="300" w:lineRule="exact"/>
        <w:ind w:firstLine="480"/>
        <w:rPr>
          <w:rFonts w:ascii="Times New Roman" w:hAnsi="Times New Roman" w:eastAsia="楷体_GB2312" w:cs="Times New Roman"/>
          <w:b/>
          <w:sz w:val="20"/>
          <w:szCs w:val="20"/>
        </w:rPr>
      </w:pPr>
      <w:r>
        <w:rPr>
          <w:rFonts w:hint="eastAsia" w:ascii="Times New Roman" w:hAnsi="Times New Roman" w:eastAsia="楷体_GB2312" w:cs="Times New Roman"/>
          <w:b/>
          <w:sz w:val="20"/>
          <w:szCs w:val="20"/>
        </w:rPr>
        <w:t>九、附则</w:t>
      </w:r>
    </w:p>
    <w:p w14:paraId="28B95CEE">
      <w:pPr>
        <w:spacing w:line="300" w:lineRule="exact"/>
        <w:ind w:firstLine="482"/>
        <w:rPr>
          <w:rFonts w:ascii="Times New Roman" w:hAnsi="Times New Roman" w:eastAsia="楷体_GB2312" w:cs="Times New Roman"/>
          <w:b/>
          <w:sz w:val="20"/>
          <w:szCs w:val="20"/>
        </w:rPr>
      </w:pPr>
      <w:r>
        <w:rPr>
          <w:rFonts w:hint="eastAsia" w:ascii="Times New Roman" w:hAnsi="Times New Roman" w:eastAsia="楷体_GB2312" w:cs="Times New Roman"/>
          <w:b/>
          <w:sz w:val="20"/>
          <w:szCs w:val="20"/>
        </w:rPr>
        <w:t>（一）本协议通过纸质形式签署的，自甲方签署（甲方为自然人的，应签字；甲方为机构或产品的，应加盖机构或产品管理人公章且其法定代表人或授权代表签章）且甲方产品认购</w:t>
      </w:r>
      <w:r>
        <w:rPr>
          <w:rFonts w:ascii="Times New Roman" w:hAnsi="Times New Roman" w:eastAsia="楷体_GB2312" w:cs="Times New Roman"/>
          <w:b/>
          <w:sz w:val="20"/>
          <w:szCs w:val="20"/>
        </w:rPr>
        <w:t>/</w:t>
      </w:r>
      <w:r>
        <w:rPr>
          <w:rFonts w:hint="eastAsia" w:ascii="Times New Roman" w:hAnsi="Times New Roman" w:eastAsia="楷体_GB2312" w:cs="Times New Roman"/>
          <w:b/>
          <w:sz w:val="20"/>
          <w:szCs w:val="20"/>
        </w:rPr>
        <w:t>申购份额经乙方确认后生效。本协议通过电子形式签署的，自甲方通过乙方产品的各电子销售渠道（包括直销和代销）在线点击确认或勾选且甲方产品认购</w:t>
      </w:r>
      <w:r>
        <w:rPr>
          <w:rFonts w:ascii="Times New Roman" w:hAnsi="Times New Roman" w:eastAsia="楷体_GB2312" w:cs="Times New Roman"/>
          <w:b/>
          <w:sz w:val="20"/>
          <w:szCs w:val="20"/>
        </w:rPr>
        <w:t>/</w:t>
      </w:r>
      <w:r>
        <w:rPr>
          <w:rFonts w:hint="eastAsia" w:ascii="Times New Roman" w:hAnsi="Times New Roman" w:eastAsia="楷体_GB2312" w:cs="Times New Roman"/>
          <w:b/>
          <w:sz w:val="20"/>
          <w:szCs w:val="20"/>
        </w:rPr>
        <w:t>申购份额经乙方确认后生效。甲方知悉并确认，乙方对于甲方认购</w:t>
      </w:r>
      <w:r>
        <w:rPr>
          <w:rFonts w:ascii="Times New Roman" w:hAnsi="Times New Roman" w:eastAsia="楷体_GB2312" w:cs="Times New Roman"/>
          <w:b/>
          <w:sz w:val="20"/>
          <w:szCs w:val="20"/>
        </w:rPr>
        <w:t>/</w:t>
      </w:r>
      <w:r>
        <w:rPr>
          <w:rFonts w:hint="eastAsia" w:ascii="Times New Roman" w:hAnsi="Times New Roman" w:eastAsia="楷体_GB2312" w:cs="Times New Roman"/>
          <w:b/>
          <w:sz w:val="20"/>
          <w:szCs w:val="20"/>
        </w:rPr>
        <w:t>申购份额的确认即视为乙方对于本协议的签署和认可，甲方不得以乙方未在本协议上盖章为由主张本协议无效。</w:t>
      </w:r>
    </w:p>
    <w:p w14:paraId="6A2EE116">
      <w:pPr>
        <w:spacing w:line="300" w:lineRule="exact"/>
        <w:ind w:firstLine="482"/>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（二）本协议条款与《信银理财理财产品产品说明书》条款不一致的，以《信银理财理财产品产品说明书》的约定为准。</w:t>
      </w:r>
    </w:p>
    <w:p w14:paraId="237E05E6">
      <w:pPr>
        <w:spacing w:line="300" w:lineRule="exact"/>
        <w:ind w:firstLine="482"/>
        <w:rPr>
          <w:rFonts w:ascii="Times New Roman" w:hAnsi="Times New Roman" w:eastAsia="楷体_GB2312" w:cs="Times New Roman"/>
          <w:b/>
          <w:sz w:val="20"/>
          <w:szCs w:val="20"/>
        </w:rPr>
      </w:pPr>
      <w:r>
        <w:rPr>
          <w:rFonts w:hint="eastAsia" w:ascii="Times New Roman" w:hAnsi="Times New Roman" w:eastAsia="楷体_GB2312" w:cs="Times New Roman"/>
          <w:b/>
          <w:sz w:val="20"/>
          <w:szCs w:val="20"/>
        </w:rPr>
        <w:t>（三）如果由于任何原因使本协议下的任何条款或者内容成为无效或者依法被撤销，本协议其他条款或内容的合法性，有效性和可执行性不受影响。</w:t>
      </w:r>
    </w:p>
    <w:p w14:paraId="34B51A87">
      <w:pPr>
        <w:spacing w:line="300" w:lineRule="exact"/>
        <w:rPr>
          <w:rFonts w:ascii="Times New Roman" w:hAnsi="Times New Roman" w:eastAsia="楷体_GB2312" w:cs="Times New Roman"/>
          <w:sz w:val="20"/>
          <w:szCs w:val="20"/>
        </w:rPr>
      </w:pPr>
    </w:p>
    <w:p w14:paraId="22C77BF2">
      <w:pPr>
        <w:spacing w:line="300" w:lineRule="exact"/>
        <w:rPr>
          <w:rFonts w:ascii="Times New Roman" w:hAnsi="Times New Roman" w:eastAsia="楷体_GB2312" w:cs="Times New Roman"/>
          <w:sz w:val="20"/>
          <w:szCs w:val="20"/>
        </w:rPr>
      </w:pPr>
    </w:p>
    <w:p w14:paraId="59EAB0A7">
      <w:pPr>
        <w:spacing w:line="300" w:lineRule="exact"/>
        <w:rPr>
          <w:rFonts w:ascii="Times New Roman" w:hAnsi="Times New Roman" w:eastAsia="楷体_GB2312" w:cs="Times New Roman"/>
          <w:sz w:val="20"/>
          <w:szCs w:val="20"/>
        </w:rPr>
      </w:pPr>
      <w:r>
        <w:rPr>
          <w:rFonts w:ascii="Times New Roman" w:hAnsi="Times New Roman" w:eastAsia="楷体_GB2312" w:cs="Times New Roman"/>
          <w:b/>
          <w:sz w:val="20"/>
          <w:szCs w:val="20"/>
        </w:rPr>
        <w:t>甲方</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个人投资者（签字）</w:t>
      </w:r>
      <w:r>
        <w:rPr>
          <w:rFonts w:ascii="Times New Roman" w:hAnsi="Times New Roman" w:eastAsia="楷体_GB2312" w:cs="Times New Roman"/>
          <w:sz w:val="20"/>
          <w:szCs w:val="20"/>
        </w:rPr>
        <w:t xml:space="preserve">:               </w:t>
      </w:r>
    </w:p>
    <w:p w14:paraId="1B87EA49">
      <w:pPr>
        <w:spacing w:line="300" w:lineRule="exact"/>
        <w:ind w:firstLine="600" w:firstLineChars="300"/>
        <w:rPr>
          <w:rFonts w:ascii="Times New Roman" w:hAnsi="Times New Roman" w:eastAsia="楷体_GB2312" w:cs="Times New Roman"/>
          <w:sz w:val="20"/>
          <w:szCs w:val="20"/>
        </w:rPr>
      </w:pPr>
    </w:p>
    <w:p w14:paraId="2F578BE9">
      <w:pPr>
        <w:spacing w:line="300" w:lineRule="exact"/>
        <w:ind w:firstLine="600" w:firstLineChars="300"/>
        <w:rPr>
          <w:rFonts w:ascii="Times New Roman" w:hAnsi="Times New Roman" w:eastAsia="楷体_GB2312" w:cs="Times New Roman"/>
          <w:sz w:val="20"/>
          <w:szCs w:val="20"/>
        </w:rPr>
      </w:pPr>
    </w:p>
    <w:p w14:paraId="4833B069">
      <w:pPr>
        <w:spacing w:line="300" w:lineRule="exact"/>
        <w:ind w:firstLine="600" w:firstLineChars="300"/>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机构投资者（公章）</w:t>
      </w:r>
      <w:r>
        <w:rPr>
          <w:rFonts w:ascii="Times New Roman" w:hAnsi="Times New Roman" w:eastAsia="楷体_GB2312" w:cs="Times New Roman"/>
          <w:sz w:val="20"/>
          <w:szCs w:val="20"/>
        </w:rPr>
        <w:t xml:space="preserve">:               </w:t>
      </w:r>
    </w:p>
    <w:p w14:paraId="02038756">
      <w:pPr>
        <w:spacing w:line="300" w:lineRule="exact"/>
        <w:ind w:firstLine="600" w:firstLineChars="300"/>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法定代表人</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负责人</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授权代表（签字</w:t>
      </w:r>
      <w:r>
        <w:rPr>
          <w:rFonts w:ascii="Times New Roman" w:hAnsi="Times New Roman" w:eastAsia="楷体_GB2312" w:cs="Times New Roman"/>
          <w:sz w:val="20"/>
          <w:szCs w:val="20"/>
        </w:rPr>
        <w:t>/</w:t>
      </w:r>
      <w:r>
        <w:rPr>
          <w:rFonts w:hint="eastAsia" w:ascii="Times New Roman" w:hAnsi="Times New Roman" w:eastAsia="楷体_GB2312" w:cs="Times New Roman"/>
          <w:sz w:val="20"/>
          <w:szCs w:val="20"/>
        </w:rPr>
        <w:t>盖章）：</w:t>
      </w:r>
    </w:p>
    <w:p w14:paraId="5C6BA3E4">
      <w:pPr>
        <w:spacing w:line="300" w:lineRule="exact"/>
        <w:ind w:firstLine="600" w:firstLineChars="300"/>
        <w:rPr>
          <w:rFonts w:ascii="Times New Roman" w:hAnsi="Times New Roman" w:eastAsia="楷体_GB2312" w:cs="Times New Roman"/>
          <w:sz w:val="20"/>
          <w:szCs w:val="20"/>
        </w:rPr>
      </w:pPr>
    </w:p>
    <w:p w14:paraId="4C9F2C08">
      <w:pPr>
        <w:spacing w:line="300" w:lineRule="exact"/>
        <w:ind w:firstLine="600" w:firstLineChars="300"/>
        <w:rPr>
          <w:rFonts w:ascii="Times New Roman" w:hAnsi="Times New Roman" w:eastAsia="楷体_GB2312" w:cs="Times New Roman"/>
          <w:sz w:val="20"/>
          <w:szCs w:val="20"/>
        </w:rPr>
      </w:pPr>
    </w:p>
    <w:p w14:paraId="287B3DC5">
      <w:pPr>
        <w:spacing w:line="300" w:lineRule="exact"/>
        <w:ind w:firstLine="600" w:firstLineChars="300"/>
        <w:rPr>
          <w:rFonts w:ascii="Times New Roman" w:hAnsi="Times New Roman" w:eastAsia="楷体_GB2312" w:cs="Times New Roman"/>
          <w:sz w:val="20"/>
          <w:szCs w:val="20"/>
        </w:rPr>
      </w:pPr>
      <w:r>
        <w:rPr>
          <w:rFonts w:hint="eastAsia" w:ascii="Times New Roman" w:hAnsi="Times New Roman" w:eastAsia="楷体_GB2312" w:cs="Times New Roman"/>
          <w:sz w:val="20"/>
          <w:szCs w:val="20"/>
        </w:rPr>
        <w:t>证件类别（个人投资者）：</w:t>
      </w:r>
      <w:r>
        <w:rPr>
          <w:rFonts w:ascii="Times New Roman" w:hAnsi="Times New Roman" w:eastAsia="楷体_GB2312" w:cs="Times New Roman"/>
          <w:sz w:val="20"/>
          <w:szCs w:val="20"/>
        </w:rPr>
        <w:t xml:space="preserve">             </w:t>
      </w:r>
    </w:p>
    <w:p w14:paraId="1AFD742D">
      <w:pPr>
        <w:spacing w:line="300" w:lineRule="exact"/>
        <w:ind w:firstLine="600" w:firstLineChars="300"/>
        <w:rPr>
          <w:rFonts w:ascii="Times New Roman" w:hAnsi="Times New Roman" w:eastAsia="楷体_GB2312" w:cs="Times New Roman"/>
          <w:sz w:val="20"/>
          <w:szCs w:val="20"/>
        </w:rPr>
      </w:pPr>
    </w:p>
    <w:p w14:paraId="11690633">
      <w:pPr>
        <w:spacing w:line="300" w:lineRule="exact"/>
        <w:ind w:firstLine="600" w:firstLineChars="300"/>
        <w:rPr>
          <w:rFonts w:ascii="Times New Roman" w:hAnsi="Times New Roman" w:eastAsia="楷体_GB2312" w:cs="Times New Roman"/>
          <w:sz w:val="20"/>
          <w:szCs w:val="20"/>
        </w:rPr>
      </w:pPr>
    </w:p>
    <w:p w14:paraId="7559F86F">
      <w:pPr>
        <w:spacing w:line="300" w:lineRule="exact"/>
        <w:ind w:firstLine="600" w:firstLineChars="300"/>
        <w:rPr>
          <w:rFonts w:ascii="黑体" w:hAnsi="楷体_GB2312" w:eastAsia="黑体" w:cs="黑体"/>
          <w:b/>
          <w:bCs/>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Times New Roman" w:hAnsi="Times New Roman" w:eastAsia="楷体_GB2312" w:cs="Times New Roman"/>
          <w:sz w:val="20"/>
          <w:szCs w:val="20"/>
        </w:rPr>
        <w:t>证件号（个人投资者）：</w:t>
      </w:r>
      <w:r>
        <w:rPr>
          <w:rFonts w:ascii="Times New Roman" w:hAnsi="Times New Roman" w:eastAsia="楷体_GB2312" w:cs="Times New Roman"/>
          <w:sz w:val="20"/>
          <w:szCs w:val="20"/>
        </w:rPr>
        <w:t xml:space="preserve">              </w:t>
      </w:r>
    </w:p>
    <w:p w14:paraId="4175BB1E">
      <w:pPr>
        <w:spacing w:line="300" w:lineRule="exact"/>
        <w:ind w:right="-792" w:rightChars="-330"/>
        <w:jc w:val="both"/>
        <w:rPr>
          <w:color w:val="000000" w:themeColor="text1"/>
          <w14:textFill>
            <w14:solidFill>
              <w14:schemeClr w14:val="tx1"/>
            </w14:solidFill>
          </w14:textFill>
        </w:rPr>
      </w:pPr>
    </w:p>
    <w:sectPr>
      <w:headerReference r:id="rId5" w:type="default"/>
      <w:footerReference r:id="rId6" w:type="default"/>
      <w:type w:val="continuous"/>
      <w:pgSz w:w="11906" w:h="16838"/>
      <w:pgMar w:top="1440" w:right="1800" w:bottom="1440" w:left="180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CF26">
    <w:pPr>
      <w:pStyle w:val="4"/>
      <w:jc w:val="cente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第</w:t>
    </w:r>
    <w:r>
      <w:rPr>
        <w:color w:val="000000" w:themeColor="text1"/>
        <w:lang w:val="zh-CN"/>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color w:val="000000" w:themeColor="text1"/>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SECTIONPAGES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p>
  <w:p w14:paraId="3F5FB0EA">
    <w:pPr>
      <w:pStyle w:val="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8E6A">
    <w:pPr>
      <w:pStyle w:val="4"/>
      <w:jc w:val="cente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第</w:t>
    </w:r>
    <w:r>
      <w:rPr>
        <w:color w:val="000000" w:themeColor="text1"/>
        <w:lang w:val="zh-CN"/>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Arabic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21</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r>
      <w:rPr>
        <w:color w:val="000000" w:themeColor="text1"/>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SECTIONPAGES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页</w:t>
    </w:r>
  </w:p>
  <w:p w14:paraId="2B1E33B4">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73A0">
    <w:pPr>
      <w:pStyle w:val="5"/>
      <w:jc w:val="right"/>
      <w:rPr>
        <w:color w:val="000000" w:themeColor="text1"/>
        <w14:textFill>
          <w14:solidFill>
            <w14:schemeClr w14:val="tx1"/>
          </w14:solidFill>
        </w14:textFill>
      </w:rPr>
    </w:pPr>
    <w:r>
      <w:rPr>
        <w:color w:val="000000" w:themeColor="text1"/>
        <w14:textFill>
          <w14:solidFill>
            <w14:schemeClr w14:val="tx1"/>
          </w14:solidFill>
        </w14:textFill>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4061">
    <w:pPr>
      <w:pStyle w:val="5"/>
      <w:rPr>
        <w:color w:val="000000" w:themeColor="text1"/>
        <w14:textFill>
          <w14:solidFill>
            <w14:schemeClr w14:val="tx1"/>
          </w14:solidFill>
        </w14:textFill>
      </w:rPr>
    </w:pPr>
    <w:r>
      <w:rPr>
        <w:rFonts w:hint="eastAsia"/>
      </w:rPr>
      <w:t>本产品风险评级为【P</w:t>
    </w:r>
    <w:r>
      <w:t>R2</w:t>
    </w:r>
    <w:r>
      <w:rPr>
        <w:rFonts w:hint="eastAsia"/>
      </w:rPr>
      <w:t>】</w:t>
    </w:r>
    <w:r>
      <w:t xml:space="preserve">           </w:t>
    </w:r>
    <w:r>
      <w:rPr>
        <w:color w:val="000000" w:themeColor="text1"/>
        <w14:textFill>
          <w14:solidFill>
            <w14:schemeClr w14:val="tx1"/>
          </w14:solidFill>
        </w14:textFill>
      </w:rPr>
      <w:t xml:space="preserve">                        理财非存款、产品有风险、投资须谨慎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rawingGridHorizontalSpacing w:val="0"/>
  <w:drawingGridVerticalSpacing w:val="0"/>
  <w:noPunctuationKerning w:val="1"/>
  <w:characterSpacingControl w:val="doNotCompress"/>
  <w:doNotValidateAgainstSchema/>
  <w:doNotDemarcateInvalidXml/>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C6"/>
    <w:rsid w:val="00001DC5"/>
    <w:rsid w:val="00003EA4"/>
    <w:rsid w:val="00010618"/>
    <w:rsid w:val="000126B2"/>
    <w:rsid w:val="00013F5B"/>
    <w:rsid w:val="000147D6"/>
    <w:rsid w:val="00014B73"/>
    <w:rsid w:val="00015D27"/>
    <w:rsid w:val="000160B3"/>
    <w:rsid w:val="00016ECA"/>
    <w:rsid w:val="000205B3"/>
    <w:rsid w:val="00021FBC"/>
    <w:rsid w:val="0002493B"/>
    <w:rsid w:val="0002679A"/>
    <w:rsid w:val="00027DB1"/>
    <w:rsid w:val="00035D4E"/>
    <w:rsid w:val="000363A0"/>
    <w:rsid w:val="00036A9C"/>
    <w:rsid w:val="00041092"/>
    <w:rsid w:val="000426F9"/>
    <w:rsid w:val="00043AA8"/>
    <w:rsid w:val="0004443C"/>
    <w:rsid w:val="00044D26"/>
    <w:rsid w:val="00046069"/>
    <w:rsid w:val="00047F09"/>
    <w:rsid w:val="000539DD"/>
    <w:rsid w:val="000548A7"/>
    <w:rsid w:val="00057AF1"/>
    <w:rsid w:val="00060380"/>
    <w:rsid w:val="0006039E"/>
    <w:rsid w:val="00060CF8"/>
    <w:rsid w:val="00062C0F"/>
    <w:rsid w:val="00063F74"/>
    <w:rsid w:val="000642FF"/>
    <w:rsid w:val="00064EC6"/>
    <w:rsid w:val="0006540A"/>
    <w:rsid w:val="00066399"/>
    <w:rsid w:val="000728B5"/>
    <w:rsid w:val="00073BD2"/>
    <w:rsid w:val="00074951"/>
    <w:rsid w:val="000757CB"/>
    <w:rsid w:val="000769ED"/>
    <w:rsid w:val="000810BD"/>
    <w:rsid w:val="00081E7F"/>
    <w:rsid w:val="0008429B"/>
    <w:rsid w:val="00084A58"/>
    <w:rsid w:val="00084DE7"/>
    <w:rsid w:val="00085A4A"/>
    <w:rsid w:val="0008615C"/>
    <w:rsid w:val="0008737E"/>
    <w:rsid w:val="0009069C"/>
    <w:rsid w:val="00090A7C"/>
    <w:rsid w:val="00090C78"/>
    <w:rsid w:val="000912BC"/>
    <w:rsid w:val="0009250D"/>
    <w:rsid w:val="00093A85"/>
    <w:rsid w:val="0009479A"/>
    <w:rsid w:val="00096806"/>
    <w:rsid w:val="000A044F"/>
    <w:rsid w:val="000A0C47"/>
    <w:rsid w:val="000A5B13"/>
    <w:rsid w:val="000B0124"/>
    <w:rsid w:val="000B0A2B"/>
    <w:rsid w:val="000B449C"/>
    <w:rsid w:val="000B5CA2"/>
    <w:rsid w:val="000C04B7"/>
    <w:rsid w:val="000C0E92"/>
    <w:rsid w:val="000C19F3"/>
    <w:rsid w:val="000C2431"/>
    <w:rsid w:val="000C2603"/>
    <w:rsid w:val="000C283C"/>
    <w:rsid w:val="000C33FA"/>
    <w:rsid w:val="000C37FC"/>
    <w:rsid w:val="000C3AF8"/>
    <w:rsid w:val="000C3C7D"/>
    <w:rsid w:val="000C46EC"/>
    <w:rsid w:val="000C4C04"/>
    <w:rsid w:val="000D0148"/>
    <w:rsid w:val="000D0828"/>
    <w:rsid w:val="000D2080"/>
    <w:rsid w:val="000D4C7B"/>
    <w:rsid w:val="000D56E3"/>
    <w:rsid w:val="000E10B6"/>
    <w:rsid w:val="000E3008"/>
    <w:rsid w:val="000E3444"/>
    <w:rsid w:val="000E51AE"/>
    <w:rsid w:val="000E60E0"/>
    <w:rsid w:val="000E6792"/>
    <w:rsid w:val="000F11B8"/>
    <w:rsid w:val="000F1F2E"/>
    <w:rsid w:val="000F26F4"/>
    <w:rsid w:val="000F2A49"/>
    <w:rsid w:val="000F3ADF"/>
    <w:rsid w:val="000F599D"/>
    <w:rsid w:val="000F687B"/>
    <w:rsid w:val="000F798A"/>
    <w:rsid w:val="0010147F"/>
    <w:rsid w:val="00103F63"/>
    <w:rsid w:val="00105A87"/>
    <w:rsid w:val="00106CF0"/>
    <w:rsid w:val="001077F3"/>
    <w:rsid w:val="00110BCF"/>
    <w:rsid w:val="0011109A"/>
    <w:rsid w:val="00111E93"/>
    <w:rsid w:val="00115683"/>
    <w:rsid w:val="00115D73"/>
    <w:rsid w:val="0011687B"/>
    <w:rsid w:val="00116B6A"/>
    <w:rsid w:val="00123C90"/>
    <w:rsid w:val="00124FBD"/>
    <w:rsid w:val="001260B9"/>
    <w:rsid w:val="001266EA"/>
    <w:rsid w:val="00126DB3"/>
    <w:rsid w:val="00130901"/>
    <w:rsid w:val="00132E82"/>
    <w:rsid w:val="0013467D"/>
    <w:rsid w:val="001353DA"/>
    <w:rsid w:val="00135B6F"/>
    <w:rsid w:val="00136105"/>
    <w:rsid w:val="001370DF"/>
    <w:rsid w:val="0014090C"/>
    <w:rsid w:val="00144519"/>
    <w:rsid w:val="001452EC"/>
    <w:rsid w:val="00146526"/>
    <w:rsid w:val="00151D12"/>
    <w:rsid w:val="001521EB"/>
    <w:rsid w:val="001549C8"/>
    <w:rsid w:val="001568FE"/>
    <w:rsid w:val="00156DA1"/>
    <w:rsid w:val="0016013C"/>
    <w:rsid w:val="001615E1"/>
    <w:rsid w:val="00163B22"/>
    <w:rsid w:val="001641D5"/>
    <w:rsid w:val="00164277"/>
    <w:rsid w:val="001649F3"/>
    <w:rsid w:val="00172A27"/>
    <w:rsid w:val="00176C79"/>
    <w:rsid w:val="0018193D"/>
    <w:rsid w:val="00182FBF"/>
    <w:rsid w:val="00184D24"/>
    <w:rsid w:val="001856BC"/>
    <w:rsid w:val="001872EE"/>
    <w:rsid w:val="00190A62"/>
    <w:rsid w:val="00191496"/>
    <w:rsid w:val="001915B8"/>
    <w:rsid w:val="0019257E"/>
    <w:rsid w:val="00192A4D"/>
    <w:rsid w:val="001930F7"/>
    <w:rsid w:val="00193302"/>
    <w:rsid w:val="00194DE7"/>
    <w:rsid w:val="00197081"/>
    <w:rsid w:val="001A0FD7"/>
    <w:rsid w:val="001A218A"/>
    <w:rsid w:val="001A21E1"/>
    <w:rsid w:val="001A2FFC"/>
    <w:rsid w:val="001A30BE"/>
    <w:rsid w:val="001A36DF"/>
    <w:rsid w:val="001A5423"/>
    <w:rsid w:val="001A720A"/>
    <w:rsid w:val="001A7BE3"/>
    <w:rsid w:val="001B01FF"/>
    <w:rsid w:val="001B1495"/>
    <w:rsid w:val="001B1E52"/>
    <w:rsid w:val="001B35C0"/>
    <w:rsid w:val="001B50D8"/>
    <w:rsid w:val="001B6C94"/>
    <w:rsid w:val="001C0F22"/>
    <w:rsid w:val="001C19C0"/>
    <w:rsid w:val="001C2A78"/>
    <w:rsid w:val="001C3D71"/>
    <w:rsid w:val="001C4FAF"/>
    <w:rsid w:val="001C5B53"/>
    <w:rsid w:val="001C5D78"/>
    <w:rsid w:val="001C72BC"/>
    <w:rsid w:val="001C7B49"/>
    <w:rsid w:val="001D03C4"/>
    <w:rsid w:val="001D69AE"/>
    <w:rsid w:val="001D6A97"/>
    <w:rsid w:val="001E1C60"/>
    <w:rsid w:val="001E24D6"/>
    <w:rsid w:val="001E6503"/>
    <w:rsid w:val="001F6640"/>
    <w:rsid w:val="001F6AE8"/>
    <w:rsid w:val="001F6DA5"/>
    <w:rsid w:val="001F7597"/>
    <w:rsid w:val="0020078B"/>
    <w:rsid w:val="00202368"/>
    <w:rsid w:val="00202515"/>
    <w:rsid w:val="0020290B"/>
    <w:rsid w:val="00203755"/>
    <w:rsid w:val="00203EAD"/>
    <w:rsid w:val="0020493D"/>
    <w:rsid w:val="002050A9"/>
    <w:rsid w:val="00205FFC"/>
    <w:rsid w:val="002068C1"/>
    <w:rsid w:val="002156E9"/>
    <w:rsid w:val="00215D7E"/>
    <w:rsid w:val="00216B6D"/>
    <w:rsid w:val="00217805"/>
    <w:rsid w:val="00220D80"/>
    <w:rsid w:val="0022225E"/>
    <w:rsid w:val="002240C0"/>
    <w:rsid w:val="002255EE"/>
    <w:rsid w:val="00225671"/>
    <w:rsid w:val="00225B66"/>
    <w:rsid w:val="00225C4A"/>
    <w:rsid w:val="002263A2"/>
    <w:rsid w:val="00226CD2"/>
    <w:rsid w:val="00226ED1"/>
    <w:rsid w:val="002270F3"/>
    <w:rsid w:val="00227275"/>
    <w:rsid w:val="00231806"/>
    <w:rsid w:val="00233296"/>
    <w:rsid w:val="00233A76"/>
    <w:rsid w:val="00233AC8"/>
    <w:rsid w:val="00236C74"/>
    <w:rsid w:val="002370EE"/>
    <w:rsid w:val="00237EA1"/>
    <w:rsid w:val="00237EAB"/>
    <w:rsid w:val="00241C9E"/>
    <w:rsid w:val="00243A55"/>
    <w:rsid w:val="00245336"/>
    <w:rsid w:val="00246292"/>
    <w:rsid w:val="002465F7"/>
    <w:rsid w:val="00246BAF"/>
    <w:rsid w:val="00251071"/>
    <w:rsid w:val="00253360"/>
    <w:rsid w:val="0025354B"/>
    <w:rsid w:val="002551F1"/>
    <w:rsid w:val="00255F6F"/>
    <w:rsid w:val="00260CCF"/>
    <w:rsid w:val="00263626"/>
    <w:rsid w:val="00266F6D"/>
    <w:rsid w:val="0026787E"/>
    <w:rsid w:val="002729A9"/>
    <w:rsid w:val="00274D10"/>
    <w:rsid w:val="00274DDE"/>
    <w:rsid w:val="002754B9"/>
    <w:rsid w:val="002761EB"/>
    <w:rsid w:val="002808D0"/>
    <w:rsid w:val="00283FB0"/>
    <w:rsid w:val="00287256"/>
    <w:rsid w:val="00291517"/>
    <w:rsid w:val="00292667"/>
    <w:rsid w:val="00294941"/>
    <w:rsid w:val="00295A54"/>
    <w:rsid w:val="0029600B"/>
    <w:rsid w:val="00296760"/>
    <w:rsid w:val="002A0B7C"/>
    <w:rsid w:val="002A0DE8"/>
    <w:rsid w:val="002A101B"/>
    <w:rsid w:val="002A118E"/>
    <w:rsid w:val="002A1446"/>
    <w:rsid w:val="002A19D9"/>
    <w:rsid w:val="002A284E"/>
    <w:rsid w:val="002A2B9D"/>
    <w:rsid w:val="002A37AD"/>
    <w:rsid w:val="002A38E0"/>
    <w:rsid w:val="002A448B"/>
    <w:rsid w:val="002A5E24"/>
    <w:rsid w:val="002A6FFD"/>
    <w:rsid w:val="002B0D61"/>
    <w:rsid w:val="002B195C"/>
    <w:rsid w:val="002B24C2"/>
    <w:rsid w:val="002B53E3"/>
    <w:rsid w:val="002B68A0"/>
    <w:rsid w:val="002B72C3"/>
    <w:rsid w:val="002B7706"/>
    <w:rsid w:val="002B7859"/>
    <w:rsid w:val="002B7874"/>
    <w:rsid w:val="002C07C8"/>
    <w:rsid w:val="002C699D"/>
    <w:rsid w:val="002D1482"/>
    <w:rsid w:val="002D3636"/>
    <w:rsid w:val="002D38B7"/>
    <w:rsid w:val="002D4E93"/>
    <w:rsid w:val="002D68A1"/>
    <w:rsid w:val="002D6DF8"/>
    <w:rsid w:val="002D6E0E"/>
    <w:rsid w:val="002D7249"/>
    <w:rsid w:val="002E4E91"/>
    <w:rsid w:val="002E5746"/>
    <w:rsid w:val="002E5CC4"/>
    <w:rsid w:val="002E64C4"/>
    <w:rsid w:val="002F05EE"/>
    <w:rsid w:val="002F0E3A"/>
    <w:rsid w:val="002F0F28"/>
    <w:rsid w:val="002F14A9"/>
    <w:rsid w:val="002F1779"/>
    <w:rsid w:val="002F1E03"/>
    <w:rsid w:val="002F265B"/>
    <w:rsid w:val="002F388D"/>
    <w:rsid w:val="002F7BFE"/>
    <w:rsid w:val="00305E0A"/>
    <w:rsid w:val="003079C2"/>
    <w:rsid w:val="00310EC2"/>
    <w:rsid w:val="0031174F"/>
    <w:rsid w:val="00311784"/>
    <w:rsid w:val="0031212B"/>
    <w:rsid w:val="00312710"/>
    <w:rsid w:val="00312A2B"/>
    <w:rsid w:val="003133C9"/>
    <w:rsid w:val="0031689B"/>
    <w:rsid w:val="00316DEC"/>
    <w:rsid w:val="003175C8"/>
    <w:rsid w:val="00321CAD"/>
    <w:rsid w:val="00322939"/>
    <w:rsid w:val="00326CE4"/>
    <w:rsid w:val="003313E2"/>
    <w:rsid w:val="003322C2"/>
    <w:rsid w:val="00332EB9"/>
    <w:rsid w:val="00335B05"/>
    <w:rsid w:val="00335B1F"/>
    <w:rsid w:val="00336876"/>
    <w:rsid w:val="00337017"/>
    <w:rsid w:val="003413CC"/>
    <w:rsid w:val="003421C1"/>
    <w:rsid w:val="003452C4"/>
    <w:rsid w:val="00345368"/>
    <w:rsid w:val="00345530"/>
    <w:rsid w:val="003460A3"/>
    <w:rsid w:val="00346433"/>
    <w:rsid w:val="00351AC4"/>
    <w:rsid w:val="00354585"/>
    <w:rsid w:val="0035590C"/>
    <w:rsid w:val="00356D2C"/>
    <w:rsid w:val="003576A4"/>
    <w:rsid w:val="003600CB"/>
    <w:rsid w:val="00360654"/>
    <w:rsid w:val="0036094B"/>
    <w:rsid w:val="0036181F"/>
    <w:rsid w:val="00362735"/>
    <w:rsid w:val="0036563E"/>
    <w:rsid w:val="0036565F"/>
    <w:rsid w:val="00365828"/>
    <w:rsid w:val="00366351"/>
    <w:rsid w:val="00366D41"/>
    <w:rsid w:val="00370AD9"/>
    <w:rsid w:val="00370BE5"/>
    <w:rsid w:val="003722EF"/>
    <w:rsid w:val="00377004"/>
    <w:rsid w:val="0037708C"/>
    <w:rsid w:val="00380548"/>
    <w:rsid w:val="00381BBC"/>
    <w:rsid w:val="00382F22"/>
    <w:rsid w:val="0038563B"/>
    <w:rsid w:val="003903BF"/>
    <w:rsid w:val="0039091A"/>
    <w:rsid w:val="00390CFD"/>
    <w:rsid w:val="00391378"/>
    <w:rsid w:val="00392188"/>
    <w:rsid w:val="0039559D"/>
    <w:rsid w:val="003971DB"/>
    <w:rsid w:val="00397E61"/>
    <w:rsid w:val="003A0843"/>
    <w:rsid w:val="003A1BD8"/>
    <w:rsid w:val="003A4B48"/>
    <w:rsid w:val="003A5529"/>
    <w:rsid w:val="003A6B29"/>
    <w:rsid w:val="003B3842"/>
    <w:rsid w:val="003B4081"/>
    <w:rsid w:val="003B4DB7"/>
    <w:rsid w:val="003B756C"/>
    <w:rsid w:val="003B7AB2"/>
    <w:rsid w:val="003B7CAE"/>
    <w:rsid w:val="003C1F61"/>
    <w:rsid w:val="003C2EEB"/>
    <w:rsid w:val="003C61BE"/>
    <w:rsid w:val="003C727B"/>
    <w:rsid w:val="003C77EF"/>
    <w:rsid w:val="003C7AEF"/>
    <w:rsid w:val="003D1B3B"/>
    <w:rsid w:val="003D1E1D"/>
    <w:rsid w:val="003D3448"/>
    <w:rsid w:val="003D4615"/>
    <w:rsid w:val="003D5980"/>
    <w:rsid w:val="003D6E7F"/>
    <w:rsid w:val="003E231B"/>
    <w:rsid w:val="003E2E0B"/>
    <w:rsid w:val="003E5156"/>
    <w:rsid w:val="003E53B4"/>
    <w:rsid w:val="003E547A"/>
    <w:rsid w:val="003E6901"/>
    <w:rsid w:val="003F2084"/>
    <w:rsid w:val="003F3C37"/>
    <w:rsid w:val="003F58E1"/>
    <w:rsid w:val="003F5982"/>
    <w:rsid w:val="003F5CC9"/>
    <w:rsid w:val="003F7F7C"/>
    <w:rsid w:val="0040426A"/>
    <w:rsid w:val="00404732"/>
    <w:rsid w:val="00405385"/>
    <w:rsid w:val="004056EF"/>
    <w:rsid w:val="004057B9"/>
    <w:rsid w:val="00407081"/>
    <w:rsid w:val="00410409"/>
    <w:rsid w:val="0041223C"/>
    <w:rsid w:val="00413B11"/>
    <w:rsid w:val="0041446D"/>
    <w:rsid w:val="00414D0A"/>
    <w:rsid w:val="0041523E"/>
    <w:rsid w:val="00415393"/>
    <w:rsid w:val="00415D0E"/>
    <w:rsid w:val="00420285"/>
    <w:rsid w:val="004202B4"/>
    <w:rsid w:val="004205C0"/>
    <w:rsid w:val="004210C6"/>
    <w:rsid w:val="004243EB"/>
    <w:rsid w:val="0042662F"/>
    <w:rsid w:val="00426C15"/>
    <w:rsid w:val="00426ED5"/>
    <w:rsid w:val="00430F18"/>
    <w:rsid w:val="00433028"/>
    <w:rsid w:val="00436006"/>
    <w:rsid w:val="00436EE0"/>
    <w:rsid w:val="00441E3A"/>
    <w:rsid w:val="004468BE"/>
    <w:rsid w:val="00447345"/>
    <w:rsid w:val="00450A36"/>
    <w:rsid w:val="00451A81"/>
    <w:rsid w:val="00452C7C"/>
    <w:rsid w:val="0045355D"/>
    <w:rsid w:val="0045444C"/>
    <w:rsid w:val="00455F92"/>
    <w:rsid w:val="004567FE"/>
    <w:rsid w:val="0045695C"/>
    <w:rsid w:val="004600AE"/>
    <w:rsid w:val="00461029"/>
    <w:rsid w:val="00463F1F"/>
    <w:rsid w:val="00464C78"/>
    <w:rsid w:val="00465DE6"/>
    <w:rsid w:val="00466412"/>
    <w:rsid w:val="0047057B"/>
    <w:rsid w:val="00470FB6"/>
    <w:rsid w:val="00470FDE"/>
    <w:rsid w:val="0047199F"/>
    <w:rsid w:val="0047482C"/>
    <w:rsid w:val="004755EA"/>
    <w:rsid w:val="00475653"/>
    <w:rsid w:val="00475662"/>
    <w:rsid w:val="00475C7B"/>
    <w:rsid w:val="004801D7"/>
    <w:rsid w:val="00480C2E"/>
    <w:rsid w:val="00481F39"/>
    <w:rsid w:val="0048246F"/>
    <w:rsid w:val="00485EB2"/>
    <w:rsid w:val="00486AE0"/>
    <w:rsid w:val="004919C6"/>
    <w:rsid w:val="00491CAE"/>
    <w:rsid w:val="004933E0"/>
    <w:rsid w:val="00493FBA"/>
    <w:rsid w:val="00494AB2"/>
    <w:rsid w:val="0049560E"/>
    <w:rsid w:val="00495FB0"/>
    <w:rsid w:val="00497A0F"/>
    <w:rsid w:val="004A0105"/>
    <w:rsid w:val="004A0C4B"/>
    <w:rsid w:val="004A7220"/>
    <w:rsid w:val="004A73A9"/>
    <w:rsid w:val="004B0F38"/>
    <w:rsid w:val="004B3E7F"/>
    <w:rsid w:val="004B4881"/>
    <w:rsid w:val="004B4E0C"/>
    <w:rsid w:val="004B60CF"/>
    <w:rsid w:val="004B7645"/>
    <w:rsid w:val="004C0143"/>
    <w:rsid w:val="004C1CEF"/>
    <w:rsid w:val="004C27BA"/>
    <w:rsid w:val="004C3474"/>
    <w:rsid w:val="004C3861"/>
    <w:rsid w:val="004C46A4"/>
    <w:rsid w:val="004C49DC"/>
    <w:rsid w:val="004C7FE9"/>
    <w:rsid w:val="004D1573"/>
    <w:rsid w:val="004D1578"/>
    <w:rsid w:val="004D1B31"/>
    <w:rsid w:val="004D3168"/>
    <w:rsid w:val="004D3982"/>
    <w:rsid w:val="004D440D"/>
    <w:rsid w:val="004D49E8"/>
    <w:rsid w:val="004D4C24"/>
    <w:rsid w:val="004E016C"/>
    <w:rsid w:val="004E1E20"/>
    <w:rsid w:val="004E2B94"/>
    <w:rsid w:val="004E3690"/>
    <w:rsid w:val="004E3FA9"/>
    <w:rsid w:val="004E402F"/>
    <w:rsid w:val="004E4EAA"/>
    <w:rsid w:val="004E7622"/>
    <w:rsid w:val="004E7E59"/>
    <w:rsid w:val="004F1681"/>
    <w:rsid w:val="004F25B4"/>
    <w:rsid w:val="004F47CE"/>
    <w:rsid w:val="004F4FB5"/>
    <w:rsid w:val="004F6A80"/>
    <w:rsid w:val="00504CE9"/>
    <w:rsid w:val="0050603A"/>
    <w:rsid w:val="0050607E"/>
    <w:rsid w:val="00506276"/>
    <w:rsid w:val="005069E4"/>
    <w:rsid w:val="00510B6F"/>
    <w:rsid w:val="005127D4"/>
    <w:rsid w:val="0051502E"/>
    <w:rsid w:val="00517930"/>
    <w:rsid w:val="005204CE"/>
    <w:rsid w:val="005218CD"/>
    <w:rsid w:val="00521D47"/>
    <w:rsid w:val="005221AA"/>
    <w:rsid w:val="005237D3"/>
    <w:rsid w:val="00523BD9"/>
    <w:rsid w:val="005251A7"/>
    <w:rsid w:val="00525CB4"/>
    <w:rsid w:val="005260E1"/>
    <w:rsid w:val="005277D6"/>
    <w:rsid w:val="00527BAE"/>
    <w:rsid w:val="0053426C"/>
    <w:rsid w:val="00536422"/>
    <w:rsid w:val="00542AFB"/>
    <w:rsid w:val="00542BD1"/>
    <w:rsid w:val="0054435B"/>
    <w:rsid w:val="0054504E"/>
    <w:rsid w:val="00545208"/>
    <w:rsid w:val="00546327"/>
    <w:rsid w:val="00546441"/>
    <w:rsid w:val="0055031F"/>
    <w:rsid w:val="00552C0F"/>
    <w:rsid w:val="00557038"/>
    <w:rsid w:val="00563EE8"/>
    <w:rsid w:val="00563F6E"/>
    <w:rsid w:val="005645C5"/>
    <w:rsid w:val="00566105"/>
    <w:rsid w:val="00567836"/>
    <w:rsid w:val="005738EF"/>
    <w:rsid w:val="005738FF"/>
    <w:rsid w:val="005744F2"/>
    <w:rsid w:val="00574AFD"/>
    <w:rsid w:val="005755E0"/>
    <w:rsid w:val="005769C1"/>
    <w:rsid w:val="005778A0"/>
    <w:rsid w:val="00580CAC"/>
    <w:rsid w:val="00582D53"/>
    <w:rsid w:val="005865C3"/>
    <w:rsid w:val="00587E1F"/>
    <w:rsid w:val="00591F5D"/>
    <w:rsid w:val="00592959"/>
    <w:rsid w:val="00592F42"/>
    <w:rsid w:val="00595F7E"/>
    <w:rsid w:val="0059646B"/>
    <w:rsid w:val="0059707D"/>
    <w:rsid w:val="0059788F"/>
    <w:rsid w:val="00597DBA"/>
    <w:rsid w:val="005A0326"/>
    <w:rsid w:val="005A099D"/>
    <w:rsid w:val="005A199B"/>
    <w:rsid w:val="005A20DA"/>
    <w:rsid w:val="005A3C8F"/>
    <w:rsid w:val="005A5733"/>
    <w:rsid w:val="005A5EC0"/>
    <w:rsid w:val="005B0BE3"/>
    <w:rsid w:val="005B264B"/>
    <w:rsid w:val="005B26C0"/>
    <w:rsid w:val="005B2BD9"/>
    <w:rsid w:val="005B2FCA"/>
    <w:rsid w:val="005B4B89"/>
    <w:rsid w:val="005B4D6F"/>
    <w:rsid w:val="005B5CB3"/>
    <w:rsid w:val="005B69F9"/>
    <w:rsid w:val="005C1012"/>
    <w:rsid w:val="005C26A1"/>
    <w:rsid w:val="005C2BE9"/>
    <w:rsid w:val="005C6B87"/>
    <w:rsid w:val="005C739D"/>
    <w:rsid w:val="005D0386"/>
    <w:rsid w:val="005D1EA0"/>
    <w:rsid w:val="005D2357"/>
    <w:rsid w:val="005D25FF"/>
    <w:rsid w:val="005D3505"/>
    <w:rsid w:val="005D3D54"/>
    <w:rsid w:val="005D45A1"/>
    <w:rsid w:val="005D58BE"/>
    <w:rsid w:val="005E0A11"/>
    <w:rsid w:val="005E1B40"/>
    <w:rsid w:val="005E4210"/>
    <w:rsid w:val="005F076E"/>
    <w:rsid w:val="005F0D0A"/>
    <w:rsid w:val="005F16A2"/>
    <w:rsid w:val="005F24E9"/>
    <w:rsid w:val="005F369A"/>
    <w:rsid w:val="005F3EE1"/>
    <w:rsid w:val="005F4C00"/>
    <w:rsid w:val="005F5F1C"/>
    <w:rsid w:val="005F7182"/>
    <w:rsid w:val="006026F6"/>
    <w:rsid w:val="00604548"/>
    <w:rsid w:val="006065AF"/>
    <w:rsid w:val="00606F08"/>
    <w:rsid w:val="00607679"/>
    <w:rsid w:val="00611B92"/>
    <w:rsid w:val="00614825"/>
    <w:rsid w:val="00614999"/>
    <w:rsid w:val="006218A6"/>
    <w:rsid w:val="006223DC"/>
    <w:rsid w:val="006229A2"/>
    <w:rsid w:val="00623324"/>
    <w:rsid w:val="0062630B"/>
    <w:rsid w:val="00626BED"/>
    <w:rsid w:val="00631428"/>
    <w:rsid w:val="006320C1"/>
    <w:rsid w:val="0063231F"/>
    <w:rsid w:val="006368D3"/>
    <w:rsid w:val="00637451"/>
    <w:rsid w:val="00637A0A"/>
    <w:rsid w:val="00640235"/>
    <w:rsid w:val="00641240"/>
    <w:rsid w:val="00645222"/>
    <w:rsid w:val="006509E5"/>
    <w:rsid w:val="00651DB2"/>
    <w:rsid w:val="0065398F"/>
    <w:rsid w:val="0065475E"/>
    <w:rsid w:val="0065724F"/>
    <w:rsid w:val="0066017F"/>
    <w:rsid w:val="00661CF7"/>
    <w:rsid w:val="006627C0"/>
    <w:rsid w:val="0066536D"/>
    <w:rsid w:val="00665606"/>
    <w:rsid w:val="00666C5E"/>
    <w:rsid w:val="006745BC"/>
    <w:rsid w:val="006804CB"/>
    <w:rsid w:val="00680BF4"/>
    <w:rsid w:val="00682617"/>
    <w:rsid w:val="00683ADB"/>
    <w:rsid w:val="00691194"/>
    <w:rsid w:val="0069257C"/>
    <w:rsid w:val="006929DF"/>
    <w:rsid w:val="00692C48"/>
    <w:rsid w:val="0069708B"/>
    <w:rsid w:val="006975BC"/>
    <w:rsid w:val="006976C9"/>
    <w:rsid w:val="006A0C97"/>
    <w:rsid w:val="006A19F9"/>
    <w:rsid w:val="006A3FF4"/>
    <w:rsid w:val="006B41B5"/>
    <w:rsid w:val="006B47AE"/>
    <w:rsid w:val="006B6EEE"/>
    <w:rsid w:val="006C0090"/>
    <w:rsid w:val="006C0806"/>
    <w:rsid w:val="006C284C"/>
    <w:rsid w:val="006C4FBC"/>
    <w:rsid w:val="006C5D6D"/>
    <w:rsid w:val="006C5F9E"/>
    <w:rsid w:val="006D0DEA"/>
    <w:rsid w:val="006D380D"/>
    <w:rsid w:val="006D4480"/>
    <w:rsid w:val="006D621E"/>
    <w:rsid w:val="006D7D92"/>
    <w:rsid w:val="006D7DF5"/>
    <w:rsid w:val="006E0C09"/>
    <w:rsid w:val="006E0F1E"/>
    <w:rsid w:val="006E10CF"/>
    <w:rsid w:val="006E2EF4"/>
    <w:rsid w:val="006E308C"/>
    <w:rsid w:val="006E30F2"/>
    <w:rsid w:val="006E3116"/>
    <w:rsid w:val="006E3CDA"/>
    <w:rsid w:val="006E43E5"/>
    <w:rsid w:val="006E47CA"/>
    <w:rsid w:val="006E4D8B"/>
    <w:rsid w:val="006E5D81"/>
    <w:rsid w:val="006E670C"/>
    <w:rsid w:val="006F04C3"/>
    <w:rsid w:val="006F166D"/>
    <w:rsid w:val="006F7210"/>
    <w:rsid w:val="00700F6D"/>
    <w:rsid w:val="00701C15"/>
    <w:rsid w:val="0070415D"/>
    <w:rsid w:val="0070491B"/>
    <w:rsid w:val="00705487"/>
    <w:rsid w:val="00714057"/>
    <w:rsid w:val="007146CC"/>
    <w:rsid w:val="00715CAA"/>
    <w:rsid w:val="007160F3"/>
    <w:rsid w:val="00716F0D"/>
    <w:rsid w:val="00720264"/>
    <w:rsid w:val="0072328E"/>
    <w:rsid w:val="00724409"/>
    <w:rsid w:val="00725E51"/>
    <w:rsid w:val="00726156"/>
    <w:rsid w:val="007277A7"/>
    <w:rsid w:val="007279E5"/>
    <w:rsid w:val="0073059C"/>
    <w:rsid w:val="00733CAE"/>
    <w:rsid w:val="007341D7"/>
    <w:rsid w:val="007406AC"/>
    <w:rsid w:val="00742D4B"/>
    <w:rsid w:val="007439E8"/>
    <w:rsid w:val="00744316"/>
    <w:rsid w:val="00745A82"/>
    <w:rsid w:val="00747A12"/>
    <w:rsid w:val="00747D26"/>
    <w:rsid w:val="007500A6"/>
    <w:rsid w:val="00753114"/>
    <w:rsid w:val="007535A2"/>
    <w:rsid w:val="00755E0B"/>
    <w:rsid w:val="007567CA"/>
    <w:rsid w:val="007578A5"/>
    <w:rsid w:val="00762150"/>
    <w:rsid w:val="007621EB"/>
    <w:rsid w:val="00762E9A"/>
    <w:rsid w:val="0077104A"/>
    <w:rsid w:val="0077131D"/>
    <w:rsid w:val="0077204B"/>
    <w:rsid w:val="00772F06"/>
    <w:rsid w:val="007737E0"/>
    <w:rsid w:val="00773EF6"/>
    <w:rsid w:val="00774627"/>
    <w:rsid w:val="007767C3"/>
    <w:rsid w:val="007808F5"/>
    <w:rsid w:val="00781310"/>
    <w:rsid w:val="00782961"/>
    <w:rsid w:val="00783654"/>
    <w:rsid w:val="0078380F"/>
    <w:rsid w:val="0078435C"/>
    <w:rsid w:val="0079138E"/>
    <w:rsid w:val="007929F7"/>
    <w:rsid w:val="007930A4"/>
    <w:rsid w:val="00794E71"/>
    <w:rsid w:val="007966BE"/>
    <w:rsid w:val="007A1863"/>
    <w:rsid w:val="007A24F4"/>
    <w:rsid w:val="007A4008"/>
    <w:rsid w:val="007A49A9"/>
    <w:rsid w:val="007A5E9D"/>
    <w:rsid w:val="007A69A9"/>
    <w:rsid w:val="007B0E9F"/>
    <w:rsid w:val="007B0FB2"/>
    <w:rsid w:val="007B16F7"/>
    <w:rsid w:val="007B3F5E"/>
    <w:rsid w:val="007B57D7"/>
    <w:rsid w:val="007B65A1"/>
    <w:rsid w:val="007B7D9D"/>
    <w:rsid w:val="007C1FD4"/>
    <w:rsid w:val="007C2C0B"/>
    <w:rsid w:val="007C2FC3"/>
    <w:rsid w:val="007C3B98"/>
    <w:rsid w:val="007C4338"/>
    <w:rsid w:val="007C638C"/>
    <w:rsid w:val="007C650E"/>
    <w:rsid w:val="007C7112"/>
    <w:rsid w:val="007D2424"/>
    <w:rsid w:val="007D2AF2"/>
    <w:rsid w:val="007D3041"/>
    <w:rsid w:val="007D40F8"/>
    <w:rsid w:val="007D7593"/>
    <w:rsid w:val="007E043B"/>
    <w:rsid w:val="007E0CA6"/>
    <w:rsid w:val="007E1C65"/>
    <w:rsid w:val="007E250D"/>
    <w:rsid w:val="007E5ED0"/>
    <w:rsid w:val="007E6F1E"/>
    <w:rsid w:val="007E70AD"/>
    <w:rsid w:val="007E7B54"/>
    <w:rsid w:val="007F08EA"/>
    <w:rsid w:val="007F3A71"/>
    <w:rsid w:val="007F52AA"/>
    <w:rsid w:val="007F779B"/>
    <w:rsid w:val="008001C4"/>
    <w:rsid w:val="00801AA5"/>
    <w:rsid w:val="00803588"/>
    <w:rsid w:val="00803B53"/>
    <w:rsid w:val="0080455A"/>
    <w:rsid w:val="008069CD"/>
    <w:rsid w:val="00807588"/>
    <w:rsid w:val="00810BD4"/>
    <w:rsid w:val="00810CF1"/>
    <w:rsid w:val="008118F6"/>
    <w:rsid w:val="00812070"/>
    <w:rsid w:val="00815CD7"/>
    <w:rsid w:val="00815CE5"/>
    <w:rsid w:val="00816DF3"/>
    <w:rsid w:val="00817A98"/>
    <w:rsid w:val="0082090A"/>
    <w:rsid w:val="00821110"/>
    <w:rsid w:val="00822EB0"/>
    <w:rsid w:val="00823631"/>
    <w:rsid w:val="00823C35"/>
    <w:rsid w:val="0082485C"/>
    <w:rsid w:val="008276D5"/>
    <w:rsid w:val="00827EBC"/>
    <w:rsid w:val="0083053C"/>
    <w:rsid w:val="00831D18"/>
    <w:rsid w:val="008328C6"/>
    <w:rsid w:val="00833FAD"/>
    <w:rsid w:val="008342FE"/>
    <w:rsid w:val="0083530F"/>
    <w:rsid w:val="008357D1"/>
    <w:rsid w:val="00836406"/>
    <w:rsid w:val="00836417"/>
    <w:rsid w:val="00836C6F"/>
    <w:rsid w:val="00837AA0"/>
    <w:rsid w:val="00842495"/>
    <w:rsid w:val="00845089"/>
    <w:rsid w:val="00850703"/>
    <w:rsid w:val="00851D70"/>
    <w:rsid w:val="0085303E"/>
    <w:rsid w:val="00854172"/>
    <w:rsid w:val="008548FE"/>
    <w:rsid w:val="00855DD2"/>
    <w:rsid w:val="00855E90"/>
    <w:rsid w:val="0085695F"/>
    <w:rsid w:val="008576C5"/>
    <w:rsid w:val="00857D29"/>
    <w:rsid w:val="008602CF"/>
    <w:rsid w:val="00860EDD"/>
    <w:rsid w:val="008619AD"/>
    <w:rsid w:val="00861DB4"/>
    <w:rsid w:val="00863ADD"/>
    <w:rsid w:val="008651E5"/>
    <w:rsid w:val="0086720D"/>
    <w:rsid w:val="008675B5"/>
    <w:rsid w:val="008703D2"/>
    <w:rsid w:val="008714A8"/>
    <w:rsid w:val="008734E7"/>
    <w:rsid w:val="00880F64"/>
    <w:rsid w:val="00882FCC"/>
    <w:rsid w:val="008831B8"/>
    <w:rsid w:val="00885404"/>
    <w:rsid w:val="0088574C"/>
    <w:rsid w:val="008859E1"/>
    <w:rsid w:val="00890816"/>
    <w:rsid w:val="0089154C"/>
    <w:rsid w:val="0089445F"/>
    <w:rsid w:val="00895EED"/>
    <w:rsid w:val="008A411C"/>
    <w:rsid w:val="008A69A3"/>
    <w:rsid w:val="008B0822"/>
    <w:rsid w:val="008B1E5A"/>
    <w:rsid w:val="008B2747"/>
    <w:rsid w:val="008B4408"/>
    <w:rsid w:val="008B48FE"/>
    <w:rsid w:val="008B52FB"/>
    <w:rsid w:val="008B7343"/>
    <w:rsid w:val="008C6EB3"/>
    <w:rsid w:val="008C7329"/>
    <w:rsid w:val="008E2351"/>
    <w:rsid w:val="008E472F"/>
    <w:rsid w:val="008E5E61"/>
    <w:rsid w:val="008F1E60"/>
    <w:rsid w:val="008F20AB"/>
    <w:rsid w:val="008F5554"/>
    <w:rsid w:val="008F6227"/>
    <w:rsid w:val="00902206"/>
    <w:rsid w:val="00903D64"/>
    <w:rsid w:val="0090431C"/>
    <w:rsid w:val="00904891"/>
    <w:rsid w:val="00906DAE"/>
    <w:rsid w:val="009105DF"/>
    <w:rsid w:val="009109D7"/>
    <w:rsid w:val="00910D88"/>
    <w:rsid w:val="00913087"/>
    <w:rsid w:val="0091382D"/>
    <w:rsid w:val="00916769"/>
    <w:rsid w:val="00917776"/>
    <w:rsid w:val="00922AA9"/>
    <w:rsid w:val="009238E1"/>
    <w:rsid w:val="00925A45"/>
    <w:rsid w:val="00925ABF"/>
    <w:rsid w:val="00934481"/>
    <w:rsid w:val="00934714"/>
    <w:rsid w:val="009347AF"/>
    <w:rsid w:val="0093538C"/>
    <w:rsid w:val="00940B4D"/>
    <w:rsid w:val="009421CA"/>
    <w:rsid w:val="00943306"/>
    <w:rsid w:val="009437CB"/>
    <w:rsid w:val="0094593C"/>
    <w:rsid w:val="00946DFE"/>
    <w:rsid w:val="00947727"/>
    <w:rsid w:val="0094794A"/>
    <w:rsid w:val="0095171C"/>
    <w:rsid w:val="00951827"/>
    <w:rsid w:val="009543C4"/>
    <w:rsid w:val="00954DC5"/>
    <w:rsid w:val="00955AAD"/>
    <w:rsid w:val="009561B3"/>
    <w:rsid w:val="0096016D"/>
    <w:rsid w:val="009647FC"/>
    <w:rsid w:val="0096558D"/>
    <w:rsid w:val="00966537"/>
    <w:rsid w:val="0096682F"/>
    <w:rsid w:val="00966A09"/>
    <w:rsid w:val="0097118F"/>
    <w:rsid w:val="00974963"/>
    <w:rsid w:val="00976AFC"/>
    <w:rsid w:val="00977813"/>
    <w:rsid w:val="00985402"/>
    <w:rsid w:val="00986603"/>
    <w:rsid w:val="00986EBC"/>
    <w:rsid w:val="00990F75"/>
    <w:rsid w:val="00991685"/>
    <w:rsid w:val="00994FCB"/>
    <w:rsid w:val="00996506"/>
    <w:rsid w:val="009968EC"/>
    <w:rsid w:val="009A0ACD"/>
    <w:rsid w:val="009A18DB"/>
    <w:rsid w:val="009A2BA6"/>
    <w:rsid w:val="009A303C"/>
    <w:rsid w:val="009A675F"/>
    <w:rsid w:val="009B05E6"/>
    <w:rsid w:val="009B14F2"/>
    <w:rsid w:val="009B24F9"/>
    <w:rsid w:val="009B32DD"/>
    <w:rsid w:val="009B4E98"/>
    <w:rsid w:val="009B5271"/>
    <w:rsid w:val="009B56EF"/>
    <w:rsid w:val="009B58EC"/>
    <w:rsid w:val="009B593B"/>
    <w:rsid w:val="009B6D89"/>
    <w:rsid w:val="009B7656"/>
    <w:rsid w:val="009C004A"/>
    <w:rsid w:val="009C0C53"/>
    <w:rsid w:val="009C126B"/>
    <w:rsid w:val="009C1DC1"/>
    <w:rsid w:val="009C61F2"/>
    <w:rsid w:val="009C699A"/>
    <w:rsid w:val="009C6E8C"/>
    <w:rsid w:val="009D153E"/>
    <w:rsid w:val="009D3197"/>
    <w:rsid w:val="009D3403"/>
    <w:rsid w:val="009E1335"/>
    <w:rsid w:val="009E2761"/>
    <w:rsid w:val="009E6C2C"/>
    <w:rsid w:val="009E778C"/>
    <w:rsid w:val="009F0A38"/>
    <w:rsid w:val="009F6594"/>
    <w:rsid w:val="009F7E21"/>
    <w:rsid w:val="00A02056"/>
    <w:rsid w:val="00A04383"/>
    <w:rsid w:val="00A05548"/>
    <w:rsid w:val="00A05C8C"/>
    <w:rsid w:val="00A06DA3"/>
    <w:rsid w:val="00A11464"/>
    <w:rsid w:val="00A123E3"/>
    <w:rsid w:val="00A13F92"/>
    <w:rsid w:val="00A14C36"/>
    <w:rsid w:val="00A150A7"/>
    <w:rsid w:val="00A15751"/>
    <w:rsid w:val="00A15FD3"/>
    <w:rsid w:val="00A1651C"/>
    <w:rsid w:val="00A208BD"/>
    <w:rsid w:val="00A20E42"/>
    <w:rsid w:val="00A21691"/>
    <w:rsid w:val="00A22514"/>
    <w:rsid w:val="00A25672"/>
    <w:rsid w:val="00A2672F"/>
    <w:rsid w:val="00A300A3"/>
    <w:rsid w:val="00A32E0A"/>
    <w:rsid w:val="00A3332D"/>
    <w:rsid w:val="00A33A98"/>
    <w:rsid w:val="00A350B9"/>
    <w:rsid w:val="00A3557B"/>
    <w:rsid w:val="00A35C36"/>
    <w:rsid w:val="00A407CC"/>
    <w:rsid w:val="00A408EB"/>
    <w:rsid w:val="00A40CC2"/>
    <w:rsid w:val="00A40F80"/>
    <w:rsid w:val="00A4272A"/>
    <w:rsid w:val="00A45B60"/>
    <w:rsid w:val="00A46540"/>
    <w:rsid w:val="00A47D06"/>
    <w:rsid w:val="00A52506"/>
    <w:rsid w:val="00A53B68"/>
    <w:rsid w:val="00A5626A"/>
    <w:rsid w:val="00A56C74"/>
    <w:rsid w:val="00A61748"/>
    <w:rsid w:val="00A61C27"/>
    <w:rsid w:val="00A62F85"/>
    <w:rsid w:val="00A632C2"/>
    <w:rsid w:val="00A63964"/>
    <w:rsid w:val="00A65BA9"/>
    <w:rsid w:val="00A67D8B"/>
    <w:rsid w:val="00A7040A"/>
    <w:rsid w:val="00A7281D"/>
    <w:rsid w:val="00A72C17"/>
    <w:rsid w:val="00A7596B"/>
    <w:rsid w:val="00A7690D"/>
    <w:rsid w:val="00A84324"/>
    <w:rsid w:val="00A84AFC"/>
    <w:rsid w:val="00A8651D"/>
    <w:rsid w:val="00A90F6A"/>
    <w:rsid w:val="00A92459"/>
    <w:rsid w:val="00A9276D"/>
    <w:rsid w:val="00A92A32"/>
    <w:rsid w:val="00A92B67"/>
    <w:rsid w:val="00A939E8"/>
    <w:rsid w:val="00A93BF6"/>
    <w:rsid w:val="00A95125"/>
    <w:rsid w:val="00AA161C"/>
    <w:rsid w:val="00AA19B1"/>
    <w:rsid w:val="00AA2232"/>
    <w:rsid w:val="00AA2414"/>
    <w:rsid w:val="00AA2ED5"/>
    <w:rsid w:val="00AA37CD"/>
    <w:rsid w:val="00AA3BFD"/>
    <w:rsid w:val="00AA5CB2"/>
    <w:rsid w:val="00AB2B1A"/>
    <w:rsid w:val="00AB2E83"/>
    <w:rsid w:val="00AB4C0B"/>
    <w:rsid w:val="00AB527D"/>
    <w:rsid w:val="00AC139B"/>
    <w:rsid w:val="00AC1B2C"/>
    <w:rsid w:val="00AC2BE4"/>
    <w:rsid w:val="00AC398C"/>
    <w:rsid w:val="00AC6333"/>
    <w:rsid w:val="00AC6572"/>
    <w:rsid w:val="00AD111F"/>
    <w:rsid w:val="00AD4929"/>
    <w:rsid w:val="00AD5938"/>
    <w:rsid w:val="00AE00FB"/>
    <w:rsid w:val="00AE158D"/>
    <w:rsid w:val="00AE1A21"/>
    <w:rsid w:val="00AE22BA"/>
    <w:rsid w:val="00AE3747"/>
    <w:rsid w:val="00AE47AD"/>
    <w:rsid w:val="00AE4D55"/>
    <w:rsid w:val="00AE533E"/>
    <w:rsid w:val="00AE6808"/>
    <w:rsid w:val="00AF0C5C"/>
    <w:rsid w:val="00AF2396"/>
    <w:rsid w:val="00AF2C00"/>
    <w:rsid w:val="00AF3F36"/>
    <w:rsid w:val="00AF77F1"/>
    <w:rsid w:val="00AF7872"/>
    <w:rsid w:val="00B0144C"/>
    <w:rsid w:val="00B020D7"/>
    <w:rsid w:val="00B04D83"/>
    <w:rsid w:val="00B068D6"/>
    <w:rsid w:val="00B06F95"/>
    <w:rsid w:val="00B07607"/>
    <w:rsid w:val="00B105F7"/>
    <w:rsid w:val="00B12CC7"/>
    <w:rsid w:val="00B13EE8"/>
    <w:rsid w:val="00B16E54"/>
    <w:rsid w:val="00B177A2"/>
    <w:rsid w:val="00B17FC5"/>
    <w:rsid w:val="00B230BA"/>
    <w:rsid w:val="00B23F4C"/>
    <w:rsid w:val="00B2420E"/>
    <w:rsid w:val="00B2555E"/>
    <w:rsid w:val="00B260D1"/>
    <w:rsid w:val="00B27A3E"/>
    <w:rsid w:val="00B30F64"/>
    <w:rsid w:val="00B3313B"/>
    <w:rsid w:val="00B331C0"/>
    <w:rsid w:val="00B3407C"/>
    <w:rsid w:val="00B35851"/>
    <w:rsid w:val="00B36C49"/>
    <w:rsid w:val="00B36C7F"/>
    <w:rsid w:val="00B41274"/>
    <w:rsid w:val="00B41994"/>
    <w:rsid w:val="00B4295A"/>
    <w:rsid w:val="00B445DA"/>
    <w:rsid w:val="00B45671"/>
    <w:rsid w:val="00B50114"/>
    <w:rsid w:val="00B51166"/>
    <w:rsid w:val="00B51911"/>
    <w:rsid w:val="00B52A03"/>
    <w:rsid w:val="00B55E40"/>
    <w:rsid w:val="00B6170E"/>
    <w:rsid w:val="00B626A6"/>
    <w:rsid w:val="00B66DAD"/>
    <w:rsid w:val="00B7006C"/>
    <w:rsid w:val="00B7025F"/>
    <w:rsid w:val="00B72C4F"/>
    <w:rsid w:val="00B76A1B"/>
    <w:rsid w:val="00B77E4F"/>
    <w:rsid w:val="00B80717"/>
    <w:rsid w:val="00B83072"/>
    <w:rsid w:val="00B83367"/>
    <w:rsid w:val="00B8483F"/>
    <w:rsid w:val="00B91EAF"/>
    <w:rsid w:val="00B93960"/>
    <w:rsid w:val="00B95730"/>
    <w:rsid w:val="00B95A27"/>
    <w:rsid w:val="00B972AD"/>
    <w:rsid w:val="00B975E8"/>
    <w:rsid w:val="00BA0253"/>
    <w:rsid w:val="00BA03A6"/>
    <w:rsid w:val="00BA143B"/>
    <w:rsid w:val="00BA22FE"/>
    <w:rsid w:val="00BA445B"/>
    <w:rsid w:val="00BA4FDA"/>
    <w:rsid w:val="00BA707B"/>
    <w:rsid w:val="00BB0A13"/>
    <w:rsid w:val="00BB0C5E"/>
    <w:rsid w:val="00BB3AC1"/>
    <w:rsid w:val="00BB45D5"/>
    <w:rsid w:val="00BB7026"/>
    <w:rsid w:val="00BB78FE"/>
    <w:rsid w:val="00BC3524"/>
    <w:rsid w:val="00BC4F45"/>
    <w:rsid w:val="00BC54AA"/>
    <w:rsid w:val="00BC641A"/>
    <w:rsid w:val="00BC7731"/>
    <w:rsid w:val="00BD1B90"/>
    <w:rsid w:val="00BD1E9C"/>
    <w:rsid w:val="00BD60FE"/>
    <w:rsid w:val="00BD79B7"/>
    <w:rsid w:val="00BE0C23"/>
    <w:rsid w:val="00BE24AB"/>
    <w:rsid w:val="00BE3245"/>
    <w:rsid w:val="00BE3AF0"/>
    <w:rsid w:val="00BE66C7"/>
    <w:rsid w:val="00BF1BF1"/>
    <w:rsid w:val="00BF23C0"/>
    <w:rsid w:val="00BF26BF"/>
    <w:rsid w:val="00BF2FC4"/>
    <w:rsid w:val="00BF412E"/>
    <w:rsid w:val="00BF42D8"/>
    <w:rsid w:val="00BF52BA"/>
    <w:rsid w:val="00BF5CE4"/>
    <w:rsid w:val="00BF6AE3"/>
    <w:rsid w:val="00BF75AF"/>
    <w:rsid w:val="00BF7E48"/>
    <w:rsid w:val="00C0010B"/>
    <w:rsid w:val="00C005A4"/>
    <w:rsid w:val="00C00C9F"/>
    <w:rsid w:val="00C02A0B"/>
    <w:rsid w:val="00C03B66"/>
    <w:rsid w:val="00C03CF5"/>
    <w:rsid w:val="00C04640"/>
    <w:rsid w:val="00C04919"/>
    <w:rsid w:val="00C05C2D"/>
    <w:rsid w:val="00C07F4E"/>
    <w:rsid w:val="00C10448"/>
    <w:rsid w:val="00C10AA1"/>
    <w:rsid w:val="00C14A77"/>
    <w:rsid w:val="00C15E9A"/>
    <w:rsid w:val="00C169CF"/>
    <w:rsid w:val="00C232B8"/>
    <w:rsid w:val="00C2349F"/>
    <w:rsid w:val="00C24BE4"/>
    <w:rsid w:val="00C24C46"/>
    <w:rsid w:val="00C250C7"/>
    <w:rsid w:val="00C25E4B"/>
    <w:rsid w:val="00C26F36"/>
    <w:rsid w:val="00C27CD0"/>
    <w:rsid w:val="00C35445"/>
    <w:rsid w:val="00C41B13"/>
    <w:rsid w:val="00C42069"/>
    <w:rsid w:val="00C436F6"/>
    <w:rsid w:val="00C43848"/>
    <w:rsid w:val="00C476AD"/>
    <w:rsid w:val="00C50318"/>
    <w:rsid w:val="00C50CFB"/>
    <w:rsid w:val="00C52BB3"/>
    <w:rsid w:val="00C54066"/>
    <w:rsid w:val="00C54629"/>
    <w:rsid w:val="00C55421"/>
    <w:rsid w:val="00C62FB0"/>
    <w:rsid w:val="00C65322"/>
    <w:rsid w:val="00C66210"/>
    <w:rsid w:val="00C67C43"/>
    <w:rsid w:val="00C710C7"/>
    <w:rsid w:val="00C71B36"/>
    <w:rsid w:val="00C73C9D"/>
    <w:rsid w:val="00C76FCE"/>
    <w:rsid w:val="00C81458"/>
    <w:rsid w:val="00C857F8"/>
    <w:rsid w:val="00C920C0"/>
    <w:rsid w:val="00C92B5D"/>
    <w:rsid w:val="00C92F79"/>
    <w:rsid w:val="00C94EA8"/>
    <w:rsid w:val="00C951D7"/>
    <w:rsid w:val="00C974FC"/>
    <w:rsid w:val="00CA089D"/>
    <w:rsid w:val="00CA189C"/>
    <w:rsid w:val="00CA2217"/>
    <w:rsid w:val="00CA57A1"/>
    <w:rsid w:val="00CA6FC9"/>
    <w:rsid w:val="00CB2D18"/>
    <w:rsid w:val="00CB3E45"/>
    <w:rsid w:val="00CB4E16"/>
    <w:rsid w:val="00CB71A8"/>
    <w:rsid w:val="00CC0210"/>
    <w:rsid w:val="00CC0614"/>
    <w:rsid w:val="00CC2D86"/>
    <w:rsid w:val="00CC3A96"/>
    <w:rsid w:val="00CC717F"/>
    <w:rsid w:val="00CC7DEA"/>
    <w:rsid w:val="00CD02BF"/>
    <w:rsid w:val="00CD2E7A"/>
    <w:rsid w:val="00CD3E47"/>
    <w:rsid w:val="00CE1412"/>
    <w:rsid w:val="00CE1F49"/>
    <w:rsid w:val="00CE3DC3"/>
    <w:rsid w:val="00CE4710"/>
    <w:rsid w:val="00CE4AAE"/>
    <w:rsid w:val="00CE52D2"/>
    <w:rsid w:val="00CE5CBC"/>
    <w:rsid w:val="00CE7DD2"/>
    <w:rsid w:val="00CE7E75"/>
    <w:rsid w:val="00CF151D"/>
    <w:rsid w:val="00CF3730"/>
    <w:rsid w:val="00CF3B5D"/>
    <w:rsid w:val="00CF473D"/>
    <w:rsid w:val="00CF496F"/>
    <w:rsid w:val="00CF5583"/>
    <w:rsid w:val="00CF55D2"/>
    <w:rsid w:val="00CF74E9"/>
    <w:rsid w:val="00CF77C4"/>
    <w:rsid w:val="00D01C4E"/>
    <w:rsid w:val="00D01FEA"/>
    <w:rsid w:val="00D02659"/>
    <w:rsid w:val="00D0285F"/>
    <w:rsid w:val="00D03ADC"/>
    <w:rsid w:val="00D050DE"/>
    <w:rsid w:val="00D05811"/>
    <w:rsid w:val="00D06466"/>
    <w:rsid w:val="00D06B1D"/>
    <w:rsid w:val="00D072CD"/>
    <w:rsid w:val="00D07D52"/>
    <w:rsid w:val="00D10057"/>
    <w:rsid w:val="00D1239D"/>
    <w:rsid w:val="00D1577F"/>
    <w:rsid w:val="00D15815"/>
    <w:rsid w:val="00D15DF6"/>
    <w:rsid w:val="00D16BA4"/>
    <w:rsid w:val="00D17DC8"/>
    <w:rsid w:val="00D200C6"/>
    <w:rsid w:val="00D205CC"/>
    <w:rsid w:val="00D20828"/>
    <w:rsid w:val="00D20CEC"/>
    <w:rsid w:val="00D2219A"/>
    <w:rsid w:val="00D22770"/>
    <w:rsid w:val="00D239E3"/>
    <w:rsid w:val="00D23BBB"/>
    <w:rsid w:val="00D26B61"/>
    <w:rsid w:val="00D27A43"/>
    <w:rsid w:val="00D27FAD"/>
    <w:rsid w:val="00D30F42"/>
    <w:rsid w:val="00D32EB7"/>
    <w:rsid w:val="00D33ACB"/>
    <w:rsid w:val="00D33EC3"/>
    <w:rsid w:val="00D34157"/>
    <w:rsid w:val="00D35CA8"/>
    <w:rsid w:val="00D36096"/>
    <w:rsid w:val="00D3668B"/>
    <w:rsid w:val="00D371A7"/>
    <w:rsid w:val="00D41580"/>
    <w:rsid w:val="00D42DAB"/>
    <w:rsid w:val="00D4437D"/>
    <w:rsid w:val="00D45014"/>
    <w:rsid w:val="00D45050"/>
    <w:rsid w:val="00D465AF"/>
    <w:rsid w:val="00D466D1"/>
    <w:rsid w:val="00D4739D"/>
    <w:rsid w:val="00D505D6"/>
    <w:rsid w:val="00D50A1F"/>
    <w:rsid w:val="00D51402"/>
    <w:rsid w:val="00D516F5"/>
    <w:rsid w:val="00D52357"/>
    <w:rsid w:val="00D5357C"/>
    <w:rsid w:val="00D55B00"/>
    <w:rsid w:val="00D55D57"/>
    <w:rsid w:val="00D56ECD"/>
    <w:rsid w:val="00D604D3"/>
    <w:rsid w:val="00D63339"/>
    <w:rsid w:val="00D671C9"/>
    <w:rsid w:val="00D6722E"/>
    <w:rsid w:val="00D70920"/>
    <w:rsid w:val="00D71146"/>
    <w:rsid w:val="00D71335"/>
    <w:rsid w:val="00D73B6B"/>
    <w:rsid w:val="00D762AE"/>
    <w:rsid w:val="00D82AC3"/>
    <w:rsid w:val="00D844A0"/>
    <w:rsid w:val="00D84AF0"/>
    <w:rsid w:val="00D854DF"/>
    <w:rsid w:val="00D85624"/>
    <w:rsid w:val="00D87391"/>
    <w:rsid w:val="00D904BD"/>
    <w:rsid w:val="00D91398"/>
    <w:rsid w:val="00D9260F"/>
    <w:rsid w:val="00D9391A"/>
    <w:rsid w:val="00D94E7D"/>
    <w:rsid w:val="00D95999"/>
    <w:rsid w:val="00D96382"/>
    <w:rsid w:val="00DA04DC"/>
    <w:rsid w:val="00DA1D20"/>
    <w:rsid w:val="00DA2A7E"/>
    <w:rsid w:val="00DA428A"/>
    <w:rsid w:val="00DA525D"/>
    <w:rsid w:val="00DA6080"/>
    <w:rsid w:val="00DA7BC2"/>
    <w:rsid w:val="00DA7EED"/>
    <w:rsid w:val="00DB16B7"/>
    <w:rsid w:val="00DB4736"/>
    <w:rsid w:val="00DB47F8"/>
    <w:rsid w:val="00DB685D"/>
    <w:rsid w:val="00DC0186"/>
    <w:rsid w:val="00DC0779"/>
    <w:rsid w:val="00DC1009"/>
    <w:rsid w:val="00DC1D1B"/>
    <w:rsid w:val="00DC2073"/>
    <w:rsid w:val="00DC3342"/>
    <w:rsid w:val="00DC4DA2"/>
    <w:rsid w:val="00DC61EB"/>
    <w:rsid w:val="00DC7217"/>
    <w:rsid w:val="00DD351D"/>
    <w:rsid w:val="00DD36EA"/>
    <w:rsid w:val="00DD4EFA"/>
    <w:rsid w:val="00DE0389"/>
    <w:rsid w:val="00DE0804"/>
    <w:rsid w:val="00DE1634"/>
    <w:rsid w:val="00DE16EF"/>
    <w:rsid w:val="00DE1DD0"/>
    <w:rsid w:val="00DE30E5"/>
    <w:rsid w:val="00DE6648"/>
    <w:rsid w:val="00DE6A2E"/>
    <w:rsid w:val="00DE72AB"/>
    <w:rsid w:val="00DE72C5"/>
    <w:rsid w:val="00DF4705"/>
    <w:rsid w:val="00DF617F"/>
    <w:rsid w:val="00DF6D87"/>
    <w:rsid w:val="00DF7764"/>
    <w:rsid w:val="00E02F20"/>
    <w:rsid w:val="00E05102"/>
    <w:rsid w:val="00E068CF"/>
    <w:rsid w:val="00E07958"/>
    <w:rsid w:val="00E07F4D"/>
    <w:rsid w:val="00E10029"/>
    <w:rsid w:val="00E10099"/>
    <w:rsid w:val="00E104EA"/>
    <w:rsid w:val="00E10ED4"/>
    <w:rsid w:val="00E120DE"/>
    <w:rsid w:val="00E13896"/>
    <w:rsid w:val="00E20339"/>
    <w:rsid w:val="00E20C9C"/>
    <w:rsid w:val="00E21EC7"/>
    <w:rsid w:val="00E22102"/>
    <w:rsid w:val="00E227B8"/>
    <w:rsid w:val="00E22D5D"/>
    <w:rsid w:val="00E30099"/>
    <w:rsid w:val="00E33422"/>
    <w:rsid w:val="00E353D1"/>
    <w:rsid w:val="00E3595B"/>
    <w:rsid w:val="00E35975"/>
    <w:rsid w:val="00E3618F"/>
    <w:rsid w:val="00E412D5"/>
    <w:rsid w:val="00E42A85"/>
    <w:rsid w:val="00E43140"/>
    <w:rsid w:val="00E438A3"/>
    <w:rsid w:val="00E44F25"/>
    <w:rsid w:val="00E46DCE"/>
    <w:rsid w:val="00E47DD0"/>
    <w:rsid w:val="00E5289E"/>
    <w:rsid w:val="00E54C68"/>
    <w:rsid w:val="00E56D68"/>
    <w:rsid w:val="00E56DDC"/>
    <w:rsid w:val="00E57141"/>
    <w:rsid w:val="00E6557D"/>
    <w:rsid w:val="00E656F1"/>
    <w:rsid w:val="00E672F6"/>
    <w:rsid w:val="00E67FA1"/>
    <w:rsid w:val="00E7002C"/>
    <w:rsid w:val="00E72B0E"/>
    <w:rsid w:val="00E738C0"/>
    <w:rsid w:val="00E76EB6"/>
    <w:rsid w:val="00E7780E"/>
    <w:rsid w:val="00E8014D"/>
    <w:rsid w:val="00E81189"/>
    <w:rsid w:val="00E84389"/>
    <w:rsid w:val="00E84C7E"/>
    <w:rsid w:val="00E85C33"/>
    <w:rsid w:val="00E865A3"/>
    <w:rsid w:val="00E87647"/>
    <w:rsid w:val="00E903C1"/>
    <w:rsid w:val="00E91128"/>
    <w:rsid w:val="00E91C3F"/>
    <w:rsid w:val="00E92364"/>
    <w:rsid w:val="00E92830"/>
    <w:rsid w:val="00E9579F"/>
    <w:rsid w:val="00E97E88"/>
    <w:rsid w:val="00EA1DBD"/>
    <w:rsid w:val="00EA31FC"/>
    <w:rsid w:val="00EA3989"/>
    <w:rsid w:val="00EA47D9"/>
    <w:rsid w:val="00EA63D7"/>
    <w:rsid w:val="00EB4201"/>
    <w:rsid w:val="00EB439C"/>
    <w:rsid w:val="00EB7989"/>
    <w:rsid w:val="00EC037A"/>
    <w:rsid w:val="00EC1664"/>
    <w:rsid w:val="00EC6B35"/>
    <w:rsid w:val="00EC7B83"/>
    <w:rsid w:val="00ED13CF"/>
    <w:rsid w:val="00ED14BF"/>
    <w:rsid w:val="00ED15AD"/>
    <w:rsid w:val="00ED1B86"/>
    <w:rsid w:val="00ED526A"/>
    <w:rsid w:val="00ED5A10"/>
    <w:rsid w:val="00ED6E9A"/>
    <w:rsid w:val="00EE0482"/>
    <w:rsid w:val="00EE0668"/>
    <w:rsid w:val="00EE22A3"/>
    <w:rsid w:val="00EE271B"/>
    <w:rsid w:val="00EE2D68"/>
    <w:rsid w:val="00EE3452"/>
    <w:rsid w:val="00EE4039"/>
    <w:rsid w:val="00EE679F"/>
    <w:rsid w:val="00EF0B75"/>
    <w:rsid w:val="00EF0EAD"/>
    <w:rsid w:val="00EF1E83"/>
    <w:rsid w:val="00EF2E96"/>
    <w:rsid w:val="00EF35B6"/>
    <w:rsid w:val="00EF3E36"/>
    <w:rsid w:val="00EF6729"/>
    <w:rsid w:val="00F013F9"/>
    <w:rsid w:val="00F033E2"/>
    <w:rsid w:val="00F05863"/>
    <w:rsid w:val="00F070D0"/>
    <w:rsid w:val="00F074B1"/>
    <w:rsid w:val="00F10898"/>
    <w:rsid w:val="00F1276E"/>
    <w:rsid w:val="00F13747"/>
    <w:rsid w:val="00F156B8"/>
    <w:rsid w:val="00F1632D"/>
    <w:rsid w:val="00F1652C"/>
    <w:rsid w:val="00F1756F"/>
    <w:rsid w:val="00F17933"/>
    <w:rsid w:val="00F25FB7"/>
    <w:rsid w:val="00F2695B"/>
    <w:rsid w:val="00F31BB4"/>
    <w:rsid w:val="00F31BC7"/>
    <w:rsid w:val="00F330D4"/>
    <w:rsid w:val="00F34E02"/>
    <w:rsid w:val="00F35499"/>
    <w:rsid w:val="00F358C0"/>
    <w:rsid w:val="00F41E02"/>
    <w:rsid w:val="00F4437C"/>
    <w:rsid w:val="00F451FD"/>
    <w:rsid w:val="00F50C08"/>
    <w:rsid w:val="00F53675"/>
    <w:rsid w:val="00F538E7"/>
    <w:rsid w:val="00F54E59"/>
    <w:rsid w:val="00F5568E"/>
    <w:rsid w:val="00F5753A"/>
    <w:rsid w:val="00F57DCD"/>
    <w:rsid w:val="00F604CB"/>
    <w:rsid w:val="00F62474"/>
    <w:rsid w:val="00F636DC"/>
    <w:rsid w:val="00F65DC9"/>
    <w:rsid w:val="00F70DB2"/>
    <w:rsid w:val="00F71D41"/>
    <w:rsid w:val="00F72E9B"/>
    <w:rsid w:val="00F746AF"/>
    <w:rsid w:val="00F7470F"/>
    <w:rsid w:val="00F771F4"/>
    <w:rsid w:val="00F776FE"/>
    <w:rsid w:val="00F8147B"/>
    <w:rsid w:val="00F81E91"/>
    <w:rsid w:val="00F87C2B"/>
    <w:rsid w:val="00F87E6E"/>
    <w:rsid w:val="00F932A7"/>
    <w:rsid w:val="00F937E3"/>
    <w:rsid w:val="00F94060"/>
    <w:rsid w:val="00F9417B"/>
    <w:rsid w:val="00F95291"/>
    <w:rsid w:val="00FA2588"/>
    <w:rsid w:val="00FA32FC"/>
    <w:rsid w:val="00FA3F70"/>
    <w:rsid w:val="00FA4047"/>
    <w:rsid w:val="00FA55C8"/>
    <w:rsid w:val="00FA753E"/>
    <w:rsid w:val="00FB1065"/>
    <w:rsid w:val="00FB261D"/>
    <w:rsid w:val="00FB39A8"/>
    <w:rsid w:val="00FB4508"/>
    <w:rsid w:val="00FB5887"/>
    <w:rsid w:val="00FB7177"/>
    <w:rsid w:val="00FB73A8"/>
    <w:rsid w:val="00FC1102"/>
    <w:rsid w:val="00FC11EE"/>
    <w:rsid w:val="00FC44AA"/>
    <w:rsid w:val="00FC57C2"/>
    <w:rsid w:val="00FC5DE9"/>
    <w:rsid w:val="00FD04D0"/>
    <w:rsid w:val="00FD08BA"/>
    <w:rsid w:val="00FD0C3A"/>
    <w:rsid w:val="00FD1FC1"/>
    <w:rsid w:val="00FD26E4"/>
    <w:rsid w:val="00FD38AD"/>
    <w:rsid w:val="00FD44F7"/>
    <w:rsid w:val="00FD6F75"/>
    <w:rsid w:val="00FD72FC"/>
    <w:rsid w:val="00FD77AD"/>
    <w:rsid w:val="00FE1144"/>
    <w:rsid w:val="00FE260C"/>
    <w:rsid w:val="00FE26CF"/>
    <w:rsid w:val="00FE6EA8"/>
    <w:rsid w:val="00FE7414"/>
    <w:rsid w:val="00FE7AAB"/>
    <w:rsid w:val="00FF30C1"/>
    <w:rsid w:val="00FF44A3"/>
    <w:rsid w:val="00FF5072"/>
    <w:rsid w:val="00FF6E6F"/>
    <w:rsid w:val="00FF752F"/>
    <w:rsid w:val="00FF7808"/>
    <w:rsid w:val="00FF793C"/>
    <w:rsid w:val="00FF7A0E"/>
    <w:rsid w:val="03970A41"/>
    <w:rsid w:val="071F3378"/>
    <w:rsid w:val="09F150BA"/>
    <w:rsid w:val="16766474"/>
    <w:rsid w:val="4DED180A"/>
    <w:rsid w:val="54F974BE"/>
    <w:rsid w:val="598A78EB"/>
    <w:rsid w:val="5A380F0B"/>
    <w:rsid w:val="650B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0"/>
    <w:rPr>
      <w:b/>
      <w:bCs/>
    </w:rPr>
  </w:style>
  <w:style w:type="table" w:styleId="8">
    <w:name w:val="Table Grid"/>
    <w:basedOn w:val="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themeColor="hyperlink"/>
      <w:u w:val="single"/>
      <w14:textFill>
        <w14:solidFill>
          <w14:schemeClr w14:val="hlink"/>
        </w14:solidFill>
      </w14:textFill>
    </w:rPr>
  </w:style>
  <w:style w:type="character" w:styleId="11">
    <w:name w:val="annotation reference"/>
    <w:basedOn w:val="9"/>
    <w:semiHidden/>
    <w:unhideWhenUsed/>
    <w:qFormat/>
    <w:uiPriority w:val="0"/>
    <w:rPr>
      <w:sz w:val="21"/>
      <w:szCs w:val="21"/>
    </w:rPr>
  </w:style>
  <w:style w:type="character" w:customStyle="1" w:styleId="12">
    <w:name w:val="页眉 Char"/>
    <w:link w:val="5"/>
    <w:uiPriority w:val="99"/>
    <w:rPr>
      <w:rFonts w:ascii="宋体" w:hAnsi="宋体" w:eastAsia="宋体" w:cs="宋体"/>
      <w:sz w:val="18"/>
      <w:szCs w:val="18"/>
    </w:rPr>
  </w:style>
  <w:style w:type="character" w:customStyle="1" w:styleId="13">
    <w:name w:val="页脚 Char"/>
    <w:link w:val="4"/>
    <w:qFormat/>
    <w:uiPriority w:val="99"/>
    <w:rPr>
      <w:rFonts w:ascii="宋体" w:hAnsi="宋体" w:eastAsia="宋体" w:cs="宋体"/>
      <w:sz w:val="18"/>
      <w:szCs w:val="18"/>
    </w:rPr>
  </w:style>
  <w:style w:type="character" w:customStyle="1" w:styleId="14">
    <w:name w:val="批注框文本 Char"/>
    <w:link w:val="3"/>
    <w:qFormat/>
    <w:uiPriority w:val="0"/>
    <w:rPr>
      <w:rFonts w:ascii="宋体" w:hAnsi="宋体" w:eastAsia="宋体" w:cs="宋体"/>
      <w:sz w:val="18"/>
      <w:szCs w:val="18"/>
    </w:rPr>
  </w:style>
  <w:style w:type="paragraph" w:customStyle="1" w:styleId="15">
    <w:name w:val="普通(网站)1"/>
    <w:basedOn w:val="1"/>
    <w:qFormat/>
    <w:uiPriority w:val="0"/>
    <w:pPr>
      <w:spacing w:before="100" w:beforeAutospacing="1" w:after="100" w:afterAutospacing="1"/>
    </w:pPr>
  </w:style>
  <w:style w:type="character" w:customStyle="1" w:styleId="16">
    <w:name w:val="批注文字 Char"/>
    <w:basedOn w:val="9"/>
    <w:link w:val="2"/>
    <w:qFormat/>
    <w:uiPriority w:val="99"/>
    <w:rPr>
      <w:rFonts w:ascii="宋体" w:hAnsi="宋体" w:cs="宋体"/>
      <w:sz w:val="24"/>
      <w:szCs w:val="24"/>
    </w:rPr>
  </w:style>
  <w:style w:type="character" w:customStyle="1" w:styleId="17">
    <w:name w:val="批注主题 Char"/>
    <w:basedOn w:val="16"/>
    <w:link w:val="6"/>
    <w:semiHidden/>
    <w:uiPriority w:val="0"/>
    <w:rPr>
      <w:rFonts w:ascii="宋体" w:hAnsi="宋体" w:cs="宋体"/>
      <w:b/>
      <w:bCs/>
      <w:sz w:val="24"/>
      <w:szCs w:val="24"/>
    </w:rPr>
  </w:style>
  <w:style w:type="paragraph" w:styleId="18">
    <w:name w:val="List Paragraph"/>
    <w:basedOn w:val="1"/>
    <w:qFormat/>
    <w:uiPriority w:val="34"/>
    <w:pPr>
      <w:ind w:firstLine="420" w:firstLineChars="200"/>
    </w:pPr>
  </w:style>
  <w:style w:type="paragraph" w:customStyle="1" w:styleId="19">
    <w:name w:val="修订1"/>
    <w:hidden/>
    <w:semiHidden/>
    <w:uiPriority w:val="99"/>
    <w:rPr>
      <w:rFonts w:ascii="宋体" w:hAnsi="宋体" w:eastAsia="宋体" w:cs="宋体"/>
      <w:sz w:val="24"/>
      <w:szCs w:val="24"/>
      <w:lang w:val="en-US" w:eastAsia="zh-CN" w:bidi="ar-SA"/>
    </w:rPr>
  </w:style>
  <w:style w:type="paragraph" w:customStyle="1" w:styleId="20">
    <w:name w:val="Revision"/>
    <w:hidden/>
    <w:semiHidden/>
    <w:uiPriority w:val="99"/>
    <w:rPr>
      <w:rFonts w:ascii="宋体" w:hAnsi="宋体" w:eastAsia="宋体" w:cs="宋体"/>
      <w:sz w:val="24"/>
      <w:szCs w:val="24"/>
      <w:lang w:val="en-US" w:eastAsia="zh-CN" w:bidi="ar-SA"/>
    </w:rPr>
  </w:style>
  <w:style w:type="paragraph" w:customStyle="1" w:styleId="21">
    <w:name w:val="Char Char"/>
    <w:basedOn w:val="1"/>
    <w:qFormat/>
    <w:uiPriority w:val="0"/>
    <w:pPr>
      <w:widowControl w:val="0"/>
      <w:jc w:val="both"/>
    </w:pPr>
    <w:rPr>
      <w:rFonts w:ascii="Times New Roman" w:hAnsi="Times New Roman" w:cs="Times New Roman"/>
      <w:kern w:val="2"/>
      <w:sz w:val="21"/>
      <w:szCs w:val="20"/>
    </w:rPr>
  </w:style>
  <w:style w:type="paragraph" w:customStyle="1" w:styleId="22">
    <w:name w:val="正文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正文 New New New New New New New New New New New"/>
    <w:qFormat/>
    <w:uiPriority w:val="0"/>
    <w:pPr>
      <w:autoSpaceDE w:val="0"/>
      <w:autoSpaceDN w:val="0"/>
      <w:adjustRightInd w:val="0"/>
    </w:pPr>
    <w:rPr>
      <w:rFonts w:ascii="宋体" w:hAnsi="Times New Roman" w:eastAsia="宋体" w:cs="Times New Roman"/>
      <w:lang w:val="en-US" w:eastAsia="zh-CN" w:bidi="ar-SA"/>
    </w:rPr>
  </w:style>
  <w:style w:type="character" w:customStyle="1" w:styleId="24">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ZXB\&#39033;&#30446;&#24211;\04.&#31995;&#32479;&#35774;&#35745;\&#35814;&#32454;&#35774;&#35745;\&#20135;&#21697;&#31649;&#29702;\&#20449;&#24687;&#25259;&#38706;\&#20449;&#24687;&#25259;&#38706;&#27169;&#26495;\&#27169;&#26495;&#25991;&#20214;\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DC3FF-9D39-41C3-9DAB-4FCFC6452823}">
  <ds:schemaRefs/>
</ds:datastoreItem>
</file>

<file path=docProps/app.xml><?xml version="1.0" encoding="utf-8"?>
<Properties xmlns="http://schemas.openxmlformats.org/officeDocument/2006/extended-properties" xmlns:vt="http://schemas.openxmlformats.org/officeDocument/2006/docPropsVTypes">
  <Template>Normal_Wordconv</Template>
  <Company>citicbank</Company>
  <Pages>4</Pages>
  <Words>11195</Words>
  <Characters>11358</Characters>
  <Lines>397</Lines>
  <Paragraphs>111</Paragraphs>
  <TotalTime>367</TotalTime>
  <ScaleCrop>false</ScaleCrop>
  <LinksUpToDate>false</LinksUpToDate>
  <CharactersWithSpaces>11548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2023-09-15T02:13:00Z</dcterms:created>
  <dc:creator>王晓明</dc:creator>
  <cp:lastModifiedBy>壹欣壹易</cp:lastModifiedBy>
  <cp:lastPrinted>2024-01-29T09:56:00Z</cp:lastPrinted>
  <dcterms:modified xsi:type="dcterms:W3CDTF">2025-10-10T00:47:08Z</dcterms:modified>
  <dc:title>产品说明书</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eyJoZGlkIjoiOGUzZmYzYmVlZjc1MWUwOTI3NGQxYjhiMTUxZWUyODIiLCJ1c2VySWQiOiI3NDYwMDI2MzkifQ==</vt:lpwstr>
  </property>
  <property fmtid="{D5CDD505-2E9C-101B-9397-08002B2CF9AE}" pid="4" name="ICV">
    <vt:lpwstr>B9A304771CF0405DB47E03A28BEFF1AF_12</vt:lpwstr>
  </property>
</Properties>
</file>