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7FC82">
      <w:pPr>
        <w:pStyle w:val="15"/>
        <w:wordWrap w:val="0"/>
        <w:spacing w:line="400" w:lineRule="exact"/>
        <w:ind w:right="280" w:firstLine="480" w:firstLineChars="200"/>
        <w:jc w:val="right"/>
        <w:rPr>
          <w:rFonts w:ascii="仿宋" w:hAnsi="仿宋" w:eastAsia="仿宋" w:cs="仿宋"/>
          <w:sz w:val="28"/>
          <w:szCs w:val="28"/>
        </w:rPr>
      </w:pPr>
      <w:r>
        <w:rPr>
          <w:rFonts w:hint="eastAsia" w:ascii="仿宋" w:hAnsi="仿宋" w:eastAsia="仿宋" w:cs="仿宋"/>
          <w:szCs w:val="28"/>
        </w:rPr>
        <w:t xml:space="preserve">          </w:t>
      </w:r>
      <w:bookmarkStart w:id="0" w:name="OLE_LINK1"/>
      <w:r>
        <w:rPr>
          <w:rFonts w:hint="eastAsia" w:ascii="仿宋" w:hAnsi="仿宋" w:eastAsia="仿宋" w:cs="仿宋"/>
          <w:bCs/>
          <w:sz w:val="28"/>
          <w:szCs w:val="28"/>
        </w:rPr>
        <w:t>合同编号：（                     ）号</w:t>
      </w:r>
    </w:p>
    <w:p w14:paraId="7D4A50AC">
      <w:pPr>
        <w:rPr>
          <w:rFonts w:ascii="宋体" w:hAnsi="宋体"/>
          <w:b/>
          <w:color w:val="000000"/>
          <w:sz w:val="28"/>
        </w:rPr>
      </w:pPr>
    </w:p>
    <w:p w14:paraId="3BBB2F29">
      <w:pPr>
        <w:pStyle w:val="16"/>
        <w:jc w:val="center"/>
        <w:rPr>
          <w:rFonts w:ascii="仿宋" w:hAnsi="仿宋" w:eastAsia="仿宋" w:cs="仿宋"/>
          <w:sz w:val="52"/>
          <w:szCs w:val="52"/>
        </w:rPr>
      </w:pPr>
    </w:p>
    <w:p w14:paraId="49BA4D11">
      <w:pPr>
        <w:pStyle w:val="16"/>
        <w:jc w:val="center"/>
        <w:rPr>
          <w:rFonts w:ascii="仿宋" w:hAnsi="仿宋" w:eastAsia="仿宋" w:cs="仿宋"/>
          <w:sz w:val="52"/>
          <w:szCs w:val="52"/>
        </w:rPr>
      </w:pPr>
    </w:p>
    <w:p w14:paraId="39F2F3B4">
      <w:pPr>
        <w:pStyle w:val="16"/>
        <w:jc w:val="center"/>
        <w:rPr>
          <w:rFonts w:ascii="仿宋" w:hAnsi="仿宋" w:eastAsia="仿宋" w:cs="仿宋"/>
          <w:sz w:val="52"/>
          <w:szCs w:val="52"/>
        </w:rPr>
      </w:pPr>
    </w:p>
    <w:p w14:paraId="2D64CDE3">
      <w:pPr>
        <w:pStyle w:val="16"/>
        <w:jc w:val="center"/>
        <w:rPr>
          <w:rFonts w:cs="仿宋" w:asciiTheme="majorEastAsia" w:hAnsiTheme="majorEastAsia" w:eastAsiaTheme="majorEastAsia"/>
          <w:sz w:val="52"/>
          <w:szCs w:val="52"/>
        </w:rPr>
      </w:pPr>
      <w:r>
        <w:rPr>
          <w:rFonts w:hint="eastAsia" w:cs="仿宋" w:asciiTheme="majorEastAsia" w:hAnsiTheme="majorEastAsia" w:eastAsiaTheme="majorEastAsia"/>
          <w:sz w:val="52"/>
          <w:szCs w:val="52"/>
        </w:rPr>
        <w:t>信银理财理财产品销售总协议</w:t>
      </w:r>
    </w:p>
    <w:p w14:paraId="43D49161">
      <w:pPr>
        <w:pStyle w:val="16"/>
        <w:jc w:val="center"/>
        <w:rPr>
          <w:rFonts w:cs="仿宋" w:asciiTheme="majorEastAsia" w:hAnsiTheme="majorEastAsia" w:eastAsiaTheme="majorEastAsia"/>
          <w:sz w:val="52"/>
          <w:szCs w:val="52"/>
        </w:rPr>
      </w:pPr>
      <w:r>
        <w:rPr>
          <w:rFonts w:hint="eastAsia" w:cs="仿宋" w:asciiTheme="majorEastAsia" w:hAnsiTheme="majorEastAsia" w:eastAsiaTheme="majorEastAsia"/>
          <w:sz w:val="52"/>
          <w:szCs w:val="52"/>
        </w:rPr>
        <w:t>（适用于个人客户）</w:t>
      </w:r>
    </w:p>
    <w:p w14:paraId="1034A4EF">
      <w:pPr>
        <w:pStyle w:val="16"/>
        <w:jc w:val="center"/>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.0版，</w:t>
      </w:r>
      <w:r>
        <w:rPr>
          <w:rFonts w:ascii="仿宋" w:hAnsi="仿宋" w:eastAsia="仿宋" w:cs="仿宋"/>
          <w:sz w:val="28"/>
          <w:szCs w:val="28"/>
        </w:rPr>
        <w:t>2023</w:t>
      </w:r>
      <w:r>
        <w:rPr>
          <w:rFonts w:hint="eastAsia" w:ascii="仿宋" w:hAnsi="仿宋" w:eastAsia="仿宋" w:cs="仿宋"/>
          <w:sz w:val="28"/>
          <w:szCs w:val="28"/>
        </w:rPr>
        <w:t>年）</w:t>
      </w:r>
    </w:p>
    <w:p w14:paraId="73EB883F">
      <w:pPr>
        <w:widowControl/>
        <w:jc w:val="left"/>
        <w:rPr>
          <w:rFonts w:ascii="楷体_GB2312" w:hAnsi="Monotype Corsiva" w:eastAsia="楷体_GB2312"/>
          <w:b/>
          <w:color w:val="000000"/>
          <w:sz w:val="32"/>
        </w:rPr>
      </w:pPr>
      <w:r>
        <w:rPr>
          <w:rFonts w:ascii="楷体_GB2312" w:hAnsi="Monotype Corsiva" w:eastAsia="楷体_GB2312"/>
          <w:b/>
          <w:color w:val="000000"/>
          <w:sz w:val="32"/>
        </w:rPr>
        <w:br w:type="page"/>
      </w:r>
    </w:p>
    <w:p w14:paraId="7BA7725C">
      <w:pPr>
        <w:widowControl/>
        <w:jc w:val="center"/>
        <w:rPr>
          <w:rFonts w:ascii="宋体" w:hAnsi="宋体"/>
          <w:b/>
          <w:bCs/>
          <w:sz w:val="30"/>
        </w:rPr>
      </w:pPr>
    </w:p>
    <w:p w14:paraId="6FA913C6">
      <w:pPr>
        <w:widowControl/>
        <w:jc w:val="center"/>
        <w:rPr>
          <w:rFonts w:ascii="宋体" w:hAnsi="宋体"/>
          <w:b/>
          <w:bCs/>
          <w:sz w:val="30"/>
        </w:rPr>
      </w:pPr>
    </w:p>
    <w:p w14:paraId="29938796">
      <w:pPr>
        <w:widowControl/>
        <w:jc w:val="center"/>
        <w:rPr>
          <w:rFonts w:eastAsia="楷体_GB2312"/>
          <w:b/>
          <w:color w:val="000000"/>
          <w:sz w:val="32"/>
        </w:rPr>
      </w:pPr>
      <w:r>
        <w:rPr>
          <w:rFonts w:hint="eastAsia" w:ascii="宋体" w:hAnsi="宋体"/>
          <w:b/>
          <w:bCs/>
          <w:sz w:val="30"/>
        </w:rPr>
        <w:t>填写说明及提示</w:t>
      </w:r>
    </w:p>
    <w:p w14:paraId="70CB5138">
      <w:pPr>
        <w:pStyle w:val="14"/>
        <w:adjustRightInd w:val="0"/>
        <w:snapToGrid w:val="0"/>
        <w:spacing w:line="360" w:lineRule="auto"/>
        <w:jc w:val="left"/>
        <w:rPr>
          <w:rFonts w:ascii="宋体" w:hAnsi="宋体" w:eastAsia="宋体"/>
          <w:b/>
          <w:bCs/>
          <w:sz w:val="24"/>
          <w:szCs w:val="24"/>
        </w:rPr>
      </w:pPr>
    </w:p>
    <w:p w14:paraId="2B890B27">
      <w:pPr>
        <w:pStyle w:val="14"/>
        <w:adjustRightInd w:val="0"/>
        <w:snapToGrid w:val="0"/>
        <w:spacing w:line="360" w:lineRule="auto"/>
        <w:ind w:firstLine="849" w:firstLineChars="354"/>
        <w:jc w:val="left"/>
        <w:rPr>
          <w:rFonts w:ascii="宋体" w:hAnsi="宋体" w:eastAsia="宋体"/>
          <w:b/>
          <w:bCs/>
          <w:sz w:val="24"/>
          <w:szCs w:val="24"/>
        </w:rPr>
      </w:pPr>
      <w:r>
        <w:rPr>
          <w:rFonts w:ascii="宋体" w:hAnsi="宋体" w:eastAsia="宋体"/>
          <w:sz w:val="24"/>
          <w:szCs w:val="24"/>
        </w:rPr>
        <w:t xml:space="preserve">1. </w:t>
      </w:r>
      <w:r>
        <w:rPr>
          <w:rFonts w:hint="eastAsia" w:ascii="宋体" w:hAnsi="宋体" w:eastAsia="宋体"/>
          <w:sz w:val="24"/>
          <w:szCs w:val="24"/>
        </w:rPr>
        <w:t>本合同为</w:t>
      </w:r>
      <w:r>
        <w:rPr>
          <w:rFonts w:ascii="宋体" w:hAnsi="宋体" w:eastAsia="宋体"/>
          <w:sz w:val="24"/>
          <w:szCs w:val="24"/>
        </w:rPr>
        <w:t>我公司理财产品销售文件</w:t>
      </w:r>
      <w:r>
        <w:rPr>
          <w:rFonts w:hint="eastAsia" w:ascii="宋体" w:hAnsi="宋体" w:eastAsia="宋体"/>
          <w:sz w:val="24"/>
          <w:szCs w:val="24"/>
        </w:rPr>
        <w:t>，</w:t>
      </w:r>
      <w:r>
        <w:rPr>
          <w:rFonts w:ascii="宋体" w:hAnsi="宋体" w:eastAsia="宋体"/>
          <w:sz w:val="24"/>
          <w:szCs w:val="24"/>
        </w:rPr>
        <w:t>适用于直销场景。</w:t>
      </w:r>
    </w:p>
    <w:p w14:paraId="59325257">
      <w:pPr>
        <w:pStyle w:val="14"/>
        <w:adjustRightInd w:val="0"/>
        <w:snapToGrid w:val="0"/>
        <w:spacing w:line="360" w:lineRule="auto"/>
        <w:ind w:firstLine="849" w:firstLineChars="354"/>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．本合同空白处应填写完整，保证所有空格均填写入准确的内容， 如果确实没有必要填写的，请在空格处填入“×”。如非</w:t>
      </w:r>
      <w:r>
        <w:rPr>
          <w:rFonts w:ascii="宋体" w:hAnsi="宋体" w:eastAsia="宋体"/>
          <w:sz w:val="24"/>
          <w:szCs w:val="24"/>
        </w:rPr>
        <w:t>打印填写</w:t>
      </w:r>
      <w:r>
        <w:rPr>
          <w:rFonts w:hint="eastAsia" w:ascii="宋体" w:hAnsi="宋体" w:eastAsia="宋体"/>
          <w:sz w:val="24"/>
          <w:szCs w:val="24"/>
        </w:rPr>
        <w:t>，应使用蓝黑色或黑色签字笔或钢笔填写，</w:t>
      </w:r>
      <w:r>
        <w:rPr>
          <w:rFonts w:ascii="宋体" w:hAnsi="宋体" w:eastAsia="宋体"/>
          <w:sz w:val="24"/>
          <w:szCs w:val="24"/>
        </w:rPr>
        <w:t>保持</w:t>
      </w:r>
      <w:r>
        <w:rPr>
          <w:rFonts w:hint="eastAsia" w:ascii="宋体" w:hAnsi="宋体" w:eastAsia="宋体"/>
          <w:sz w:val="24"/>
          <w:szCs w:val="24"/>
        </w:rPr>
        <w:t>字迹清楚、工整。</w:t>
      </w:r>
    </w:p>
    <w:p w14:paraId="47F0324A">
      <w:pPr>
        <w:pStyle w:val="14"/>
        <w:adjustRightInd w:val="0"/>
        <w:snapToGrid w:val="0"/>
        <w:spacing w:line="360" w:lineRule="auto"/>
        <w:ind w:firstLine="849" w:firstLineChars="354"/>
        <w:jc w:val="left"/>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 xml:space="preserve">. </w:t>
      </w:r>
      <w:r>
        <w:rPr>
          <w:rFonts w:hint="eastAsia" w:ascii="宋体" w:hAnsi="宋体" w:eastAsia="宋体"/>
          <w:sz w:val="24"/>
          <w:szCs w:val="24"/>
        </w:rPr>
        <w:t>本部分（“</w:t>
      </w:r>
      <w:r>
        <w:rPr>
          <w:rFonts w:ascii="宋体" w:hAnsi="宋体" w:eastAsia="宋体"/>
          <w:sz w:val="24"/>
          <w:szCs w:val="24"/>
        </w:rPr>
        <w:t>填写</w:t>
      </w:r>
      <w:r>
        <w:rPr>
          <w:rFonts w:hint="eastAsia" w:ascii="宋体" w:hAnsi="宋体" w:eastAsia="宋体"/>
          <w:sz w:val="24"/>
          <w:szCs w:val="24"/>
        </w:rPr>
        <w:t>说明</w:t>
      </w:r>
      <w:r>
        <w:rPr>
          <w:rFonts w:ascii="宋体" w:hAnsi="宋体" w:eastAsia="宋体"/>
          <w:sz w:val="24"/>
          <w:szCs w:val="24"/>
        </w:rPr>
        <w:t>及提示</w:t>
      </w:r>
      <w:r>
        <w:rPr>
          <w:rFonts w:hint="eastAsia" w:ascii="宋体" w:hAnsi="宋体" w:eastAsia="宋体"/>
          <w:sz w:val="24"/>
          <w:szCs w:val="24"/>
        </w:rPr>
        <w:t>”）及</w:t>
      </w:r>
      <w:r>
        <w:rPr>
          <w:rFonts w:ascii="宋体" w:hAnsi="宋体" w:eastAsia="宋体"/>
          <w:sz w:val="24"/>
          <w:szCs w:val="24"/>
        </w:rPr>
        <w:t>合同正文</w:t>
      </w:r>
      <w:r>
        <w:rPr>
          <w:rFonts w:hint="eastAsia" w:ascii="宋体" w:hAnsi="宋体" w:eastAsia="宋体"/>
          <w:sz w:val="24"/>
          <w:szCs w:val="24"/>
        </w:rPr>
        <w:t>中相关</w:t>
      </w:r>
      <w:r>
        <w:rPr>
          <w:rFonts w:ascii="宋体" w:hAnsi="宋体" w:eastAsia="宋体"/>
          <w:sz w:val="24"/>
          <w:szCs w:val="24"/>
        </w:rPr>
        <w:t>注释</w:t>
      </w:r>
      <w:r>
        <w:rPr>
          <w:rFonts w:hint="eastAsia" w:ascii="宋体" w:hAnsi="宋体" w:eastAsia="宋体"/>
          <w:sz w:val="24"/>
          <w:szCs w:val="24"/>
        </w:rPr>
        <w:t>目的</w:t>
      </w:r>
      <w:r>
        <w:rPr>
          <w:rFonts w:ascii="宋体" w:hAnsi="宋体" w:eastAsia="宋体"/>
          <w:sz w:val="24"/>
          <w:szCs w:val="24"/>
        </w:rPr>
        <w:t>是提示</w:t>
      </w:r>
      <w:r>
        <w:rPr>
          <w:rFonts w:hint="eastAsia" w:ascii="宋体" w:hAnsi="宋体" w:eastAsia="宋体"/>
          <w:sz w:val="24"/>
          <w:szCs w:val="24"/>
        </w:rPr>
        <w:t>合同</w:t>
      </w:r>
      <w:r>
        <w:rPr>
          <w:rFonts w:ascii="宋体" w:hAnsi="宋体" w:eastAsia="宋体"/>
          <w:sz w:val="24"/>
          <w:szCs w:val="24"/>
        </w:rPr>
        <w:t>使用</w:t>
      </w:r>
      <w:r>
        <w:rPr>
          <w:rFonts w:hint="eastAsia" w:ascii="宋体" w:hAnsi="宋体" w:eastAsia="宋体"/>
          <w:sz w:val="24"/>
          <w:szCs w:val="24"/>
        </w:rPr>
        <w:t>人员</w:t>
      </w:r>
      <w:r>
        <w:rPr>
          <w:rFonts w:ascii="宋体" w:hAnsi="宋体" w:eastAsia="宋体"/>
          <w:sz w:val="24"/>
          <w:szCs w:val="24"/>
        </w:rPr>
        <w:t>相关注意事项</w:t>
      </w:r>
      <w:r>
        <w:rPr>
          <w:rFonts w:hint="eastAsia" w:ascii="宋体" w:hAnsi="宋体" w:eastAsia="宋体"/>
          <w:sz w:val="24"/>
          <w:szCs w:val="24"/>
        </w:rPr>
        <w:t>，</w:t>
      </w:r>
      <w:r>
        <w:rPr>
          <w:rFonts w:ascii="宋体" w:hAnsi="宋体" w:eastAsia="宋体"/>
          <w:sz w:val="24"/>
          <w:szCs w:val="24"/>
        </w:rPr>
        <w:t>在正式签署文本中应删除。</w:t>
      </w:r>
    </w:p>
    <w:p w14:paraId="4D87C02D">
      <w:pPr>
        <w:pStyle w:val="14"/>
        <w:adjustRightInd w:val="0"/>
        <w:snapToGrid w:val="0"/>
        <w:spacing w:line="360" w:lineRule="auto"/>
        <w:ind w:firstLine="849" w:firstLineChars="354"/>
        <w:jc w:val="left"/>
        <w:rPr>
          <w:rFonts w:ascii="宋体" w:hAnsi="宋体" w:eastAsia="宋体"/>
          <w:b/>
          <w:bCs/>
          <w:sz w:val="24"/>
          <w:szCs w:val="24"/>
        </w:rPr>
      </w:pPr>
      <w:r>
        <w:rPr>
          <w:rFonts w:hint="eastAsia" w:ascii="宋体" w:hAnsi="宋体" w:eastAsia="宋体"/>
          <w:sz w:val="24"/>
          <w:szCs w:val="24"/>
        </w:rPr>
        <w:t>4</w:t>
      </w:r>
      <w:r>
        <w:rPr>
          <w:rFonts w:ascii="宋体" w:hAnsi="宋体" w:eastAsia="宋体"/>
          <w:sz w:val="24"/>
          <w:szCs w:val="24"/>
        </w:rPr>
        <w:t>. 本合同中</w:t>
      </w:r>
      <w:r>
        <w:rPr>
          <w:rFonts w:hint="eastAsia" w:ascii="宋体" w:hAnsi="宋体" w:eastAsia="宋体"/>
          <w:sz w:val="24"/>
          <w:szCs w:val="24"/>
        </w:rPr>
        <w:t>商务</w:t>
      </w:r>
      <w:r>
        <w:rPr>
          <w:rFonts w:ascii="宋体" w:hAnsi="宋体" w:eastAsia="宋体"/>
          <w:sz w:val="24"/>
          <w:szCs w:val="24"/>
        </w:rPr>
        <w:t>要素</w:t>
      </w:r>
      <w:r>
        <w:rPr>
          <w:rFonts w:hint="eastAsia" w:ascii="宋体" w:hAnsi="宋体" w:eastAsia="宋体"/>
          <w:sz w:val="24"/>
          <w:szCs w:val="24"/>
        </w:rPr>
        <w:t>如</w:t>
      </w:r>
      <w:r>
        <w:rPr>
          <w:rFonts w:ascii="宋体" w:hAnsi="宋体" w:eastAsia="宋体"/>
          <w:sz w:val="24"/>
          <w:szCs w:val="24"/>
        </w:rPr>
        <w:t>与实际业务情况不符，请据实修改。</w:t>
      </w:r>
    </w:p>
    <w:p w14:paraId="60357BC4">
      <w:pPr>
        <w:widowControl/>
        <w:jc w:val="left"/>
        <w:rPr>
          <w:rFonts w:ascii="黑体" w:eastAsia="黑体"/>
          <w:b/>
          <w:sz w:val="28"/>
          <w:szCs w:val="28"/>
        </w:rPr>
      </w:pPr>
      <w:r>
        <w:rPr>
          <w:rFonts w:ascii="黑体" w:eastAsia="黑体"/>
          <w:b/>
          <w:sz w:val="28"/>
          <w:szCs w:val="28"/>
        </w:rPr>
        <w:br w:type="page"/>
      </w:r>
    </w:p>
    <w:bookmarkEnd w:id="0"/>
    <w:p w14:paraId="5F0CE160">
      <w:pPr>
        <w:spacing w:line="200" w:lineRule="atLeast"/>
        <w:jc w:val="center"/>
        <w:rPr>
          <w:rFonts w:ascii="黑体" w:eastAsia="黑体"/>
          <w:b/>
          <w:sz w:val="24"/>
          <w:szCs w:val="24"/>
        </w:rPr>
      </w:pPr>
    </w:p>
    <w:p w14:paraId="7DD192A2">
      <w:pPr>
        <w:ind w:left="-176" w:leftChars="-84" w:firstLine="410" w:firstLineChars="170"/>
        <w:rPr>
          <w:rFonts w:ascii="黑体" w:eastAsia="黑体"/>
          <w:b/>
          <w:sz w:val="24"/>
          <w:szCs w:val="24"/>
        </w:rPr>
      </w:pPr>
      <w:r>
        <w:rPr>
          <w:rFonts w:hint="eastAsia" w:ascii="黑体" w:eastAsia="黑体"/>
          <w:b/>
          <w:sz w:val="24"/>
          <w:szCs w:val="24"/>
        </w:rPr>
        <w:t>投资者：</w:t>
      </w:r>
      <w:r>
        <w:rPr>
          <w:rFonts w:hint="eastAsia" w:ascii="黑体" w:eastAsia="黑体"/>
          <w:b/>
          <w:sz w:val="24"/>
          <w:szCs w:val="24"/>
          <w:u w:val="single"/>
        </w:rPr>
        <w:t xml:space="preserve">          </w:t>
      </w:r>
      <w:r>
        <w:rPr>
          <w:rFonts w:hint="eastAsia" w:ascii="黑体" w:eastAsia="黑体"/>
          <w:b/>
          <w:sz w:val="24"/>
          <w:szCs w:val="24"/>
        </w:rPr>
        <w:t xml:space="preserve">     证件类别：</w:t>
      </w:r>
      <w:r>
        <w:rPr>
          <w:rFonts w:hint="eastAsia" w:ascii="黑体" w:eastAsia="黑体"/>
          <w:b/>
          <w:sz w:val="24"/>
          <w:szCs w:val="24"/>
          <w:u w:val="single"/>
        </w:rPr>
        <w:t xml:space="preserve">           </w:t>
      </w:r>
      <w:r>
        <w:rPr>
          <w:rFonts w:hint="eastAsia" w:ascii="黑体" w:eastAsia="黑体"/>
          <w:b/>
          <w:sz w:val="24"/>
          <w:szCs w:val="24"/>
        </w:rPr>
        <w:t xml:space="preserve">  证件号：</w:t>
      </w:r>
      <w:r>
        <w:rPr>
          <w:rFonts w:hint="eastAsia" w:ascii="黑体" w:eastAsia="黑体"/>
          <w:b/>
          <w:sz w:val="24"/>
          <w:szCs w:val="24"/>
          <w:u w:val="single"/>
        </w:rPr>
        <w:t xml:space="preserve">                         </w:t>
      </w:r>
    </w:p>
    <w:p w14:paraId="5DC2E2D4">
      <w:pPr>
        <w:ind w:left="-176" w:leftChars="-84" w:firstLine="410" w:firstLineChars="170"/>
        <w:rPr>
          <w:rFonts w:ascii="黑体" w:eastAsia="黑体"/>
          <w:b/>
          <w:sz w:val="24"/>
          <w:szCs w:val="24"/>
        </w:rPr>
      </w:pPr>
      <w:r>
        <w:rPr>
          <w:rFonts w:hint="eastAsia" w:ascii="黑体" w:eastAsia="黑体"/>
          <w:b/>
          <w:sz w:val="24"/>
          <w:szCs w:val="24"/>
        </w:rPr>
        <w:t>销售机构：信银理财有限责任公司（以下简称“信银理财”）</w:t>
      </w:r>
    </w:p>
    <w:p w14:paraId="70A7A818">
      <w:pPr>
        <w:ind w:left="-176" w:leftChars="-84" w:firstLine="410" w:firstLineChars="170"/>
        <w:rPr>
          <w:rFonts w:ascii="黑体" w:eastAsia="黑体"/>
          <w:b/>
          <w:sz w:val="24"/>
          <w:szCs w:val="24"/>
          <w:u w:val="single"/>
        </w:rPr>
      </w:pPr>
    </w:p>
    <w:p w14:paraId="02BE8CC4">
      <w:pPr>
        <w:rPr>
          <w:rFonts w:ascii="黑体" w:hAnsi="黑体" w:eastAsia="黑体"/>
          <w:sz w:val="24"/>
          <w:szCs w:val="24"/>
        </w:rPr>
      </w:pPr>
      <w:r>
        <w:rPr>
          <w:rFonts w:hint="eastAsia" w:ascii="黑体" w:eastAsia="黑体"/>
          <w:sz w:val="24"/>
          <w:szCs w:val="24"/>
        </w:rPr>
        <w:t xml:space="preserve">    </w:t>
      </w:r>
      <w:r>
        <w:rPr>
          <w:rFonts w:hint="eastAsia" w:ascii="黑体" w:hAnsi="黑体" w:eastAsia="黑体"/>
          <w:sz w:val="24"/>
          <w:szCs w:val="24"/>
        </w:rPr>
        <w:t>《信银理财理财产品销售总协议（适用于个人客户）》（简称“本协议”）为投资者购买信银理财直接销售的信银理财理财产品之总协议书，本协议一经签署即长期有效，除非双方书面签订了新的替代协议。信银理财兹此确认并经双方同意，在</w:t>
      </w:r>
      <w:r>
        <w:rPr>
          <w:rFonts w:ascii="黑体" w:hAnsi="黑体" w:eastAsia="黑体"/>
          <w:sz w:val="24"/>
          <w:szCs w:val="24"/>
        </w:rPr>
        <w:t>本协议有效期内，投资者在信银理财</w:t>
      </w:r>
      <w:r>
        <w:rPr>
          <w:rFonts w:hint="eastAsia" w:ascii="黑体" w:hAnsi="黑体" w:eastAsia="黑体"/>
          <w:sz w:val="24"/>
          <w:szCs w:val="24"/>
        </w:rPr>
        <w:t>营业场所或</w:t>
      </w:r>
      <w:r>
        <w:rPr>
          <w:rFonts w:hint="eastAsia" w:ascii="黑体" w:eastAsia="黑体"/>
          <w:sz w:val="24"/>
          <w:szCs w:val="24"/>
        </w:rPr>
        <w:t>电子渠道（</w:t>
      </w:r>
      <w:r>
        <w:rPr>
          <w:rFonts w:ascii="黑体" w:eastAsia="黑体"/>
          <w:sz w:val="24"/>
          <w:szCs w:val="24"/>
        </w:rPr>
        <w:t>包括但不限于</w:t>
      </w:r>
      <w:r>
        <w:rPr>
          <w:rFonts w:hint="eastAsia" w:ascii="黑体" w:eastAsia="黑体"/>
          <w:sz w:val="24"/>
          <w:szCs w:val="24"/>
        </w:rPr>
        <w:t>信银理财app</w:t>
      </w:r>
      <w:r>
        <w:rPr>
          <w:rFonts w:ascii="黑体" w:eastAsia="黑体"/>
          <w:sz w:val="24"/>
          <w:szCs w:val="24"/>
        </w:rPr>
        <w:t>，下同</w:t>
      </w:r>
      <w:r>
        <w:rPr>
          <w:rFonts w:hint="eastAsia" w:ascii="黑体" w:eastAsia="黑体"/>
          <w:sz w:val="24"/>
          <w:szCs w:val="24"/>
        </w:rPr>
        <w:t>）再次</w:t>
      </w:r>
      <w:r>
        <w:rPr>
          <w:rFonts w:ascii="黑体" w:hAnsi="黑体" w:eastAsia="黑体"/>
          <w:sz w:val="24"/>
          <w:szCs w:val="24"/>
        </w:rPr>
        <w:t>购买理财产品，均受本协议约束</w:t>
      </w:r>
      <w:r>
        <w:rPr>
          <w:rFonts w:hint="eastAsia" w:ascii="黑体" w:hAnsi="黑体" w:eastAsia="黑体"/>
          <w:sz w:val="24"/>
          <w:szCs w:val="24"/>
        </w:rPr>
        <w:t>，均</w:t>
      </w:r>
      <w:r>
        <w:rPr>
          <w:rFonts w:ascii="黑体" w:hAnsi="黑体" w:eastAsia="黑体"/>
          <w:sz w:val="24"/>
          <w:szCs w:val="24"/>
        </w:rPr>
        <w:t>作为本协议</w:t>
      </w:r>
      <w:r>
        <w:rPr>
          <w:rFonts w:hint="eastAsia" w:ascii="黑体" w:hAnsi="黑体" w:eastAsia="黑体"/>
          <w:sz w:val="24"/>
          <w:szCs w:val="24"/>
        </w:rPr>
        <w:t>项下</w:t>
      </w:r>
      <w:r>
        <w:rPr>
          <w:rFonts w:ascii="黑体" w:hAnsi="黑体" w:eastAsia="黑体"/>
          <w:sz w:val="24"/>
          <w:szCs w:val="24"/>
        </w:rPr>
        <w:t>的具体业务。</w:t>
      </w:r>
    </w:p>
    <w:p w14:paraId="32E05EB4">
      <w:pPr>
        <w:ind w:firstLine="424" w:firstLineChars="177"/>
        <w:rPr>
          <w:rFonts w:ascii="黑体" w:eastAsia="黑体"/>
          <w:sz w:val="24"/>
          <w:szCs w:val="24"/>
        </w:rPr>
      </w:pPr>
      <w:r>
        <w:rPr>
          <w:rFonts w:hint="eastAsia" w:ascii="黑体" w:eastAsia="黑体"/>
          <w:sz w:val="24"/>
          <w:szCs w:val="24"/>
        </w:rPr>
        <w:t>投资者通过信银</w:t>
      </w:r>
      <w:r>
        <w:rPr>
          <w:rFonts w:ascii="黑体" w:eastAsia="黑体"/>
          <w:sz w:val="24"/>
          <w:szCs w:val="24"/>
        </w:rPr>
        <w:t>理财</w:t>
      </w:r>
      <w:r>
        <w:rPr>
          <w:rFonts w:hint="eastAsia" w:ascii="黑体" w:eastAsia="黑体"/>
          <w:sz w:val="24"/>
          <w:szCs w:val="24"/>
        </w:rPr>
        <w:t>购买信银理财任意一款理财产品的，还需另行签署（或通过信银理财电子渠道确认同意）与该款理财产品相关的《信银理财理财产品说明书》（以下简称“产品说明书”）、《信银理财理财产品风险揭示书》（以下简称“风险揭示书”） 、《信银理财业务交易申请表》（仅线下营业场所交易时需要，以下简称“交易申请表”）等其他销售文件。本协议与其他销售文件构成完整不可分割的整体，且每一款理财产品的产品说明书、风险揭示书等与本协议构成一份独立的销售文件，该理财产品的销售文件的效力和履行情况均独立于其他理财产品的销售文件。</w:t>
      </w:r>
    </w:p>
    <w:p w14:paraId="315D7C74">
      <w:pPr>
        <w:ind w:left="-176" w:leftChars="-84" w:firstLine="408" w:firstLineChars="170"/>
        <w:rPr>
          <w:rFonts w:ascii="楷体_GB2312" w:eastAsia="楷体_GB2312"/>
          <w:sz w:val="24"/>
          <w:szCs w:val="24"/>
        </w:rPr>
      </w:pPr>
      <w:r>
        <w:rPr>
          <w:rFonts w:hint="eastAsia" w:ascii="楷体_GB2312" w:eastAsia="楷体_GB2312"/>
          <w:sz w:val="24"/>
          <w:szCs w:val="24"/>
        </w:rPr>
        <w:t>经投资者与信银理财协商一致，就投资者向信银理财购买理财产品，达成协议如下：</w:t>
      </w:r>
    </w:p>
    <w:p w14:paraId="5F69E0CA">
      <w:pPr>
        <w:ind w:left="-176" w:leftChars="-84" w:firstLine="410" w:firstLineChars="170"/>
        <w:rPr>
          <w:rFonts w:ascii="黑体" w:eastAsia="黑体"/>
          <w:b/>
          <w:sz w:val="24"/>
          <w:szCs w:val="24"/>
        </w:rPr>
      </w:pPr>
      <w:r>
        <w:rPr>
          <w:rFonts w:hint="eastAsia" w:ascii="黑体" w:eastAsia="黑体"/>
          <w:b/>
          <w:sz w:val="24"/>
          <w:szCs w:val="24"/>
        </w:rPr>
        <w:t>一、理财产品风险提示</w:t>
      </w:r>
    </w:p>
    <w:p w14:paraId="70A44359">
      <w:pPr>
        <w:ind w:left="-176" w:leftChars="-84" w:firstLine="408" w:firstLineChars="170"/>
        <w:rPr>
          <w:rFonts w:ascii="楷体_GB2312" w:hAnsi="宋体" w:eastAsia="楷体_GB2312"/>
          <w:color w:val="000000"/>
          <w:sz w:val="24"/>
          <w:szCs w:val="24"/>
        </w:rPr>
      </w:pPr>
      <w:r>
        <w:rPr>
          <w:rFonts w:hint="eastAsia" w:ascii="楷体_GB2312" w:hAnsi="宋体" w:eastAsia="楷体_GB2312"/>
          <w:color w:val="000000"/>
          <w:sz w:val="24"/>
          <w:szCs w:val="24"/>
        </w:rPr>
        <w:t>投资者基于对信银理财的信任，将其合法拥有的资金，自愿交付给信银理财，委托信银理财用于投资理财。投资理财产品可能面临包括但不限于信用风险、市场风险、流动性风险、提前终止风险、政策风险、信息传递风险、管理风险、延期清算风险、理财产品不成立风险、不可抗力及意外事件风险、理财本金全部损失风险、合作销售机构（代销机构）风险、操作风险、关联交易风险等风险，具体风险由信银理财在产品说明书中揭示。</w:t>
      </w:r>
      <w:r>
        <w:rPr>
          <w:rFonts w:hint="eastAsia" w:ascii="楷体_GB2312" w:hAnsi="宋体" w:eastAsia="楷体_GB2312"/>
          <w:b/>
          <w:color w:val="000000"/>
          <w:sz w:val="24"/>
          <w:szCs w:val="24"/>
        </w:rPr>
        <w:t>投资者应仔细阅读并充分理解产品说明书等销售文件，以理解理财产品关键条款和面临的主要风险。</w:t>
      </w:r>
    </w:p>
    <w:p w14:paraId="0C245F4F">
      <w:pPr>
        <w:ind w:left="-176" w:leftChars="-84" w:firstLine="410" w:firstLineChars="170"/>
        <w:rPr>
          <w:rFonts w:ascii="黑体" w:eastAsia="黑体"/>
          <w:b/>
          <w:sz w:val="24"/>
          <w:szCs w:val="24"/>
        </w:rPr>
      </w:pPr>
      <w:r>
        <w:rPr>
          <w:rFonts w:hint="eastAsia" w:ascii="黑体" w:eastAsia="黑体"/>
          <w:b/>
          <w:sz w:val="24"/>
          <w:szCs w:val="24"/>
        </w:rPr>
        <w:t>二、投资者申明</w:t>
      </w:r>
    </w:p>
    <w:p w14:paraId="53D87E3C">
      <w:pPr>
        <w:ind w:left="-176" w:leftChars="-84" w:firstLine="408" w:firstLineChars="170"/>
        <w:rPr>
          <w:rFonts w:ascii="楷体_GB2312" w:hAnsi="宋体" w:eastAsia="楷体_GB2312"/>
          <w:color w:val="000000"/>
          <w:sz w:val="24"/>
          <w:szCs w:val="24"/>
        </w:rPr>
      </w:pPr>
      <w:r>
        <w:rPr>
          <w:rFonts w:hint="eastAsia" w:ascii="楷体_GB2312" w:hAnsi="宋体" w:eastAsia="楷体_GB2312"/>
          <w:color w:val="000000"/>
          <w:sz w:val="24"/>
          <w:szCs w:val="24"/>
        </w:rPr>
        <w:t>投资者具有完全民事行为能力，具备购买理财产品资格，以其本人所合法持有，并有完全处置权的资金购买信银理财理财产品。</w:t>
      </w:r>
    </w:p>
    <w:p w14:paraId="3C47DDC1">
      <w:pPr>
        <w:ind w:left="-176" w:leftChars="-84" w:firstLine="410" w:firstLineChars="170"/>
        <w:rPr>
          <w:rFonts w:ascii="楷体_GB2312" w:hAnsi="宋体" w:eastAsia="楷体_GB2312"/>
          <w:b/>
          <w:color w:val="000000"/>
          <w:sz w:val="24"/>
          <w:szCs w:val="24"/>
        </w:rPr>
      </w:pPr>
      <w:r>
        <w:rPr>
          <w:rFonts w:hint="eastAsia" w:ascii="楷体_GB2312" w:hAnsi="宋体" w:eastAsia="楷体_GB2312"/>
          <w:b/>
          <w:color w:val="000000"/>
          <w:sz w:val="24"/>
          <w:szCs w:val="24"/>
        </w:rPr>
        <w:t>投资者确认，其应向信银理财真实提供信息，自主作出认（申）购/赎回等决定，独立对销售文件进行签字</w:t>
      </w:r>
      <w:r>
        <w:rPr>
          <w:rFonts w:ascii="楷体_GB2312" w:hAnsi="宋体" w:eastAsia="楷体_GB2312"/>
          <w:b/>
          <w:color w:val="000000"/>
          <w:sz w:val="24"/>
          <w:szCs w:val="24"/>
        </w:rPr>
        <w:t>/盖章确认，自主承担投资风险。投资者拒绝向信银理财提供或者未按照要求提供信息的，</w:t>
      </w:r>
      <w:r>
        <w:rPr>
          <w:rFonts w:hint="eastAsia" w:ascii="楷体_GB2312" w:hAnsi="宋体" w:eastAsia="楷体_GB2312"/>
          <w:b/>
          <w:color w:val="000000"/>
          <w:sz w:val="24"/>
          <w:szCs w:val="24"/>
        </w:rPr>
        <w:t>信银理财有权告知投资者相应的后果和责任，并有权拒绝向其提供销售服务。</w:t>
      </w:r>
    </w:p>
    <w:p w14:paraId="6E9E1ADF">
      <w:pPr>
        <w:ind w:left="-176" w:leftChars="-84" w:firstLine="410" w:firstLineChars="170"/>
        <w:rPr>
          <w:rFonts w:ascii="楷体_GB2312" w:hAnsi="宋体" w:eastAsia="楷体_GB2312"/>
          <w:color w:val="000000"/>
          <w:sz w:val="24"/>
          <w:szCs w:val="24"/>
        </w:rPr>
      </w:pPr>
      <w:r>
        <w:rPr>
          <w:rFonts w:hint="eastAsia" w:ascii="楷体_GB2312" w:hAnsi="宋体" w:eastAsia="楷体_GB2312"/>
          <w:b/>
          <w:color w:val="000000"/>
          <w:sz w:val="24"/>
          <w:szCs w:val="24"/>
        </w:rPr>
        <w:t>投资者同意，投资者如购买风险评级为</w:t>
      </w:r>
      <w:r>
        <w:rPr>
          <w:rFonts w:ascii="楷体_GB2312" w:hAnsi="宋体" w:eastAsia="楷体_GB2312"/>
          <w:b/>
          <w:color w:val="000000"/>
          <w:sz w:val="24"/>
          <w:szCs w:val="24"/>
        </w:rPr>
        <w:t>PR4（进取型）或PR5（激进型）理财产品的，</w:t>
      </w:r>
      <w:r>
        <w:rPr>
          <w:rFonts w:hint="eastAsia" w:ascii="楷体_GB2312" w:hAnsi="宋体" w:eastAsia="楷体_GB2312"/>
          <w:b/>
          <w:color w:val="000000"/>
          <w:sz w:val="24"/>
          <w:szCs w:val="24"/>
        </w:rPr>
        <w:t>信银理财可按照本协议约定，通过电子渠道向投资者销售</w:t>
      </w:r>
      <w:r>
        <w:rPr>
          <w:rFonts w:hint="eastAsia" w:ascii="楷体_GB2312" w:hAnsi="宋体" w:eastAsia="楷体_GB2312"/>
          <w:color w:val="000000"/>
          <w:sz w:val="24"/>
          <w:szCs w:val="24"/>
        </w:rPr>
        <w:t>。</w:t>
      </w:r>
    </w:p>
    <w:p w14:paraId="0A6A8827">
      <w:pPr>
        <w:ind w:left="-176" w:leftChars="-84" w:firstLine="410" w:firstLineChars="170"/>
        <w:rPr>
          <w:rFonts w:ascii="楷体_GB2312" w:hAnsi="宋体" w:eastAsia="楷体_GB2312"/>
          <w:b/>
          <w:color w:val="000000"/>
          <w:sz w:val="24"/>
          <w:szCs w:val="24"/>
        </w:rPr>
      </w:pPr>
      <w:r>
        <w:rPr>
          <w:rFonts w:hint="eastAsia" w:ascii="楷体_GB2312" w:hAnsi="宋体" w:eastAsia="楷体_GB2312"/>
          <w:b/>
          <w:color w:val="000000"/>
          <w:sz w:val="24"/>
          <w:szCs w:val="24"/>
        </w:rPr>
        <w:t>投资者完全理解并接受本协议、产品说明书等相关文件的约定,投资者确认信银理财已采取合理方式提请投资者注意本协议、风险揭示书、产品说明书所有免除或限制其责任的条款，并对投资风险予以充分说明。投资者确认理解理财产品将涉及的所有风险，充分了解理财业务的运作规则、协议双方的权利、义务及责任，基于独立的判断作出购买决策，并将承担且有能力承担理财产品全部风险。</w:t>
      </w:r>
    </w:p>
    <w:p w14:paraId="51B91389">
      <w:pPr>
        <w:ind w:left="-176" w:leftChars="-84" w:firstLine="408" w:firstLineChars="170"/>
        <w:rPr>
          <w:rFonts w:ascii="楷体_GB2312" w:hAnsi="宋体" w:eastAsia="楷体_GB2312"/>
          <w:color w:val="000000"/>
          <w:sz w:val="24"/>
          <w:szCs w:val="24"/>
        </w:rPr>
      </w:pPr>
      <w:r>
        <w:rPr>
          <w:rFonts w:hint="eastAsia" w:ascii="楷体_GB2312" w:hAnsi="宋体" w:eastAsia="楷体_GB2312"/>
          <w:color w:val="000000"/>
          <w:sz w:val="24"/>
          <w:szCs w:val="24"/>
        </w:rPr>
        <w:t>投资者通过信银理财电子渠道认购</w:t>
      </w:r>
      <w:r>
        <w:rPr>
          <w:rFonts w:ascii="楷体_GB2312" w:hAnsi="宋体" w:eastAsia="楷体_GB2312"/>
          <w:color w:val="000000"/>
          <w:sz w:val="24"/>
          <w:szCs w:val="24"/>
        </w:rPr>
        <w:t>理财产品的，</w:t>
      </w:r>
      <w:r>
        <w:rPr>
          <w:rFonts w:hint="eastAsia" w:ascii="楷体_GB2312" w:hAnsi="宋体" w:eastAsia="楷体_GB2312"/>
          <w:color w:val="000000"/>
          <w:sz w:val="24"/>
          <w:szCs w:val="24"/>
        </w:rPr>
        <w:t>同意</w:t>
      </w:r>
      <w:r>
        <w:rPr>
          <w:rFonts w:ascii="楷体_GB2312" w:hAnsi="宋体" w:eastAsia="楷体_GB2312"/>
          <w:color w:val="000000"/>
          <w:sz w:val="24"/>
          <w:szCs w:val="24"/>
        </w:rPr>
        <w:t>以</w:t>
      </w:r>
      <w:r>
        <w:rPr>
          <w:rFonts w:hint="eastAsia" w:ascii="楷体_GB2312" w:hAnsi="宋体" w:eastAsia="楷体_GB2312"/>
          <w:color w:val="000000"/>
          <w:sz w:val="24"/>
          <w:szCs w:val="24"/>
        </w:rPr>
        <w:t>信银理财留档</w:t>
      </w:r>
      <w:r>
        <w:rPr>
          <w:rFonts w:ascii="楷体_GB2312" w:hAnsi="宋体" w:eastAsia="楷体_GB2312"/>
          <w:color w:val="000000"/>
          <w:sz w:val="24"/>
          <w:szCs w:val="24"/>
        </w:rPr>
        <w:t>保存</w:t>
      </w:r>
      <w:r>
        <w:rPr>
          <w:rFonts w:hint="eastAsia" w:ascii="楷体_GB2312" w:hAnsi="宋体" w:eastAsia="楷体_GB2312"/>
          <w:color w:val="000000"/>
          <w:sz w:val="24"/>
          <w:szCs w:val="24"/>
        </w:rPr>
        <w:t>的电子</w:t>
      </w:r>
      <w:r>
        <w:rPr>
          <w:rFonts w:ascii="楷体_GB2312" w:hAnsi="宋体" w:eastAsia="楷体_GB2312"/>
          <w:color w:val="000000"/>
          <w:sz w:val="24"/>
          <w:szCs w:val="24"/>
        </w:rPr>
        <w:t>信息交易记录、电话录音等作为双方之间</w:t>
      </w:r>
      <w:r>
        <w:rPr>
          <w:rFonts w:hint="eastAsia" w:ascii="楷体_GB2312" w:hAnsi="宋体" w:eastAsia="楷体_GB2312"/>
          <w:color w:val="000000"/>
          <w:sz w:val="24"/>
          <w:szCs w:val="24"/>
        </w:rPr>
        <w:t>进行相关</w:t>
      </w:r>
      <w:r>
        <w:rPr>
          <w:rFonts w:ascii="楷体_GB2312" w:hAnsi="宋体" w:eastAsia="楷体_GB2312"/>
          <w:color w:val="000000"/>
          <w:sz w:val="24"/>
          <w:szCs w:val="24"/>
        </w:rPr>
        <w:t>交易的</w:t>
      </w:r>
      <w:r>
        <w:rPr>
          <w:rFonts w:hint="eastAsia" w:ascii="楷体_GB2312" w:hAnsi="宋体" w:eastAsia="楷体_GB2312"/>
          <w:color w:val="000000"/>
          <w:sz w:val="24"/>
          <w:szCs w:val="24"/>
        </w:rPr>
        <w:t>证据</w:t>
      </w:r>
      <w:r>
        <w:rPr>
          <w:rFonts w:ascii="楷体_GB2312" w:hAnsi="宋体" w:eastAsia="楷体_GB2312"/>
          <w:color w:val="000000"/>
          <w:sz w:val="24"/>
          <w:szCs w:val="24"/>
        </w:rPr>
        <w:t>。</w:t>
      </w:r>
    </w:p>
    <w:p w14:paraId="65BD15A8">
      <w:pPr>
        <w:ind w:left="-176" w:leftChars="-84" w:firstLine="408" w:firstLineChars="170"/>
        <w:rPr>
          <w:rFonts w:ascii="楷体_GB2312" w:hAnsi="宋体" w:eastAsia="楷体_GB2312"/>
          <w:color w:val="000000"/>
          <w:sz w:val="24"/>
          <w:szCs w:val="24"/>
        </w:rPr>
      </w:pPr>
      <w:r>
        <w:rPr>
          <w:rFonts w:hint="eastAsia" w:ascii="楷体_GB2312" w:hAnsi="宋体" w:eastAsia="楷体_GB2312"/>
          <w:color w:val="000000"/>
          <w:sz w:val="24"/>
          <w:szCs w:val="24"/>
        </w:rPr>
        <w:t>投资者应遵守中华人民共和国反洗钱法律法规，不参与涉嫌洗钱、恐怖融资、扩散融资等违法犯罪活动；主动配合信银理财客户身份识别与尽职调查，提供真实、准确、完整客户资料，遵守信银理财反洗钱与反恐怖融资相关管理规定。对有理由合理怀疑涉嫌洗钱、恐怖融资的客户，信银理财将按照中国人民银行反洗钱监管规定采取必要管控措施。</w:t>
      </w:r>
    </w:p>
    <w:p w14:paraId="7BE106D6">
      <w:pPr>
        <w:ind w:left="-176" w:leftChars="-84" w:firstLine="410" w:firstLineChars="170"/>
        <w:rPr>
          <w:rFonts w:ascii="黑体" w:eastAsia="黑体"/>
          <w:b/>
          <w:sz w:val="24"/>
          <w:szCs w:val="24"/>
        </w:rPr>
      </w:pPr>
      <w:r>
        <w:rPr>
          <w:rFonts w:hint="eastAsia" w:ascii="黑体" w:eastAsia="黑体"/>
          <w:b/>
          <w:sz w:val="24"/>
          <w:szCs w:val="24"/>
        </w:rPr>
        <w:t>三、双方权利和义务</w:t>
      </w:r>
    </w:p>
    <w:p w14:paraId="259CB9B9">
      <w:pPr>
        <w:ind w:left="-176" w:leftChars="-84" w:firstLine="408" w:firstLineChars="170"/>
        <w:rPr>
          <w:rFonts w:ascii="楷体" w:hAnsi="楷体" w:eastAsia="楷体"/>
          <w:sz w:val="24"/>
          <w:szCs w:val="28"/>
        </w:rPr>
      </w:pPr>
      <w:r>
        <w:rPr>
          <w:rFonts w:ascii="楷体_GB2312" w:hAnsi="宋体" w:eastAsia="楷体_GB2312"/>
          <w:color w:val="000000"/>
          <w:sz w:val="24"/>
          <w:szCs w:val="24"/>
        </w:rPr>
        <w:t>1.</w:t>
      </w:r>
      <w:r>
        <w:rPr>
          <w:rFonts w:hint="eastAsia" w:ascii="楷体_GB2312" w:eastAsia="楷体_GB2312"/>
          <w:sz w:val="24"/>
          <w:szCs w:val="28"/>
        </w:rPr>
        <w:t xml:space="preserve"> 投资者在购买信银理财销售的理财产品前</w:t>
      </w:r>
      <w:r>
        <w:rPr>
          <w:rFonts w:hint="eastAsia" w:ascii="楷体" w:hAnsi="楷体" w:eastAsia="楷体"/>
          <w:sz w:val="24"/>
          <w:szCs w:val="28"/>
        </w:rPr>
        <w:t>，须先在</w:t>
      </w:r>
      <w:r>
        <w:rPr>
          <w:rFonts w:ascii="楷体" w:hAnsi="楷体" w:eastAsia="楷体"/>
          <w:sz w:val="24"/>
          <w:szCs w:val="28"/>
        </w:rPr>
        <w:t>信银理财</w:t>
      </w:r>
      <w:r>
        <w:rPr>
          <w:rFonts w:hint="eastAsia" w:ascii="楷体" w:hAnsi="楷体" w:eastAsia="楷体"/>
          <w:sz w:val="24"/>
          <w:szCs w:val="28"/>
        </w:rPr>
        <w:t>开立理财账户，开立理财账户的同时将获得理财交易账户。</w:t>
      </w:r>
    </w:p>
    <w:p w14:paraId="3CD2FB61">
      <w:pPr>
        <w:ind w:left="-176" w:leftChars="-84" w:firstLine="408" w:firstLineChars="170"/>
        <w:rPr>
          <w:rFonts w:ascii="楷体" w:hAnsi="楷体" w:eastAsia="楷体"/>
          <w:sz w:val="24"/>
          <w:szCs w:val="28"/>
        </w:rPr>
      </w:pPr>
      <w:r>
        <w:rPr>
          <w:rFonts w:ascii="楷体" w:hAnsi="楷体" w:eastAsia="楷体"/>
          <w:sz w:val="24"/>
          <w:szCs w:val="28"/>
        </w:rPr>
        <w:t>2</w:t>
      </w:r>
      <w:r>
        <w:rPr>
          <w:rFonts w:hint="eastAsia" w:ascii="楷体" w:hAnsi="楷体" w:eastAsia="楷体"/>
          <w:sz w:val="24"/>
          <w:szCs w:val="28"/>
        </w:rPr>
        <w:t>．</w:t>
      </w:r>
      <w:r>
        <w:rPr>
          <w:rFonts w:ascii="楷体" w:hAnsi="楷体" w:eastAsia="楷体"/>
          <w:sz w:val="24"/>
          <w:szCs w:val="28"/>
        </w:rPr>
        <w:t>投资者须</w:t>
      </w:r>
      <w:r>
        <w:rPr>
          <w:rFonts w:hint="eastAsia" w:ascii="楷体" w:hAnsi="楷体" w:eastAsia="楷体"/>
          <w:sz w:val="24"/>
          <w:szCs w:val="28"/>
        </w:rPr>
        <w:t>根据</w:t>
      </w:r>
      <w:r>
        <w:rPr>
          <w:rFonts w:ascii="楷体" w:hAnsi="楷体" w:eastAsia="楷体"/>
          <w:sz w:val="24"/>
          <w:szCs w:val="28"/>
        </w:rPr>
        <w:t>信银理财要求向信银理财提供必要</w:t>
      </w:r>
      <w:r>
        <w:rPr>
          <w:rFonts w:hint="eastAsia" w:ascii="楷体" w:hAnsi="楷体" w:eastAsia="楷体"/>
          <w:sz w:val="24"/>
          <w:szCs w:val="28"/>
        </w:rPr>
        <w:t>的</w:t>
      </w:r>
      <w:r>
        <w:rPr>
          <w:rFonts w:ascii="楷体" w:hAnsi="楷体" w:eastAsia="楷体"/>
          <w:sz w:val="24"/>
          <w:szCs w:val="28"/>
        </w:rPr>
        <w:t>个人信息</w:t>
      </w:r>
      <w:r>
        <w:rPr>
          <w:rFonts w:hint="eastAsia" w:ascii="楷体" w:hAnsi="楷体" w:eastAsia="楷体"/>
          <w:sz w:val="24"/>
          <w:szCs w:val="28"/>
        </w:rPr>
        <w:t>，</w:t>
      </w:r>
      <w:r>
        <w:rPr>
          <w:rFonts w:ascii="楷体" w:hAnsi="楷体" w:eastAsia="楷体"/>
          <w:sz w:val="24"/>
          <w:szCs w:val="28"/>
        </w:rPr>
        <w:t>并保证所提供信息真实、准确、完整</w:t>
      </w:r>
      <w:r>
        <w:rPr>
          <w:rFonts w:hint="eastAsia" w:ascii="楷体" w:hAnsi="楷体" w:eastAsia="楷体"/>
          <w:sz w:val="24"/>
          <w:szCs w:val="28"/>
        </w:rPr>
        <w:t>。</w:t>
      </w:r>
      <w:r>
        <w:rPr>
          <w:rFonts w:ascii="楷体" w:hAnsi="楷体" w:eastAsia="楷体"/>
          <w:sz w:val="24"/>
          <w:szCs w:val="28"/>
        </w:rPr>
        <w:t>投资者通过电子渠道</w:t>
      </w:r>
      <w:r>
        <w:rPr>
          <w:rFonts w:hint="eastAsia" w:ascii="楷体" w:hAnsi="楷体" w:eastAsia="楷体"/>
          <w:sz w:val="24"/>
          <w:szCs w:val="28"/>
        </w:rPr>
        <w:t>购买</w:t>
      </w:r>
      <w:r>
        <w:rPr>
          <w:rFonts w:ascii="楷体" w:hAnsi="楷体" w:eastAsia="楷体"/>
          <w:sz w:val="24"/>
          <w:szCs w:val="28"/>
        </w:rPr>
        <w:t>理财产品的，</w:t>
      </w:r>
      <w:r>
        <w:rPr>
          <w:rFonts w:hint="eastAsia" w:ascii="楷体" w:hAnsi="楷体" w:eastAsia="楷体"/>
          <w:sz w:val="24"/>
          <w:szCs w:val="28"/>
        </w:rPr>
        <w:t>应通过</w:t>
      </w:r>
      <w:r>
        <w:rPr>
          <w:rFonts w:ascii="楷体" w:hAnsi="楷体" w:eastAsia="楷体"/>
          <w:sz w:val="24"/>
          <w:szCs w:val="28"/>
        </w:rPr>
        <w:t>电子渠道</w:t>
      </w:r>
      <w:r>
        <w:rPr>
          <w:rFonts w:hint="eastAsia" w:ascii="楷体" w:hAnsi="楷体" w:eastAsia="楷体"/>
          <w:sz w:val="24"/>
          <w:szCs w:val="28"/>
        </w:rPr>
        <w:t>提供</w:t>
      </w:r>
      <w:r>
        <w:rPr>
          <w:rFonts w:ascii="楷体" w:hAnsi="楷体" w:eastAsia="楷体"/>
          <w:sz w:val="24"/>
          <w:szCs w:val="28"/>
        </w:rPr>
        <w:t>以上信息</w:t>
      </w:r>
      <w:r>
        <w:rPr>
          <w:rFonts w:hint="eastAsia" w:ascii="楷体" w:hAnsi="楷体" w:eastAsia="楷体"/>
          <w:sz w:val="24"/>
          <w:szCs w:val="28"/>
        </w:rPr>
        <w:t>；</w:t>
      </w:r>
      <w:r>
        <w:rPr>
          <w:rFonts w:ascii="楷体" w:hAnsi="楷体" w:eastAsia="楷体"/>
          <w:sz w:val="24"/>
          <w:szCs w:val="28"/>
        </w:rPr>
        <w:t>投资者</w:t>
      </w:r>
      <w:r>
        <w:rPr>
          <w:rFonts w:hint="eastAsia" w:ascii="楷体" w:hAnsi="楷体" w:eastAsia="楷体"/>
          <w:sz w:val="24"/>
          <w:szCs w:val="28"/>
        </w:rPr>
        <w:t>在</w:t>
      </w:r>
      <w:r>
        <w:rPr>
          <w:rFonts w:ascii="楷体" w:hAnsi="楷体" w:eastAsia="楷体"/>
          <w:sz w:val="24"/>
          <w:szCs w:val="28"/>
        </w:rPr>
        <w:t>信银理财营业场所购买理财产品的，</w:t>
      </w:r>
      <w:r>
        <w:rPr>
          <w:rFonts w:hint="eastAsia" w:ascii="楷体" w:hAnsi="楷体" w:eastAsia="楷体"/>
          <w:sz w:val="24"/>
          <w:szCs w:val="28"/>
        </w:rPr>
        <w:t>应</w:t>
      </w:r>
      <w:r>
        <w:rPr>
          <w:rFonts w:ascii="楷体" w:hAnsi="楷体" w:eastAsia="楷体"/>
          <w:sz w:val="24"/>
          <w:szCs w:val="28"/>
        </w:rPr>
        <w:t>填写信银理财提供的《</w:t>
      </w:r>
      <w:r>
        <w:rPr>
          <w:rFonts w:hint="eastAsia" w:ascii="楷体" w:hAnsi="楷体" w:eastAsia="楷体"/>
          <w:sz w:val="24"/>
          <w:szCs w:val="28"/>
        </w:rPr>
        <w:t>账户类</w:t>
      </w:r>
      <w:r>
        <w:rPr>
          <w:rFonts w:ascii="楷体" w:hAnsi="楷体" w:eastAsia="楷体"/>
          <w:sz w:val="24"/>
          <w:szCs w:val="28"/>
        </w:rPr>
        <w:t>业务申请表（</w:t>
      </w:r>
      <w:r>
        <w:rPr>
          <w:rFonts w:hint="eastAsia" w:ascii="楷体" w:hAnsi="楷体" w:eastAsia="楷体"/>
          <w:sz w:val="24"/>
          <w:szCs w:val="28"/>
        </w:rPr>
        <w:t>个人</w:t>
      </w:r>
      <w:r>
        <w:rPr>
          <w:rFonts w:ascii="楷体" w:hAnsi="楷体" w:eastAsia="楷体"/>
          <w:sz w:val="24"/>
          <w:szCs w:val="28"/>
        </w:rPr>
        <w:t>客户</w:t>
      </w:r>
      <w:r>
        <w:rPr>
          <w:rFonts w:hint="eastAsia" w:ascii="楷体" w:hAnsi="楷体" w:eastAsia="楷体"/>
          <w:sz w:val="24"/>
          <w:szCs w:val="28"/>
        </w:rPr>
        <w:t>版</w:t>
      </w:r>
      <w:r>
        <w:rPr>
          <w:rFonts w:ascii="楷体" w:hAnsi="楷体" w:eastAsia="楷体"/>
          <w:sz w:val="24"/>
          <w:szCs w:val="28"/>
        </w:rPr>
        <w:t>）》</w:t>
      </w:r>
      <w:r>
        <w:rPr>
          <w:rFonts w:hint="eastAsia" w:ascii="楷体" w:hAnsi="楷体" w:eastAsia="楷体"/>
          <w:sz w:val="24"/>
          <w:szCs w:val="28"/>
        </w:rPr>
        <w:t>以及其</w:t>
      </w:r>
      <w:r>
        <w:rPr>
          <w:rFonts w:ascii="楷体" w:hAnsi="楷体" w:eastAsia="楷体"/>
          <w:sz w:val="24"/>
          <w:szCs w:val="28"/>
        </w:rPr>
        <w:t>他必要</w:t>
      </w:r>
      <w:r>
        <w:rPr>
          <w:rFonts w:hint="eastAsia" w:ascii="楷体" w:hAnsi="楷体" w:eastAsia="楷体"/>
          <w:sz w:val="24"/>
          <w:szCs w:val="28"/>
        </w:rPr>
        <w:t>业务</w:t>
      </w:r>
      <w:r>
        <w:rPr>
          <w:rFonts w:ascii="楷体" w:hAnsi="楷体" w:eastAsia="楷体"/>
          <w:sz w:val="24"/>
          <w:szCs w:val="28"/>
        </w:rPr>
        <w:t>表单。</w:t>
      </w:r>
      <w:r>
        <w:rPr>
          <w:rFonts w:hint="eastAsia" w:ascii="楷体" w:hAnsi="楷体" w:eastAsia="楷体"/>
          <w:sz w:val="24"/>
          <w:szCs w:val="28"/>
        </w:rPr>
        <w:t>如</w:t>
      </w:r>
      <w:r>
        <w:rPr>
          <w:rFonts w:ascii="楷体" w:hAnsi="楷体" w:eastAsia="楷体"/>
          <w:sz w:val="24"/>
          <w:szCs w:val="28"/>
        </w:rPr>
        <w:t>因投资者</w:t>
      </w:r>
      <w:r>
        <w:rPr>
          <w:rFonts w:hint="eastAsia" w:ascii="楷体" w:hAnsi="楷体" w:eastAsia="楷体"/>
          <w:sz w:val="24"/>
          <w:szCs w:val="28"/>
        </w:rPr>
        <w:t>未</w:t>
      </w:r>
      <w:r>
        <w:rPr>
          <w:rFonts w:ascii="楷体" w:hAnsi="楷体" w:eastAsia="楷体"/>
          <w:sz w:val="24"/>
          <w:szCs w:val="28"/>
        </w:rPr>
        <w:t>按信银理财规定提供信息，或提供的信息不真实、不准确、不完整，导致投资者无法成功</w:t>
      </w:r>
      <w:r>
        <w:rPr>
          <w:rFonts w:hint="eastAsia" w:ascii="楷体" w:hAnsi="楷体" w:eastAsia="楷体"/>
          <w:sz w:val="24"/>
          <w:szCs w:val="28"/>
        </w:rPr>
        <w:t>购买</w:t>
      </w:r>
      <w:r>
        <w:rPr>
          <w:rFonts w:ascii="楷体" w:hAnsi="楷体" w:eastAsia="楷体"/>
          <w:sz w:val="24"/>
          <w:szCs w:val="28"/>
        </w:rPr>
        <w:t>理财产品</w:t>
      </w:r>
      <w:r>
        <w:rPr>
          <w:rFonts w:hint="eastAsia" w:ascii="楷体" w:hAnsi="楷体" w:eastAsia="楷体"/>
          <w:sz w:val="24"/>
          <w:szCs w:val="28"/>
        </w:rPr>
        <w:t>、</w:t>
      </w:r>
      <w:r>
        <w:rPr>
          <w:rFonts w:ascii="楷体" w:hAnsi="楷体" w:eastAsia="楷体"/>
          <w:sz w:val="24"/>
          <w:szCs w:val="28"/>
        </w:rPr>
        <w:t>获得分配资金</w:t>
      </w:r>
      <w:r>
        <w:rPr>
          <w:rFonts w:hint="eastAsia" w:ascii="楷体" w:hAnsi="楷体" w:eastAsia="楷体"/>
          <w:sz w:val="24"/>
          <w:szCs w:val="28"/>
        </w:rPr>
        <w:t>或</w:t>
      </w:r>
      <w:r>
        <w:rPr>
          <w:rFonts w:ascii="楷体" w:hAnsi="楷体" w:eastAsia="楷体"/>
          <w:sz w:val="24"/>
          <w:szCs w:val="28"/>
        </w:rPr>
        <w:t>其他后果</w:t>
      </w:r>
      <w:r>
        <w:rPr>
          <w:rFonts w:hint="eastAsia" w:ascii="楷体" w:hAnsi="楷体" w:eastAsia="楷体"/>
          <w:sz w:val="24"/>
          <w:szCs w:val="28"/>
        </w:rPr>
        <w:t>和</w:t>
      </w:r>
      <w:r>
        <w:rPr>
          <w:rFonts w:ascii="楷体" w:hAnsi="楷体" w:eastAsia="楷体"/>
          <w:sz w:val="24"/>
          <w:szCs w:val="28"/>
        </w:rPr>
        <w:t>损失的，信银理财不承担责任</w:t>
      </w:r>
      <w:r>
        <w:rPr>
          <w:rFonts w:hint="eastAsia" w:ascii="楷体" w:hAnsi="楷体" w:eastAsia="楷体"/>
          <w:sz w:val="24"/>
          <w:szCs w:val="28"/>
        </w:rPr>
        <w:t>，</w:t>
      </w:r>
      <w:r>
        <w:rPr>
          <w:rFonts w:ascii="楷体" w:hAnsi="楷体" w:eastAsia="楷体"/>
          <w:sz w:val="24"/>
          <w:szCs w:val="28"/>
        </w:rPr>
        <w:t>投资者</w:t>
      </w:r>
      <w:r>
        <w:rPr>
          <w:rFonts w:hint="eastAsia" w:ascii="楷体" w:hAnsi="楷体" w:eastAsia="楷体"/>
          <w:sz w:val="24"/>
          <w:szCs w:val="28"/>
        </w:rPr>
        <w:t>依法</w:t>
      </w:r>
      <w:r>
        <w:rPr>
          <w:rFonts w:ascii="楷体" w:hAnsi="楷体" w:eastAsia="楷体"/>
          <w:sz w:val="24"/>
          <w:szCs w:val="28"/>
        </w:rPr>
        <w:t>承担法律责任。</w:t>
      </w:r>
    </w:p>
    <w:p w14:paraId="1647CC77">
      <w:pPr>
        <w:ind w:left="-176" w:leftChars="-84" w:firstLine="408" w:firstLineChars="170"/>
        <w:rPr>
          <w:rFonts w:ascii="楷体" w:hAnsi="楷体" w:eastAsia="楷体"/>
          <w:sz w:val="24"/>
          <w:szCs w:val="28"/>
        </w:rPr>
      </w:pPr>
      <w:r>
        <w:rPr>
          <w:rFonts w:ascii="楷体" w:hAnsi="楷体" w:eastAsia="楷体"/>
          <w:sz w:val="24"/>
          <w:szCs w:val="28"/>
        </w:rPr>
        <w:t>3</w:t>
      </w:r>
      <w:r>
        <w:rPr>
          <w:rFonts w:hint="eastAsia" w:ascii="楷体" w:hAnsi="楷体" w:eastAsia="楷体"/>
          <w:sz w:val="24"/>
          <w:szCs w:val="28"/>
        </w:rPr>
        <w:t>．投资者所</w:t>
      </w:r>
      <w:r>
        <w:rPr>
          <w:rFonts w:ascii="楷体" w:hAnsi="楷体" w:eastAsia="楷体"/>
          <w:sz w:val="24"/>
          <w:szCs w:val="28"/>
        </w:rPr>
        <w:t>提供信息如发生变更，应及时</w:t>
      </w:r>
      <w:r>
        <w:rPr>
          <w:rFonts w:hint="eastAsia" w:ascii="楷体" w:hAnsi="楷体" w:eastAsia="楷体"/>
          <w:sz w:val="24"/>
          <w:szCs w:val="28"/>
        </w:rPr>
        <w:t>通过</w:t>
      </w:r>
      <w:r>
        <w:rPr>
          <w:rFonts w:ascii="楷体" w:hAnsi="楷体" w:eastAsia="楷体"/>
          <w:sz w:val="24"/>
          <w:szCs w:val="28"/>
        </w:rPr>
        <w:t>电子渠道或</w:t>
      </w:r>
      <w:r>
        <w:rPr>
          <w:rFonts w:hint="eastAsia" w:ascii="楷体" w:hAnsi="楷体" w:eastAsia="楷体"/>
          <w:sz w:val="24"/>
          <w:szCs w:val="28"/>
        </w:rPr>
        <w:t>在信银理财</w:t>
      </w:r>
      <w:r>
        <w:rPr>
          <w:rFonts w:ascii="楷体" w:hAnsi="楷体" w:eastAsia="楷体"/>
          <w:sz w:val="24"/>
          <w:szCs w:val="28"/>
        </w:rPr>
        <w:t>营业场所办理信息变更</w:t>
      </w:r>
      <w:r>
        <w:rPr>
          <w:rFonts w:hint="eastAsia" w:ascii="楷体" w:hAnsi="楷体" w:eastAsia="楷体"/>
          <w:sz w:val="24"/>
          <w:szCs w:val="28"/>
        </w:rPr>
        <w:t>确认</w:t>
      </w:r>
      <w:r>
        <w:rPr>
          <w:rFonts w:ascii="楷体" w:hAnsi="楷体" w:eastAsia="楷体"/>
          <w:sz w:val="24"/>
          <w:szCs w:val="28"/>
        </w:rPr>
        <w:t>手续。</w:t>
      </w:r>
      <w:r>
        <w:rPr>
          <w:rFonts w:hint="eastAsia" w:ascii="楷体_GB2312" w:eastAsia="楷体_GB2312"/>
          <w:sz w:val="24"/>
          <w:szCs w:val="28"/>
        </w:rPr>
        <w:t>投资者</w:t>
      </w:r>
      <w:r>
        <w:rPr>
          <w:rFonts w:hint="eastAsia" w:ascii="楷体_GB2312" w:hAnsi="楷体" w:eastAsia="楷体_GB2312"/>
          <w:sz w:val="24"/>
          <w:szCs w:val="28"/>
        </w:rPr>
        <w:t>在申请变更姓名</w:t>
      </w:r>
      <w:r>
        <w:rPr>
          <w:rFonts w:hint="eastAsia" w:ascii="楷体" w:hAnsi="楷体" w:eastAsia="楷体"/>
          <w:sz w:val="24"/>
          <w:szCs w:val="28"/>
        </w:rPr>
        <w:t>、证件类型或证件编号等关键信息时，需根据</w:t>
      </w:r>
      <w:r>
        <w:rPr>
          <w:rFonts w:ascii="楷体" w:hAnsi="楷体" w:eastAsia="楷体"/>
          <w:sz w:val="24"/>
          <w:szCs w:val="28"/>
        </w:rPr>
        <w:t>信银理财要求</w:t>
      </w:r>
      <w:r>
        <w:rPr>
          <w:rFonts w:hint="eastAsia" w:ascii="楷体" w:hAnsi="楷体" w:eastAsia="楷体"/>
          <w:sz w:val="24"/>
          <w:szCs w:val="28"/>
        </w:rPr>
        <w:t>提供足够齐备的公安机关或相关注册登记机构的变更证明文件。投资者所提供信息发生变更的，</w:t>
      </w:r>
      <w:r>
        <w:rPr>
          <w:rFonts w:hint="eastAsia" w:ascii="楷体_GB2312" w:eastAsia="楷体_GB2312"/>
          <w:sz w:val="24"/>
          <w:szCs w:val="28"/>
        </w:rPr>
        <w:t>至迟应在所投资理财产品期限届满的1</w:t>
      </w:r>
      <w:r>
        <w:rPr>
          <w:rFonts w:ascii="楷体_GB2312" w:eastAsia="楷体_GB2312"/>
          <w:sz w:val="24"/>
          <w:szCs w:val="28"/>
        </w:rPr>
        <w:t>5</w:t>
      </w:r>
      <w:r>
        <w:rPr>
          <w:rFonts w:hint="eastAsia" w:ascii="楷体_GB2312" w:eastAsia="楷体_GB2312"/>
          <w:sz w:val="24"/>
          <w:szCs w:val="28"/>
        </w:rPr>
        <w:t>个工作日前至信银理财办理变更确认手续（电子渠道或营业场所），否则，因投资者信息未及时更新导致的后果（如分配资金无法及时到账等），信银理财不承担任何责任。信息变更于信银理财为投资者办理变更确认手续之日生效。</w:t>
      </w:r>
    </w:p>
    <w:p w14:paraId="797E0F57">
      <w:pPr>
        <w:ind w:left="-176" w:leftChars="-84" w:firstLine="408" w:firstLineChars="170"/>
        <w:rPr>
          <w:rFonts w:ascii="楷体" w:hAnsi="楷体" w:eastAsia="楷体"/>
          <w:sz w:val="24"/>
          <w:szCs w:val="28"/>
        </w:rPr>
      </w:pPr>
      <w:r>
        <w:rPr>
          <w:rFonts w:ascii="楷体" w:hAnsi="楷体" w:eastAsia="楷体"/>
          <w:sz w:val="24"/>
          <w:szCs w:val="28"/>
        </w:rPr>
        <w:t>4.</w:t>
      </w:r>
      <w:r>
        <w:rPr>
          <w:rFonts w:hint="eastAsia" w:ascii="楷体" w:hAnsi="楷体" w:eastAsia="楷体"/>
          <w:sz w:val="24"/>
          <w:szCs w:val="28"/>
        </w:rPr>
        <w:t>投资者申请销户时，应</w:t>
      </w:r>
      <w:r>
        <w:rPr>
          <w:rFonts w:ascii="楷体" w:hAnsi="楷体" w:eastAsia="楷体"/>
          <w:sz w:val="24"/>
          <w:szCs w:val="28"/>
        </w:rPr>
        <w:t>确保</w:t>
      </w:r>
      <w:r>
        <w:rPr>
          <w:rFonts w:hint="eastAsia" w:ascii="楷体" w:hAnsi="楷体" w:eastAsia="楷体"/>
          <w:sz w:val="24"/>
          <w:szCs w:val="28"/>
        </w:rPr>
        <w:t>理财账户内已无理财份额、未完成交易及相关权益，</w:t>
      </w:r>
      <w:r>
        <w:rPr>
          <w:rFonts w:ascii="楷体" w:hAnsi="楷体" w:eastAsia="楷体"/>
          <w:sz w:val="24"/>
          <w:szCs w:val="28"/>
        </w:rPr>
        <w:t>否则信银理财有权</w:t>
      </w:r>
      <w:r>
        <w:rPr>
          <w:rFonts w:hint="eastAsia" w:ascii="楷体" w:hAnsi="楷体" w:eastAsia="楷体"/>
          <w:sz w:val="24"/>
          <w:szCs w:val="28"/>
        </w:rPr>
        <w:t>拒绝</w:t>
      </w:r>
      <w:r>
        <w:rPr>
          <w:rFonts w:ascii="楷体" w:hAnsi="楷体" w:eastAsia="楷体"/>
          <w:sz w:val="24"/>
          <w:szCs w:val="28"/>
        </w:rPr>
        <w:t>办理</w:t>
      </w:r>
      <w:r>
        <w:rPr>
          <w:rFonts w:hint="eastAsia" w:ascii="楷体" w:hAnsi="楷体" w:eastAsia="楷体"/>
          <w:sz w:val="24"/>
          <w:szCs w:val="28"/>
        </w:rPr>
        <w:t>。</w:t>
      </w:r>
    </w:p>
    <w:p w14:paraId="30FDCE8A">
      <w:pPr>
        <w:ind w:left="-176" w:leftChars="-84" w:firstLine="408" w:firstLineChars="170"/>
        <w:rPr>
          <w:rFonts w:ascii="楷体" w:hAnsi="楷体" w:eastAsia="楷体"/>
          <w:sz w:val="24"/>
          <w:szCs w:val="28"/>
        </w:rPr>
      </w:pPr>
      <w:r>
        <w:rPr>
          <w:rFonts w:ascii="楷体" w:hAnsi="楷体" w:eastAsia="楷体"/>
          <w:sz w:val="24"/>
          <w:szCs w:val="28"/>
        </w:rPr>
        <w:t>5.</w:t>
      </w:r>
      <w:r>
        <w:rPr>
          <w:rFonts w:hint="eastAsia" w:ascii="楷体" w:hAnsi="楷体" w:eastAsia="楷体"/>
          <w:sz w:val="24"/>
          <w:szCs w:val="28"/>
        </w:rPr>
        <w:t>投资者购买</w:t>
      </w:r>
      <w:r>
        <w:rPr>
          <w:rFonts w:ascii="楷体" w:hAnsi="楷体" w:eastAsia="楷体"/>
          <w:sz w:val="24"/>
          <w:szCs w:val="28"/>
        </w:rPr>
        <w:t>理财产品时</w:t>
      </w:r>
      <w:r>
        <w:rPr>
          <w:rFonts w:hint="eastAsia" w:ascii="楷体" w:hAnsi="楷体" w:eastAsia="楷体"/>
          <w:sz w:val="24"/>
          <w:szCs w:val="28"/>
        </w:rPr>
        <w:t>，</w:t>
      </w:r>
      <w:r>
        <w:rPr>
          <w:rFonts w:ascii="楷体" w:hAnsi="楷体" w:eastAsia="楷体"/>
          <w:sz w:val="24"/>
          <w:szCs w:val="28"/>
        </w:rPr>
        <w:t>应在</w:t>
      </w:r>
      <w:r>
        <w:rPr>
          <w:rFonts w:hint="eastAsia" w:ascii="楷体" w:hAnsi="楷体" w:eastAsia="楷体"/>
          <w:sz w:val="24"/>
          <w:szCs w:val="28"/>
        </w:rPr>
        <w:t>交易日</w:t>
      </w:r>
      <w:r>
        <w:rPr>
          <w:rFonts w:ascii="楷体" w:hAnsi="楷体" w:eastAsia="楷体"/>
          <w:sz w:val="24"/>
          <w:szCs w:val="28"/>
        </w:rPr>
        <w:t>信银理财交易时间内</w:t>
      </w:r>
      <w:r>
        <w:rPr>
          <w:rFonts w:hint="eastAsia" w:ascii="楷体" w:hAnsi="楷体" w:eastAsia="楷体"/>
          <w:sz w:val="24"/>
          <w:szCs w:val="28"/>
        </w:rPr>
        <w:t>提交购买申请</w:t>
      </w:r>
      <w:r>
        <w:rPr>
          <w:rFonts w:ascii="楷体" w:hAnsi="楷体" w:eastAsia="楷体"/>
          <w:sz w:val="24"/>
          <w:szCs w:val="28"/>
        </w:rPr>
        <w:t>（</w:t>
      </w:r>
      <w:r>
        <w:rPr>
          <w:rFonts w:hint="eastAsia" w:ascii="楷体" w:hAnsi="楷体" w:eastAsia="楷体"/>
          <w:sz w:val="24"/>
          <w:szCs w:val="28"/>
        </w:rPr>
        <w:t>通过</w:t>
      </w:r>
      <w:r>
        <w:rPr>
          <w:rFonts w:ascii="楷体" w:hAnsi="楷体" w:eastAsia="楷体"/>
          <w:sz w:val="24"/>
          <w:szCs w:val="28"/>
        </w:rPr>
        <w:t>电子渠道购买的，在电子渠道提交申请</w:t>
      </w:r>
      <w:r>
        <w:rPr>
          <w:rFonts w:hint="eastAsia" w:ascii="楷体" w:hAnsi="楷体" w:eastAsia="楷体"/>
          <w:sz w:val="24"/>
          <w:szCs w:val="28"/>
        </w:rPr>
        <w:t>；</w:t>
      </w:r>
      <w:r>
        <w:rPr>
          <w:rFonts w:ascii="楷体" w:hAnsi="楷体" w:eastAsia="楷体"/>
          <w:sz w:val="24"/>
          <w:szCs w:val="28"/>
        </w:rPr>
        <w:t>在</w:t>
      </w:r>
      <w:r>
        <w:rPr>
          <w:rFonts w:hint="eastAsia" w:ascii="楷体" w:hAnsi="楷体" w:eastAsia="楷体"/>
          <w:sz w:val="24"/>
          <w:szCs w:val="28"/>
        </w:rPr>
        <w:t>营业场所</w:t>
      </w:r>
      <w:r>
        <w:rPr>
          <w:rFonts w:ascii="楷体" w:hAnsi="楷体" w:eastAsia="楷体"/>
          <w:sz w:val="24"/>
          <w:szCs w:val="28"/>
        </w:rPr>
        <w:t>购买的，</w:t>
      </w:r>
      <w:r>
        <w:rPr>
          <w:rFonts w:hint="eastAsia" w:ascii="楷体" w:hAnsi="楷体" w:eastAsia="楷体"/>
          <w:sz w:val="24"/>
          <w:szCs w:val="28"/>
        </w:rPr>
        <w:t>应</w:t>
      </w:r>
      <w:r>
        <w:rPr>
          <w:rFonts w:ascii="楷体" w:hAnsi="楷体" w:eastAsia="楷体"/>
          <w:sz w:val="24"/>
          <w:szCs w:val="28"/>
        </w:rPr>
        <w:t>提交《</w:t>
      </w:r>
      <w:r>
        <w:rPr>
          <w:rFonts w:hint="eastAsia" w:ascii="楷体" w:hAnsi="楷体" w:eastAsia="楷体"/>
          <w:sz w:val="24"/>
          <w:szCs w:val="28"/>
        </w:rPr>
        <w:t>交易</w:t>
      </w:r>
      <w:r>
        <w:rPr>
          <w:rFonts w:ascii="楷体" w:hAnsi="楷体" w:eastAsia="楷体"/>
          <w:sz w:val="24"/>
          <w:szCs w:val="28"/>
        </w:rPr>
        <w:t>申请表》</w:t>
      </w:r>
      <w:r>
        <w:rPr>
          <w:rFonts w:hint="eastAsia" w:ascii="楷体" w:hAnsi="楷体" w:eastAsia="楷体"/>
          <w:sz w:val="24"/>
          <w:szCs w:val="28"/>
        </w:rPr>
        <w:t>。</w:t>
      </w:r>
      <w:r>
        <w:rPr>
          <w:rFonts w:ascii="楷体" w:hAnsi="楷体" w:eastAsia="楷体"/>
          <w:sz w:val="24"/>
          <w:szCs w:val="28"/>
        </w:rPr>
        <w:t>）</w:t>
      </w:r>
      <w:r>
        <w:rPr>
          <w:rFonts w:hint="eastAsia" w:ascii="楷体" w:hAnsi="楷体" w:eastAsia="楷体"/>
          <w:sz w:val="24"/>
          <w:szCs w:val="28"/>
        </w:rPr>
        <w:t>并</w:t>
      </w:r>
      <w:r>
        <w:rPr>
          <w:rFonts w:ascii="楷体" w:hAnsi="楷体" w:eastAsia="楷体"/>
          <w:sz w:val="24"/>
          <w:szCs w:val="28"/>
        </w:rPr>
        <w:t>将认购/申购资金在指定的时间前</w:t>
      </w:r>
      <w:r>
        <w:rPr>
          <w:rFonts w:hint="eastAsia" w:ascii="楷体" w:hAnsi="楷体" w:eastAsia="楷体"/>
          <w:sz w:val="24"/>
          <w:szCs w:val="28"/>
        </w:rPr>
        <w:t>足额划入</w:t>
      </w:r>
      <w:r>
        <w:rPr>
          <w:rFonts w:ascii="楷体" w:hAnsi="楷体" w:eastAsia="楷体"/>
          <w:sz w:val="24"/>
          <w:szCs w:val="28"/>
        </w:rPr>
        <w:t>信银理财指定银行账户，否则</w:t>
      </w:r>
      <w:r>
        <w:rPr>
          <w:rFonts w:hint="eastAsia" w:ascii="楷体" w:hAnsi="楷体" w:eastAsia="楷体"/>
          <w:sz w:val="24"/>
          <w:szCs w:val="28"/>
        </w:rPr>
        <w:t>不</w:t>
      </w:r>
      <w:r>
        <w:rPr>
          <w:rFonts w:ascii="楷体" w:hAnsi="楷体" w:eastAsia="楷体"/>
          <w:sz w:val="24"/>
          <w:szCs w:val="28"/>
        </w:rPr>
        <w:t>视为</w:t>
      </w:r>
      <w:r>
        <w:rPr>
          <w:rFonts w:hint="eastAsia" w:ascii="楷体" w:hAnsi="楷体" w:eastAsia="楷体"/>
          <w:sz w:val="24"/>
          <w:szCs w:val="28"/>
        </w:rPr>
        <w:t>当日</w:t>
      </w:r>
      <w:r>
        <w:rPr>
          <w:rFonts w:ascii="楷体" w:hAnsi="楷体" w:eastAsia="楷体"/>
          <w:sz w:val="24"/>
          <w:szCs w:val="28"/>
        </w:rPr>
        <w:t>有效申请。</w:t>
      </w:r>
      <w:r>
        <w:rPr>
          <w:rFonts w:hint="eastAsia" w:ascii="楷体" w:hAnsi="楷体" w:eastAsia="楷体"/>
          <w:sz w:val="24"/>
          <w:szCs w:val="28"/>
        </w:rPr>
        <w:t>交易</w:t>
      </w:r>
      <w:r>
        <w:rPr>
          <w:rFonts w:ascii="楷体" w:hAnsi="楷体" w:eastAsia="楷体"/>
          <w:sz w:val="24"/>
          <w:szCs w:val="28"/>
        </w:rPr>
        <w:t>时间以理财产品说明书约定为准。</w:t>
      </w:r>
      <w:r>
        <w:rPr>
          <w:rFonts w:hint="eastAsia" w:ascii="楷体" w:hAnsi="楷体" w:eastAsia="楷体"/>
          <w:sz w:val="24"/>
          <w:szCs w:val="28"/>
        </w:rPr>
        <w:t>如</w:t>
      </w:r>
      <w:r>
        <w:rPr>
          <w:rFonts w:ascii="楷体" w:hAnsi="楷体" w:eastAsia="楷体"/>
          <w:sz w:val="24"/>
          <w:szCs w:val="28"/>
        </w:rPr>
        <w:t>投资者</w:t>
      </w:r>
      <w:r>
        <w:rPr>
          <w:rFonts w:hint="eastAsia" w:ascii="楷体" w:hAnsi="楷体" w:eastAsia="楷体"/>
          <w:sz w:val="24"/>
          <w:szCs w:val="28"/>
        </w:rPr>
        <w:t>汇划</w:t>
      </w:r>
      <w:r>
        <w:rPr>
          <w:rFonts w:ascii="楷体" w:hAnsi="楷体" w:eastAsia="楷体"/>
          <w:sz w:val="24"/>
          <w:szCs w:val="28"/>
        </w:rPr>
        <w:t>资金</w:t>
      </w:r>
      <w:r>
        <w:rPr>
          <w:rFonts w:hint="eastAsia" w:ascii="楷体" w:hAnsi="楷体" w:eastAsia="楷体"/>
          <w:sz w:val="24"/>
          <w:szCs w:val="28"/>
        </w:rPr>
        <w:t>不足</w:t>
      </w:r>
      <w:r>
        <w:rPr>
          <w:rFonts w:ascii="楷体" w:hAnsi="楷体" w:eastAsia="楷体"/>
          <w:sz w:val="24"/>
          <w:szCs w:val="28"/>
        </w:rPr>
        <w:t>或迟于</w:t>
      </w:r>
      <w:r>
        <w:rPr>
          <w:rFonts w:hint="eastAsia" w:ascii="楷体" w:hAnsi="楷体" w:eastAsia="楷体"/>
          <w:sz w:val="24"/>
          <w:szCs w:val="28"/>
        </w:rPr>
        <w:t>上述</w:t>
      </w:r>
      <w:r>
        <w:rPr>
          <w:rFonts w:ascii="楷体" w:hAnsi="楷体" w:eastAsia="楷体"/>
          <w:sz w:val="24"/>
          <w:szCs w:val="28"/>
        </w:rPr>
        <w:t>规定时间到达</w:t>
      </w:r>
      <w:r>
        <w:rPr>
          <w:rFonts w:hint="eastAsia" w:ascii="楷体" w:hAnsi="楷体" w:eastAsia="楷体"/>
          <w:sz w:val="24"/>
          <w:szCs w:val="28"/>
        </w:rPr>
        <w:t>信银理财</w:t>
      </w:r>
      <w:r>
        <w:rPr>
          <w:rFonts w:ascii="楷体" w:hAnsi="楷体" w:eastAsia="楷体"/>
          <w:sz w:val="24"/>
          <w:szCs w:val="28"/>
        </w:rPr>
        <w:t>指定银行账户</w:t>
      </w:r>
      <w:r>
        <w:rPr>
          <w:rFonts w:hint="eastAsia" w:ascii="楷体" w:hAnsi="楷体" w:eastAsia="楷体"/>
          <w:sz w:val="24"/>
          <w:szCs w:val="28"/>
        </w:rPr>
        <w:t>的</w:t>
      </w:r>
      <w:r>
        <w:rPr>
          <w:rFonts w:ascii="楷体" w:hAnsi="楷体" w:eastAsia="楷体"/>
          <w:sz w:val="24"/>
          <w:szCs w:val="28"/>
        </w:rPr>
        <w:t>，信银理财不承担任何责任</w:t>
      </w:r>
      <w:r>
        <w:rPr>
          <w:rFonts w:hint="eastAsia" w:ascii="楷体" w:hAnsi="楷体" w:eastAsia="楷体"/>
          <w:sz w:val="24"/>
          <w:szCs w:val="28"/>
        </w:rPr>
        <w:t>。</w:t>
      </w:r>
      <w:r>
        <w:rPr>
          <w:rFonts w:hint="eastAsia" w:ascii="楷体_GB2312" w:eastAsia="楷体_GB2312"/>
          <w:sz w:val="24"/>
          <w:szCs w:val="28"/>
        </w:rPr>
        <w:t>投资者应就前述情况给信银理财造成的损失承担责任。</w:t>
      </w:r>
    </w:p>
    <w:p w14:paraId="3DE309BE">
      <w:pPr>
        <w:ind w:left="-176" w:leftChars="-84" w:firstLine="408" w:firstLineChars="170"/>
        <w:rPr>
          <w:rFonts w:ascii="楷体" w:hAnsi="楷体" w:eastAsia="楷体"/>
          <w:sz w:val="24"/>
          <w:szCs w:val="28"/>
        </w:rPr>
      </w:pPr>
      <w:r>
        <w:rPr>
          <w:rFonts w:ascii="楷体" w:hAnsi="楷体" w:eastAsia="楷体"/>
          <w:sz w:val="24"/>
          <w:szCs w:val="28"/>
        </w:rPr>
        <w:t>6.</w:t>
      </w:r>
      <w:r>
        <w:rPr>
          <w:rFonts w:hint="eastAsia" w:ascii="楷体" w:hAnsi="楷体" w:eastAsia="楷体"/>
          <w:sz w:val="24"/>
          <w:szCs w:val="28"/>
        </w:rPr>
        <w:t>投资者通过</w:t>
      </w:r>
      <w:r>
        <w:rPr>
          <w:rFonts w:ascii="楷体" w:hAnsi="楷体" w:eastAsia="楷体"/>
          <w:sz w:val="24"/>
          <w:szCs w:val="28"/>
        </w:rPr>
        <w:t>电子渠道购买时</w:t>
      </w:r>
      <w:r>
        <w:rPr>
          <w:rFonts w:hint="eastAsia" w:ascii="楷体" w:hAnsi="楷体" w:eastAsia="楷体"/>
          <w:sz w:val="24"/>
          <w:szCs w:val="28"/>
        </w:rPr>
        <w:t>进行</w:t>
      </w:r>
      <w:r>
        <w:rPr>
          <w:rFonts w:ascii="楷体" w:hAnsi="楷体" w:eastAsia="楷体"/>
          <w:sz w:val="24"/>
          <w:szCs w:val="28"/>
        </w:rPr>
        <w:t>交易的银行账户或</w:t>
      </w:r>
      <w:r>
        <w:rPr>
          <w:rFonts w:hint="eastAsia" w:ascii="楷体" w:hAnsi="楷体" w:eastAsia="楷体"/>
          <w:sz w:val="24"/>
          <w:szCs w:val="28"/>
        </w:rPr>
        <w:t>在营业场所</w:t>
      </w:r>
      <w:r>
        <w:rPr>
          <w:rFonts w:ascii="楷体" w:hAnsi="楷体" w:eastAsia="楷体"/>
          <w:sz w:val="24"/>
          <w:szCs w:val="28"/>
        </w:rPr>
        <w:t>购买时</w:t>
      </w:r>
      <w:r>
        <w:rPr>
          <w:rFonts w:hint="eastAsia" w:ascii="楷体" w:hAnsi="楷体" w:eastAsia="楷体"/>
          <w:sz w:val="24"/>
          <w:szCs w:val="28"/>
        </w:rPr>
        <w:t>在《账户类业务</w:t>
      </w:r>
      <w:r>
        <w:rPr>
          <w:rFonts w:ascii="楷体" w:hAnsi="楷体" w:eastAsia="楷体"/>
          <w:sz w:val="24"/>
          <w:szCs w:val="28"/>
        </w:rPr>
        <w:t>申请表</w:t>
      </w:r>
      <w:r>
        <w:rPr>
          <w:rFonts w:hint="eastAsia" w:ascii="楷体" w:hAnsi="楷体" w:eastAsia="楷体"/>
          <w:sz w:val="24"/>
          <w:szCs w:val="28"/>
        </w:rPr>
        <w:t>（个人</w:t>
      </w:r>
      <w:r>
        <w:rPr>
          <w:rFonts w:ascii="楷体" w:hAnsi="楷体" w:eastAsia="楷体"/>
          <w:sz w:val="24"/>
          <w:szCs w:val="28"/>
        </w:rPr>
        <w:t>客户版）》</w:t>
      </w:r>
      <w:r>
        <w:rPr>
          <w:rFonts w:hint="eastAsia" w:ascii="楷体" w:hAnsi="楷体" w:eastAsia="楷体"/>
          <w:sz w:val="24"/>
          <w:szCs w:val="28"/>
        </w:rPr>
        <w:t>上预留</w:t>
      </w:r>
      <w:r>
        <w:rPr>
          <w:rFonts w:ascii="楷体" w:hAnsi="楷体" w:eastAsia="楷体"/>
          <w:sz w:val="24"/>
          <w:szCs w:val="28"/>
        </w:rPr>
        <w:t>的银行账户为</w:t>
      </w:r>
      <w:r>
        <w:rPr>
          <w:rFonts w:hint="eastAsia" w:ascii="楷体" w:hAnsi="楷体" w:eastAsia="楷体"/>
          <w:sz w:val="24"/>
          <w:szCs w:val="28"/>
        </w:rPr>
        <w:t>其</w:t>
      </w:r>
      <w:r>
        <w:rPr>
          <w:rFonts w:ascii="楷体" w:hAnsi="楷体" w:eastAsia="楷体"/>
          <w:sz w:val="24"/>
          <w:szCs w:val="28"/>
        </w:rPr>
        <w:t>指定</w:t>
      </w:r>
      <w:r>
        <w:rPr>
          <w:rFonts w:hint="eastAsia" w:ascii="楷体" w:hAnsi="楷体" w:eastAsia="楷体"/>
          <w:sz w:val="24"/>
          <w:szCs w:val="28"/>
        </w:rPr>
        <w:t>资金</w:t>
      </w:r>
      <w:r>
        <w:rPr>
          <w:rFonts w:ascii="楷体" w:hAnsi="楷体" w:eastAsia="楷体"/>
          <w:sz w:val="24"/>
          <w:szCs w:val="28"/>
        </w:rPr>
        <w:t>回款账户。</w:t>
      </w:r>
      <w:r>
        <w:rPr>
          <w:rFonts w:hint="eastAsia" w:ascii="楷体" w:hAnsi="楷体" w:eastAsia="楷体"/>
          <w:sz w:val="24"/>
          <w:szCs w:val="28"/>
        </w:rPr>
        <w:t>产品</w:t>
      </w:r>
      <w:r>
        <w:rPr>
          <w:rFonts w:ascii="楷体" w:hAnsi="楷体" w:eastAsia="楷体"/>
          <w:sz w:val="24"/>
          <w:szCs w:val="28"/>
        </w:rPr>
        <w:t>不成立、交易失败</w:t>
      </w:r>
      <w:r>
        <w:rPr>
          <w:rFonts w:hint="eastAsia" w:ascii="楷体" w:hAnsi="楷体" w:eastAsia="楷体"/>
          <w:sz w:val="24"/>
          <w:szCs w:val="28"/>
        </w:rPr>
        <w:t>、部分</w:t>
      </w:r>
      <w:r>
        <w:rPr>
          <w:rFonts w:ascii="楷体" w:hAnsi="楷体" w:eastAsia="楷体"/>
          <w:sz w:val="24"/>
          <w:szCs w:val="28"/>
        </w:rPr>
        <w:t>交易成功、投资者撤单时</w:t>
      </w:r>
      <w:r>
        <w:rPr>
          <w:rFonts w:hint="eastAsia" w:ascii="楷体" w:hAnsi="楷体" w:eastAsia="楷体"/>
          <w:sz w:val="24"/>
          <w:szCs w:val="28"/>
        </w:rPr>
        <w:t>信银理财</w:t>
      </w:r>
      <w:r>
        <w:rPr>
          <w:rFonts w:ascii="楷体" w:hAnsi="楷体" w:eastAsia="楷体"/>
          <w:sz w:val="24"/>
          <w:szCs w:val="28"/>
        </w:rPr>
        <w:t>向</w:t>
      </w:r>
      <w:r>
        <w:rPr>
          <w:rFonts w:hint="eastAsia" w:ascii="楷体" w:hAnsi="楷体" w:eastAsia="楷体"/>
          <w:sz w:val="24"/>
          <w:szCs w:val="28"/>
        </w:rPr>
        <w:t>投资者</w:t>
      </w:r>
      <w:r>
        <w:rPr>
          <w:rFonts w:ascii="楷体" w:hAnsi="楷体" w:eastAsia="楷体"/>
          <w:sz w:val="24"/>
          <w:szCs w:val="28"/>
        </w:rPr>
        <w:t>退还</w:t>
      </w:r>
      <w:r>
        <w:rPr>
          <w:rFonts w:hint="eastAsia" w:ascii="楷体" w:hAnsi="楷体" w:eastAsia="楷体"/>
          <w:sz w:val="24"/>
          <w:szCs w:val="28"/>
        </w:rPr>
        <w:t>的</w:t>
      </w:r>
      <w:r>
        <w:rPr>
          <w:rFonts w:ascii="楷体" w:hAnsi="楷体" w:eastAsia="楷体"/>
          <w:sz w:val="24"/>
          <w:szCs w:val="28"/>
        </w:rPr>
        <w:t>款项以及理财产品</w:t>
      </w:r>
      <w:r>
        <w:rPr>
          <w:rFonts w:hint="eastAsia" w:ascii="楷体" w:hAnsi="楷体" w:eastAsia="楷体"/>
          <w:sz w:val="24"/>
          <w:szCs w:val="28"/>
        </w:rPr>
        <w:t>赎回</w:t>
      </w:r>
      <w:r>
        <w:rPr>
          <w:rFonts w:ascii="楷体" w:hAnsi="楷体" w:eastAsia="楷体"/>
          <w:sz w:val="24"/>
          <w:szCs w:val="28"/>
        </w:rPr>
        <w:t>、</w:t>
      </w:r>
      <w:r>
        <w:rPr>
          <w:rFonts w:hint="eastAsia" w:ascii="楷体" w:hAnsi="楷体" w:eastAsia="楷体"/>
          <w:sz w:val="24"/>
          <w:szCs w:val="28"/>
        </w:rPr>
        <w:t>分红、清盘等资金</w:t>
      </w:r>
      <w:r>
        <w:rPr>
          <w:rFonts w:ascii="楷体" w:hAnsi="楷体" w:eastAsia="楷体"/>
          <w:sz w:val="24"/>
          <w:szCs w:val="28"/>
        </w:rPr>
        <w:t>将汇划至该账户。</w:t>
      </w:r>
    </w:p>
    <w:p w14:paraId="08980040">
      <w:pPr>
        <w:ind w:left="-176" w:leftChars="-84" w:firstLine="408" w:firstLineChars="170"/>
        <w:rPr>
          <w:rFonts w:ascii="楷体_GB2312" w:hAnsi="宋体" w:eastAsia="楷体_GB2312"/>
          <w:color w:val="000000"/>
          <w:sz w:val="24"/>
          <w:szCs w:val="24"/>
        </w:rPr>
      </w:pPr>
      <w:r>
        <w:rPr>
          <w:rFonts w:ascii="楷体_GB2312" w:hAnsi="宋体" w:eastAsia="楷体_GB2312"/>
          <w:color w:val="000000"/>
          <w:sz w:val="24"/>
          <w:szCs w:val="24"/>
        </w:rPr>
        <w:t>7</w:t>
      </w:r>
      <w:r>
        <w:rPr>
          <w:rFonts w:hint="eastAsia" w:ascii="楷体_GB2312" w:hAnsi="宋体" w:eastAsia="楷体_GB2312"/>
          <w:color w:val="000000"/>
          <w:sz w:val="24"/>
          <w:szCs w:val="24"/>
        </w:rPr>
        <w:t>.在本协议有效期</w:t>
      </w:r>
      <w:r>
        <w:rPr>
          <w:rFonts w:ascii="楷体_GB2312" w:hAnsi="宋体" w:eastAsia="楷体_GB2312"/>
          <w:color w:val="000000"/>
          <w:sz w:val="24"/>
          <w:szCs w:val="24"/>
        </w:rPr>
        <w:t>内</w:t>
      </w:r>
      <w:r>
        <w:rPr>
          <w:rFonts w:hint="eastAsia" w:ascii="楷体_GB2312" w:hAnsi="宋体" w:eastAsia="楷体_GB2312"/>
          <w:color w:val="000000"/>
          <w:sz w:val="24"/>
          <w:szCs w:val="24"/>
        </w:rPr>
        <w:t>，投资者应该保证指定的银行账户状态正常，因任何原因造成该银行账户销户或状态不正常，投资者有义务向信银理财做出合理说明，并书面申请变更。如果由于投资者原因导致赎回款、分红等资金不能及时入账，由此产生的任何损失由投资者自行承担。</w:t>
      </w:r>
    </w:p>
    <w:p w14:paraId="77C49592">
      <w:pPr>
        <w:ind w:left="-176" w:leftChars="-84" w:firstLine="410" w:firstLineChars="170"/>
        <w:rPr>
          <w:rFonts w:ascii="楷体_GB2312" w:hAnsi="宋体" w:eastAsia="楷体_GB2312"/>
          <w:b/>
          <w:bCs/>
          <w:color w:val="000000"/>
          <w:sz w:val="24"/>
          <w:szCs w:val="24"/>
        </w:rPr>
      </w:pPr>
      <w:r>
        <w:rPr>
          <w:rFonts w:ascii="楷体_GB2312" w:hAnsi="宋体" w:eastAsia="楷体_GB2312"/>
          <w:b/>
          <w:bCs/>
          <w:color w:val="000000"/>
          <w:sz w:val="24"/>
          <w:szCs w:val="24"/>
        </w:rPr>
        <w:t>8.投资者同意，</w:t>
      </w:r>
      <w:r>
        <w:rPr>
          <w:rFonts w:hint="eastAsia" w:ascii="楷体_GB2312" w:hAnsi="宋体" w:eastAsia="楷体_GB2312"/>
          <w:b/>
          <w:bCs/>
          <w:color w:val="000000"/>
          <w:sz w:val="24"/>
          <w:szCs w:val="24"/>
        </w:rPr>
        <w:t>信银理财在合法合规的前提下可通过投资者在信银理财预留的联系方式向投资者推送有关其理财产品的宣传、推介信息、营销活动、服务通知等。如投资者不同意接收信银理财推送的信息，可通过信银理财客服电话【</w:t>
      </w:r>
      <w:r>
        <w:rPr>
          <w:rFonts w:hint="eastAsia" w:ascii="楷体_GB2312" w:hAnsi="宋体" w:eastAsia="楷体_GB2312" w:cs="宋体"/>
          <w:bCs/>
          <w:color w:val="2F2F2F"/>
          <w:kern w:val="0"/>
          <w:sz w:val="24"/>
        </w:rPr>
        <w:t>950950</w:t>
      </w:r>
      <w:r>
        <w:rPr>
          <w:rFonts w:hint="eastAsia" w:ascii="楷体_GB2312" w:hAnsi="宋体" w:eastAsia="楷体_GB2312"/>
          <w:b/>
          <w:bCs/>
          <w:color w:val="000000"/>
          <w:sz w:val="24"/>
          <w:szCs w:val="24"/>
        </w:rPr>
        <w:t>】、信银理财客服邮箱【</w:t>
      </w:r>
      <w:r>
        <w:rPr>
          <w:rFonts w:hint="eastAsia" w:ascii="楷体_GB2312" w:hAnsi="宋体" w:eastAsia="楷体_GB2312" w:cs="宋体"/>
          <w:bCs/>
          <w:color w:val="2F2F2F"/>
          <w:kern w:val="0"/>
          <w:sz w:val="24"/>
        </w:rPr>
        <w:t>http://www.citic-wealth.com/</w:t>
      </w:r>
      <w:r>
        <w:rPr>
          <w:rFonts w:hint="eastAsia" w:ascii="楷体_GB2312" w:hAnsi="宋体" w:eastAsia="楷体_GB2312"/>
          <w:b/>
          <w:bCs/>
          <w:color w:val="000000"/>
          <w:sz w:val="24"/>
          <w:szCs w:val="24"/>
        </w:rPr>
        <w:t>】联系信银理财要求停止推送或通过推送时提供的退订服务选择停止接受推送。</w:t>
      </w:r>
    </w:p>
    <w:p w14:paraId="5E20C564">
      <w:pPr>
        <w:ind w:left="-176" w:leftChars="-84" w:firstLine="408" w:firstLineChars="170"/>
        <w:rPr>
          <w:rFonts w:ascii="楷体_GB2312" w:hAnsi="宋体" w:eastAsia="楷体_GB2312"/>
          <w:color w:val="000000"/>
          <w:sz w:val="24"/>
          <w:szCs w:val="24"/>
        </w:rPr>
      </w:pPr>
      <w:r>
        <w:rPr>
          <w:rFonts w:ascii="楷体_GB2312" w:hAnsi="宋体" w:eastAsia="楷体_GB2312"/>
          <w:color w:val="000000"/>
          <w:sz w:val="24"/>
          <w:szCs w:val="24"/>
        </w:rPr>
        <w:t>9</w:t>
      </w:r>
      <w:r>
        <w:rPr>
          <w:rFonts w:hint="eastAsia" w:ascii="楷体_GB2312" w:hAnsi="宋体" w:eastAsia="楷体_GB2312"/>
          <w:color w:val="000000"/>
          <w:sz w:val="24"/>
          <w:szCs w:val="24"/>
        </w:rPr>
        <w:t>.信银理财有权收取交易费</w:t>
      </w:r>
      <w:r>
        <w:rPr>
          <w:rFonts w:ascii="楷体_GB2312" w:hAnsi="宋体" w:eastAsia="楷体_GB2312"/>
          <w:color w:val="000000"/>
          <w:sz w:val="24"/>
          <w:szCs w:val="24"/>
        </w:rPr>
        <w:t>、</w:t>
      </w:r>
      <w:r>
        <w:rPr>
          <w:rFonts w:hint="eastAsia" w:ascii="楷体_GB2312" w:hAnsi="宋体" w:eastAsia="楷体_GB2312"/>
          <w:color w:val="000000"/>
          <w:sz w:val="24"/>
          <w:szCs w:val="24"/>
        </w:rPr>
        <w:t>销售服务费、托管费及投资管理费等相关费用，具体费用名目、类别、收费方式和标准在产品说明书中载明。</w:t>
      </w:r>
    </w:p>
    <w:p w14:paraId="03F1F3D7">
      <w:pPr>
        <w:ind w:left="-176" w:leftChars="-84" w:firstLine="408" w:firstLineChars="170"/>
        <w:rPr>
          <w:rFonts w:ascii="楷体_GB2312" w:hAnsi="宋体" w:eastAsia="楷体_GB2312"/>
          <w:color w:val="000000"/>
          <w:sz w:val="24"/>
          <w:szCs w:val="24"/>
        </w:rPr>
      </w:pPr>
      <w:r>
        <w:rPr>
          <w:rFonts w:ascii="楷体_GB2312" w:hAnsi="宋体" w:eastAsia="楷体_GB2312"/>
          <w:color w:val="000000"/>
          <w:sz w:val="24"/>
          <w:szCs w:val="24"/>
        </w:rPr>
        <w:t>10</w:t>
      </w:r>
      <w:r>
        <w:rPr>
          <w:rFonts w:hint="eastAsia" w:ascii="楷体_GB2312" w:hAnsi="宋体" w:eastAsia="楷体_GB2312"/>
          <w:color w:val="000000"/>
          <w:sz w:val="24"/>
          <w:szCs w:val="24"/>
        </w:rPr>
        <w:t>.本理财产品收益（如有）为未扣税收益，投资者应根据国家规定自行纳税。如根据有关法律规定或税务机关要求，信银理财有权代扣代缴。</w:t>
      </w:r>
    </w:p>
    <w:p w14:paraId="0DBE5D9C">
      <w:pPr>
        <w:ind w:left="-176" w:leftChars="-84" w:firstLine="408" w:firstLineChars="170"/>
        <w:rPr>
          <w:rFonts w:ascii="楷体_GB2312" w:hAnsi="宋体" w:eastAsia="楷体_GB2312"/>
          <w:color w:val="000000"/>
          <w:sz w:val="24"/>
          <w:szCs w:val="24"/>
        </w:rPr>
      </w:pPr>
      <w:r>
        <w:rPr>
          <w:rFonts w:hint="eastAsia" w:ascii="楷体_GB2312" w:hAnsi="宋体" w:eastAsia="楷体_GB2312"/>
          <w:color w:val="000000"/>
          <w:sz w:val="24"/>
          <w:szCs w:val="24"/>
        </w:rPr>
        <w:t>1</w:t>
      </w:r>
      <w:r>
        <w:rPr>
          <w:rFonts w:ascii="楷体_GB2312" w:hAnsi="宋体" w:eastAsia="楷体_GB2312"/>
          <w:color w:val="000000"/>
          <w:sz w:val="24"/>
          <w:szCs w:val="24"/>
        </w:rPr>
        <w:t>1. 信银理财应按照国务院银行业监督管理机构规定对投资者身份信息的真实性进行验证，结合投资者年龄、地区和行业背景，充分了解投资者基本信息、收入来源、财务状况、投资经验、投资目标和风险偏好等，严谨客观实施风险承受能力评估，审慎使用评估结果。根据投资者的风险承受能力销售不同风险等级的产品，把合适的理财产品销售给合适的投资者。投资者知悉并同意接受上述安排和流程。</w:t>
      </w:r>
    </w:p>
    <w:p w14:paraId="5B001B99">
      <w:pPr>
        <w:ind w:left="-176" w:leftChars="-84" w:firstLine="408" w:firstLineChars="170"/>
        <w:rPr>
          <w:rFonts w:ascii="楷体_GB2312" w:hAnsi="宋体" w:eastAsia="楷体_GB2312"/>
          <w:color w:val="000000"/>
          <w:sz w:val="24"/>
          <w:szCs w:val="24"/>
        </w:rPr>
      </w:pPr>
      <w:r>
        <w:rPr>
          <w:rFonts w:hint="eastAsia" w:ascii="楷体_GB2312" w:hAnsi="宋体" w:eastAsia="楷体_GB2312"/>
          <w:color w:val="000000"/>
          <w:sz w:val="24"/>
          <w:szCs w:val="24"/>
        </w:rPr>
        <w:t>1</w:t>
      </w:r>
      <w:r>
        <w:rPr>
          <w:rFonts w:ascii="楷体_GB2312" w:hAnsi="宋体" w:eastAsia="楷体_GB2312"/>
          <w:color w:val="000000"/>
          <w:sz w:val="24"/>
          <w:szCs w:val="24"/>
        </w:rPr>
        <w:t>2. 信银理财通过营业网点向个人投资者销售理财产品的，应当按照国务院银行业监督管理机构的相关规定实施理财产品销售专区管理，面向投资者严格有效区分理财产品与其他金融产品。信银理财应当在销售专区内对每只理财产品销售过程进行录音录像，销售专区应当具有明显标识。投资者知悉并同意接受上述安排和流程。</w:t>
      </w:r>
    </w:p>
    <w:p w14:paraId="31BF2B86">
      <w:pPr>
        <w:ind w:left="-176" w:leftChars="-84" w:firstLine="408" w:firstLineChars="170"/>
        <w:rPr>
          <w:rFonts w:ascii="楷体_GB2312" w:hAnsi="宋体" w:eastAsia="楷体_GB2312"/>
          <w:color w:val="000000"/>
          <w:sz w:val="24"/>
          <w:szCs w:val="24"/>
        </w:rPr>
      </w:pPr>
      <w:r>
        <w:rPr>
          <w:rFonts w:hint="eastAsia" w:ascii="楷体_GB2312" w:hAnsi="宋体" w:eastAsia="楷体_GB2312"/>
          <w:color w:val="000000"/>
          <w:sz w:val="24"/>
          <w:szCs w:val="24"/>
        </w:rPr>
        <w:t>1</w:t>
      </w:r>
      <w:r>
        <w:rPr>
          <w:rFonts w:ascii="楷体_GB2312" w:hAnsi="宋体" w:eastAsia="楷体_GB2312"/>
          <w:color w:val="000000"/>
          <w:sz w:val="24"/>
          <w:szCs w:val="24"/>
        </w:rPr>
        <w:t>3. 信银理财通过电子渠道向个人投资者销售理财产品的，</w:t>
      </w:r>
      <w:r>
        <w:rPr>
          <w:rFonts w:hint="eastAsia" w:ascii="楷体_GB2312" w:hAnsi="宋体" w:eastAsia="楷体_GB2312"/>
          <w:color w:val="000000"/>
          <w:sz w:val="24"/>
          <w:szCs w:val="24"/>
        </w:rPr>
        <w:t>应当积极采取有效措施和技术手段完整客观记录营销推介、产品风险和关键信息提示、投资者确认和反馈等重点销售环节，确保能够满足回溯检查和核查取证的需要。投资者同意信银理财进行上述记录行为。</w:t>
      </w:r>
    </w:p>
    <w:p w14:paraId="4826DDBE">
      <w:pPr>
        <w:ind w:left="-176" w:leftChars="-84" w:firstLine="408" w:firstLineChars="170"/>
        <w:rPr>
          <w:rFonts w:ascii="楷体_GB2312" w:hAnsi="宋体" w:eastAsia="楷体_GB2312"/>
          <w:color w:val="000000"/>
          <w:sz w:val="24"/>
          <w:szCs w:val="24"/>
        </w:rPr>
      </w:pPr>
      <w:r>
        <w:rPr>
          <w:rFonts w:hint="eastAsia" w:ascii="楷体_GB2312" w:hAnsi="宋体" w:eastAsia="楷体_GB2312"/>
          <w:color w:val="000000"/>
          <w:sz w:val="24"/>
          <w:szCs w:val="24"/>
        </w:rPr>
        <w:t>1</w:t>
      </w:r>
      <w:r>
        <w:rPr>
          <w:rFonts w:ascii="楷体_GB2312" w:hAnsi="宋体" w:eastAsia="楷体_GB2312"/>
          <w:color w:val="000000"/>
          <w:sz w:val="24"/>
          <w:szCs w:val="24"/>
        </w:rPr>
        <w:t>4. 信银理财销售人员均为与信银理财签订劳动合同并经信银理财进行了上岗资格认定的人员。投资者可要求销售人员在向投资者宣传销售理财产品前进行自我介绍并告知投资者关于销售人员的信息查询和核实渠道。</w:t>
      </w:r>
    </w:p>
    <w:p w14:paraId="3007BEAE">
      <w:pPr>
        <w:ind w:left="-176" w:leftChars="-84" w:firstLine="410" w:firstLineChars="170"/>
        <w:rPr>
          <w:rFonts w:ascii="黑体" w:eastAsia="黑体"/>
          <w:b/>
          <w:sz w:val="24"/>
          <w:szCs w:val="24"/>
        </w:rPr>
      </w:pPr>
      <w:r>
        <w:rPr>
          <w:rFonts w:hint="eastAsia" w:ascii="黑体" w:eastAsia="黑体"/>
          <w:b/>
          <w:sz w:val="24"/>
          <w:szCs w:val="24"/>
        </w:rPr>
        <w:t>四、违约责任</w:t>
      </w:r>
    </w:p>
    <w:p w14:paraId="5640D55C">
      <w:pPr>
        <w:ind w:left="-176" w:leftChars="-84" w:firstLine="408" w:firstLineChars="170"/>
        <w:rPr>
          <w:rFonts w:ascii="楷体_GB2312" w:hAnsi="宋体" w:eastAsia="楷体_GB2312"/>
          <w:color w:val="000000"/>
          <w:sz w:val="24"/>
          <w:szCs w:val="24"/>
        </w:rPr>
      </w:pPr>
      <w:r>
        <w:rPr>
          <w:rFonts w:hint="eastAsia" w:ascii="楷体_GB2312" w:hAnsi="宋体" w:eastAsia="楷体_GB2312"/>
          <w:color w:val="000000"/>
          <w:sz w:val="24"/>
          <w:szCs w:val="24"/>
        </w:rPr>
        <w:t>双方因违反本协议约定而给对方造成损失的，违约方</w:t>
      </w:r>
      <w:r>
        <w:rPr>
          <w:rFonts w:ascii="楷体_GB2312" w:hAnsi="宋体" w:eastAsia="楷体_GB2312"/>
          <w:color w:val="000000"/>
          <w:sz w:val="24"/>
          <w:szCs w:val="24"/>
        </w:rPr>
        <w:t>应赔偿因此给</w:t>
      </w:r>
      <w:r>
        <w:rPr>
          <w:rFonts w:hint="eastAsia" w:ascii="楷体_GB2312" w:hAnsi="宋体" w:eastAsia="楷体_GB2312"/>
          <w:color w:val="000000"/>
          <w:sz w:val="24"/>
          <w:szCs w:val="24"/>
        </w:rPr>
        <w:t>对</w:t>
      </w:r>
      <w:r>
        <w:rPr>
          <w:rFonts w:ascii="楷体_GB2312" w:hAnsi="宋体" w:eastAsia="楷体_GB2312"/>
          <w:color w:val="000000"/>
          <w:sz w:val="24"/>
          <w:szCs w:val="24"/>
        </w:rPr>
        <w:t>方造成的直接损失。</w:t>
      </w:r>
    </w:p>
    <w:p w14:paraId="7C74291F">
      <w:pPr>
        <w:ind w:left="-176" w:leftChars="-84" w:firstLine="410" w:firstLineChars="170"/>
        <w:rPr>
          <w:rFonts w:ascii="黑体" w:eastAsia="黑体"/>
          <w:b/>
          <w:sz w:val="24"/>
          <w:szCs w:val="24"/>
        </w:rPr>
      </w:pPr>
      <w:r>
        <w:rPr>
          <w:rFonts w:hint="eastAsia" w:ascii="黑体" w:eastAsia="黑体"/>
          <w:b/>
          <w:sz w:val="24"/>
          <w:szCs w:val="24"/>
        </w:rPr>
        <w:t>五、免责内容</w:t>
      </w:r>
    </w:p>
    <w:p w14:paraId="0ABE31CC">
      <w:pPr>
        <w:ind w:left="-176" w:leftChars="-84" w:firstLine="410" w:firstLineChars="170"/>
        <w:rPr>
          <w:rFonts w:ascii="楷体_GB2312" w:hAnsi="宋体" w:eastAsia="楷体_GB2312"/>
          <w:b/>
          <w:color w:val="000000"/>
          <w:sz w:val="24"/>
          <w:szCs w:val="24"/>
        </w:rPr>
      </w:pPr>
      <w:r>
        <w:rPr>
          <w:rFonts w:hint="eastAsia" w:ascii="楷体_GB2312" w:hAnsi="宋体" w:eastAsia="楷体_GB2312"/>
          <w:b/>
          <w:color w:val="000000"/>
          <w:sz w:val="24"/>
          <w:szCs w:val="24"/>
        </w:rPr>
        <w:t>因法律法规或监管政策变化、自然灾害、意外事故、战争、系统故障、通讯故障等信银理财不可控制的因素，导致信银理财无法或延后履行本协议有关义务的，信银理财不承担责任，但因信银理财故意或重大过失造成的系统故障、通讯故障等因素除外。</w:t>
      </w:r>
    </w:p>
    <w:p w14:paraId="1593A5DC">
      <w:pPr>
        <w:ind w:left="-176" w:leftChars="-84" w:firstLine="410" w:firstLineChars="170"/>
        <w:rPr>
          <w:rFonts w:ascii="黑体" w:eastAsia="黑体"/>
          <w:b/>
          <w:sz w:val="24"/>
          <w:szCs w:val="24"/>
        </w:rPr>
      </w:pPr>
      <w:r>
        <w:rPr>
          <w:rFonts w:hint="eastAsia" w:ascii="黑体" w:eastAsia="黑体"/>
          <w:b/>
          <w:sz w:val="24"/>
          <w:szCs w:val="24"/>
        </w:rPr>
        <w:t>六、本协议的生效与终止</w:t>
      </w:r>
    </w:p>
    <w:p w14:paraId="4374F0AA">
      <w:pPr>
        <w:ind w:left="-176" w:leftChars="-84" w:firstLine="408" w:firstLineChars="170"/>
        <w:rPr>
          <w:rFonts w:ascii="楷体_GB2312" w:hAnsi="宋体" w:eastAsia="楷体_GB2312"/>
          <w:color w:val="000000"/>
          <w:sz w:val="24"/>
          <w:szCs w:val="24"/>
        </w:rPr>
      </w:pPr>
      <w:r>
        <w:rPr>
          <w:rFonts w:ascii="楷体_GB2312" w:hAnsi="宋体" w:eastAsia="楷体_GB2312"/>
          <w:color w:val="000000"/>
          <w:sz w:val="24"/>
          <w:szCs w:val="24"/>
        </w:rPr>
        <w:t>1.</w:t>
      </w:r>
      <w:r>
        <w:rPr>
          <w:rFonts w:hint="eastAsia"/>
        </w:rPr>
        <w:t xml:space="preserve"> </w:t>
      </w:r>
      <w:r>
        <w:rPr>
          <w:rFonts w:hint="eastAsia" w:ascii="楷体_GB2312" w:hAnsi="宋体" w:eastAsia="楷体_GB2312"/>
          <w:color w:val="000000"/>
          <w:sz w:val="24"/>
          <w:szCs w:val="24"/>
        </w:rPr>
        <w:t>本协议通过纸质形式签署的，自甲方签署（甲方为自然人的，应签字；甲方为机构或产品的，应加盖机构或产品管理人公章且其法定代表人或授权代表签章）且甲方产品认购/申购份额经乙方确认后生效。本协议通过电子形式签署的，自甲方通过乙方产品的电子销售渠道在线点击确认或勾选且甲方产品认购/申购份额经乙方确认后生效。甲方知悉并确认，乙方对于甲方认购/申购份额的确认即视为乙方对于本协议的签署和认可，甲方不得以乙方未在本协议上盖章为由主张本协议无效。如任一方拟终止本协议的，需以投资者购买的理财产品全部清算结束为前提。</w:t>
      </w:r>
    </w:p>
    <w:p w14:paraId="1BEA7DEB">
      <w:pPr>
        <w:widowControl/>
        <w:ind w:left="-176" w:leftChars="-84" w:firstLine="408" w:firstLineChars="170"/>
        <w:jc w:val="left"/>
        <w:rPr>
          <w:rFonts w:ascii="楷体_GB2312" w:hAnsi="宋体" w:eastAsia="楷体_GB2312" w:cs="宋体"/>
          <w:color w:val="000000"/>
          <w:kern w:val="0"/>
          <w:sz w:val="24"/>
          <w:szCs w:val="24"/>
        </w:rPr>
      </w:pPr>
      <w:r>
        <w:rPr>
          <w:rFonts w:ascii="楷体_GB2312" w:hAnsi="宋体" w:eastAsia="楷体_GB2312" w:cs="宋体"/>
          <w:color w:val="000000"/>
          <w:kern w:val="0"/>
          <w:sz w:val="24"/>
          <w:szCs w:val="24"/>
        </w:rPr>
        <w:t>2</w:t>
      </w:r>
      <w:r>
        <w:rPr>
          <w:rFonts w:hint="eastAsia" w:ascii="楷体_GB2312" w:hAnsi="宋体" w:eastAsia="楷体_GB2312" w:cs="宋体"/>
          <w:color w:val="000000"/>
          <w:kern w:val="0"/>
          <w:sz w:val="24"/>
          <w:szCs w:val="24"/>
        </w:rPr>
        <w:t>.如投资者于本协议生效前自信银理财营业场所或电子渠道处购买理财产品的，双方应受该理财产品相关销售文件的约束，该理财产品不适用于本协议。</w:t>
      </w:r>
    </w:p>
    <w:p w14:paraId="1CCCD493">
      <w:pPr>
        <w:ind w:left="-176" w:leftChars="-84" w:firstLine="410" w:firstLineChars="170"/>
        <w:rPr>
          <w:rFonts w:ascii="黑体" w:eastAsia="黑体"/>
          <w:b/>
          <w:sz w:val="24"/>
          <w:szCs w:val="24"/>
        </w:rPr>
      </w:pPr>
      <w:r>
        <w:rPr>
          <w:rFonts w:hint="eastAsia" w:ascii="黑体" w:eastAsia="黑体"/>
          <w:b/>
          <w:sz w:val="24"/>
          <w:szCs w:val="24"/>
        </w:rPr>
        <w:t>七、争议解决</w:t>
      </w:r>
    </w:p>
    <w:p w14:paraId="1E7F7007">
      <w:pPr>
        <w:ind w:left="-176" w:leftChars="-84" w:firstLine="408" w:firstLineChars="170"/>
        <w:rPr>
          <w:rFonts w:ascii="楷体_GB2312" w:hAnsi="宋体" w:eastAsia="楷体_GB2312"/>
          <w:bCs/>
          <w:color w:val="000000"/>
          <w:sz w:val="24"/>
          <w:szCs w:val="24"/>
        </w:rPr>
      </w:pPr>
      <w:r>
        <w:rPr>
          <w:rFonts w:hint="eastAsia" w:ascii="楷体_GB2312" w:hAnsi="宋体" w:eastAsia="楷体_GB2312"/>
          <w:bCs/>
          <w:color w:val="000000"/>
          <w:sz w:val="24"/>
          <w:szCs w:val="24"/>
        </w:rPr>
        <w:t>1</w:t>
      </w:r>
      <w:r>
        <w:rPr>
          <w:rFonts w:ascii="楷体_GB2312" w:hAnsi="宋体" w:eastAsia="楷体_GB2312"/>
          <w:bCs/>
          <w:color w:val="000000"/>
          <w:sz w:val="24"/>
          <w:szCs w:val="24"/>
        </w:rPr>
        <w:t>.</w:t>
      </w:r>
      <w:r>
        <w:rPr>
          <w:rFonts w:hint="eastAsia"/>
        </w:rPr>
        <w:t xml:space="preserve"> </w:t>
      </w:r>
      <w:r>
        <w:rPr>
          <w:rFonts w:hint="eastAsia" w:ascii="楷体_GB2312" w:hAnsi="宋体" w:eastAsia="楷体_GB2312"/>
          <w:bCs/>
          <w:color w:val="000000"/>
          <w:sz w:val="24"/>
          <w:szCs w:val="24"/>
        </w:rPr>
        <w:t>本协议适用中华人民共和国法律（为履行本协议之目的，不包括中国香港特别行政区、澳门特别行政区及台湾地区法律）。</w:t>
      </w:r>
    </w:p>
    <w:p w14:paraId="47AA4516">
      <w:pPr>
        <w:ind w:left="-176" w:leftChars="-84" w:firstLine="408" w:firstLineChars="170"/>
        <w:rPr>
          <w:rFonts w:ascii="楷体_GB2312" w:hAnsi="宋体" w:eastAsia="楷体_GB2312"/>
          <w:bCs/>
          <w:color w:val="000000"/>
          <w:sz w:val="24"/>
          <w:szCs w:val="24"/>
        </w:rPr>
      </w:pPr>
      <w:r>
        <w:rPr>
          <w:rFonts w:hint="eastAsia" w:ascii="楷体_GB2312" w:hAnsi="宋体" w:eastAsia="楷体_GB2312"/>
          <w:bCs/>
          <w:color w:val="000000"/>
          <w:sz w:val="24"/>
          <w:szCs w:val="24"/>
        </w:rPr>
        <w:t>2</w:t>
      </w:r>
      <w:r>
        <w:rPr>
          <w:rFonts w:ascii="楷体_GB2312" w:hAnsi="宋体" w:eastAsia="楷体_GB2312"/>
          <w:bCs/>
          <w:color w:val="000000"/>
          <w:sz w:val="24"/>
          <w:szCs w:val="24"/>
        </w:rPr>
        <w:t>.</w:t>
      </w:r>
      <w:r>
        <w:rPr>
          <w:rFonts w:hint="eastAsia" w:ascii="楷体_GB2312" w:hAnsi="宋体" w:eastAsia="楷体_GB2312"/>
          <w:bCs/>
          <w:color w:val="000000"/>
          <w:sz w:val="24"/>
          <w:szCs w:val="24"/>
        </w:rPr>
        <w:t>甲乙双方在本协议项下发生任何争议时，应本着诚实信用的原则通过协商解决。如通过协商仍不能解决争议时，双方应将该等争议提交上海仲裁委员会仲裁，仲裁地在上海。仲裁裁决是终局性的，对双方均有约束力。除非仲裁裁决另有规定，双方为仲裁而实际支付的费用（包括但不限于仲裁费和律师费）由败诉方承担。</w:t>
      </w:r>
    </w:p>
    <w:p w14:paraId="0CA37FD7">
      <w:pPr>
        <w:ind w:left="-176" w:leftChars="-84" w:firstLine="408" w:firstLineChars="170"/>
        <w:rPr>
          <w:rFonts w:ascii="楷体_GB2312" w:hAnsi="宋体" w:eastAsia="楷体_GB2312"/>
          <w:color w:val="000000"/>
          <w:sz w:val="24"/>
          <w:szCs w:val="24"/>
        </w:rPr>
      </w:pPr>
      <w:r>
        <w:rPr>
          <w:rFonts w:hint="eastAsia" w:ascii="楷体_GB2312" w:hAnsi="宋体" w:eastAsia="楷体_GB2312"/>
          <w:bCs/>
          <w:color w:val="000000"/>
          <w:sz w:val="24"/>
          <w:szCs w:val="24"/>
        </w:rPr>
        <w:t>3</w:t>
      </w:r>
      <w:r>
        <w:rPr>
          <w:rFonts w:ascii="楷体_GB2312" w:hAnsi="宋体" w:eastAsia="楷体_GB2312"/>
          <w:bCs/>
          <w:color w:val="000000"/>
          <w:sz w:val="24"/>
          <w:szCs w:val="24"/>
        </w:rPr>
        <w:t>.</w:t>
      </w:r>
      <w:r>
        <w:rPr>
          <w:rFonts w:hint="eastAsia"/>
        </w:rPr>
        <w:t xml:space="preserve"> </w:t>
      </w:r>
      <w:r>
        <w:rPr>
          <w:rFonts w:hint="eastAsia" w:ascii="楷体_GB2312" w:hAnsi="宋体" w:eastAsia="楷体_GB2312"/>
          <w:bCs/>
          <w:color w:val="000000"/>
          <w:sz w:val="24"/>
          <w:szCs w:val="24"/>
        </w:rPr>
        <w:t>在协商或仲裁期间，对于本协议不涉及争议部分的条款，双方仍须履行。</w:t>
      </w:r>
    </w:p>
    <w:p w14:paraId="426C7A66">
      <w:pPr>
        <w:ind w:left="-176" w:leftChars="-84" w:firstLine="410" w:firstLineChars="170"/>
        <w:rPr>
          <w:rFonts w:ascii="黑体" w:eastAsia="黑体"/>
          <w:b/>
          <w:sz w:val="24"/>
          <w:szCs w:val="24"/>
        </w:rPr>
      </w:pPr>
      <w:r>
        <w:rPr>
          <w:rFonts w:hint="eastAsia" w:ascii="黑体" w:eastAsia="黑体"/>
          <w:b/>
          <w:sz w:val="24"/>
          <w:szCs w:val="24"/>
        </w:rPr>
        <w:t>八、附则</w:t>
      </w:r>
    </w:p>
    <w:p w14:paraId="5BD1A3F3">
      <w:pPr>
        <w:ind w:left="-176" w:leftChars="-84" w:firstLine="408" w:firstLineChars="170"/>
        <w:rPr>
          <w:rFonts w:ascii="楷体_GB2312" w:hAnsi="宋体" w:eastAsia="楷体_GB2312"/>
          <w:color w:val="000000"/>
          <w:sz w:val="24"/>
          <w:szCs w:val="24"/>
        </w:rPr>
      </w:pPr>
      <w:r>
        <w:rPr>
          <w:rFonts w:hint="eastAsia" w:ascii="楷体_GB2312" w:hAnsi="宋体" w:eastAsia="楷体_GB2312"/>
          <w:color w:val="000000"/>
          <w:sz w:val="24"/>
          <w:szCs w:val="24"/>
        </w:rPr>
        <w:t>1.本协议条款与产品说明书不一致的，以产品说明书为准。</w:t>
      </w:r>
    </w:p>
    <w:p w14:paraId="5FEF8439">
      <w:pPr>
        <w:ind w:left="-176" w:leftChars="-84" w:firstLine="408" w:firstLineChars="170"/>
        <w:rPr>
          <w:rFonts w:ascii="楷体_GB2312" w:hAnsi="宋体" w:eastAsia="楷体_GB2312"/>
          <w:color w:val="000000"/>
          <w:sz w:val="24"/>
          <w:szCs w:val="24"/>
        </w:rPr>
      </w:pPr>
      <w:r>
        <w:rPr>
          <w:rFonts w:hint="eastAsia" w:ascii="楷体_GB2312" w:hAnsi="宋体" w:eastAsia="楷体_GB2312"/>
          <w:color w:val="000000"/>
          <w:sz w:val="24"/>
          <w:szCs w:val="24"/>
        </w:rPr>
        <w:t>2.</w:t>
      </w:r>
      <w:r>
        <w:rPr>
          <w:rFonts w:ascii="楷体_GB2312" w:hAnsi="宋体" w:eastAsia="楷体_GB2312"/>
          <w:color w:val="000000"/>
          <w:sz w:val="24"/>
          <w:szCs w:val="24"/>
        </w:rPr>
        <w:t>如果由于任何原因使本协议下的任何条款或者内容成为无效或者依法</w:t>
      </w:r>
      <w:r>
        <w:rPr>
          <w:rFonts w:hint="eastAsia" w:ascii="楷体_GB2312" w:hAnsi="宋体" w:eastAsia="楷体_GB2312"/>
          <w:color w:val="000000"/>
          <w:sz w:val="24"/>
          <w:szCs w:val="24"/>
        </w:rPr>
        <w:t>被撤</w:t>
      </w:r>
      <w:r>
        <w:rPr>
          <w:rFonts w:ascii="楷体_GB2312" w:hAnsi="宋体" w:eastAsia="楷体_GB2312"/>
          <w:color w:val="000000"/>
          <w:sz w:val="24"/>
          <w:szCs w:val="24"/>
        </w:rPr>
        <w:t>消，本协议其他条款或内容的合法性，有效性和可执行性不受影响。</w:t>
      </w:r>
    </w:p>
    <w:p w14:paraId="41A0C435">
      <w:pPr>
        <w:ind w:left="-176" w:leftChars="-84" w:firstLine="408" w:firstLineChars="170"/>
        <w:rPr>
          <w:rFonts w:ascii="楷体_GB2312" w:hAnsi="宋体" w:eastAsia="楷体_GB2312"/>
          <w:sz w:val="24"/>
          <w:szCs w:val="24"/>
        </w:rPr>
      </w:pPr>
      <w:r>
        <w:rPr>
          <w:rFonts w:ascii="楷体_GB2312" w:eastAsia="楷体_GB2312"/>
          <w:sz w:val="24"/>
          <w:szCs w:val="24"/>
        </w:rPr>
        <w:t>3.</w:t>
      </w:r>
      <w:r>
        <w:rPr>
          <w:rFonts w:hint="eastAsia" w:ascii="楷体_GB2312" w:eastAsia="楷体_GB2312"/>
          <w:sz w:val="24"/>
          <w:szCs w:val="28"/>
        </w:rPr>
        <w:t>本协议通过纸质形式签署的，正本一式</w:t>
      </w:r>
      <w:r>
        <w:rPr>
          <w:rFonts w:hint="eastAsia" w:ascii="楷体_GB2312" w:eastAsia="楷体_GB2312"/>
          <w:sz w:val="24"/>
          <w:szCs w:val="28"/>
          <w:u w:val="single"/>
        </w:rPr>
        <w:t xml:space="preserve"> 贰  </w:t>
      </w:r>
      <w:r>
        <w:rPr>
          <w:rFonts w:hint="eastAsia" w:ascii="楷体_GB2312" w:eastAsia="楷体_GB2312"/>
          <w:sz w:val="24"/>
          <w:szCs w:val="28"/>
        </w:rPr>
        <w:t>份，投资者</w:t>
      </w:r>
      <w:r>
        <w:rPr>
          <w:rFonts w:ascii="楷体_GB2312" w:eastAsia="楷体_GB2312"/>
          <w:sz w:val="24"/>
          <w:szCs w:val="28"/>
          <w:u w:val="single"/>
        </w:rPr>
        <w:t xml:space="preserve">  </w:t>
      </w:r>
      <w:r>
        <w:rPr>
          <w:rFonts w:hint="eastAsia" w:ascii="楷体_GB2312" w:eastAsia="楷体_GB2312"/>
          <w:bCs/>
          <w:sz w:val="24"/>
          <w:szCs w:val="28"/>
          <w:u w:val="single"/>
        </w:rPr>
        <w:t>壹</w:t>
      </w:r>
      <w:r>
        <w:rPr>
          <w:rFonts w:ascii="楷体_GB2312" w:eastAsia="楷体_GB2312"/>
          <w:sz w:val="24"/>
          <w:szCs w:val="28"/>
          <w:u w:val="single"/>
        </w:rPr>
        <w:t xml:space="preserve"> </w:t>
      </w:r>
      <w:r>
        <w:rPr>
          <w:rFonts w:hint="eastAsia" w:ascii="楷体_GB2312" w:eastAsia="楷体_GB2312"/>
          <w:sz w:val="24"/>
          <w:szCs w:val="28"/>
        </w:rPr>
        <w:t>份，信银理财</w:t>
      </w:r>
      <w:r>
        <w:rPr>
          <w:rFonts w:ascii="楷体_GB2312" w:eastAsia="楷体_GB2312"/>
          <w:sz w:val="24"/>
          <w:szCs w:val="28"/>
          <w:u w:val="single"/>
        </w:rPr>
        <w:t xml:space="preserve">  </w:t>
      </w:r>
      <w:r>
        <w:rPr>
          <w:rFonts w:hint="eastAsia" w:ascii="楷体_GB2312" w:eastAsia="楷体_GB2312"/>
          <w:bCs/>
          <w:sz w:val="24"/>
          <w:szCs w:val="28"/>
          <w:u w:val="single"/>
        </w:rPr>
        <w:t>壹</w:t>
      </w:r>
      <w:r>
        <w:rPr>
          <w:rFonts w:ascii="楷体_GB2312" w:eastAsia="楷体_GB2312"/>
          <w:sz w:val="24"/>
          <w:szCs w:val="28"/>
          <w:u w:val="single"/>
        </w:rPr>
        <w:t xml:space="preserve"> </w:t>
      </w:r>
      <w:r>
        <w:rPr>
          <w:rFonts w:hint="eastAsia" w:ascii="楷体_GB2312" w:eastAsia="楷体_GB2312"/>
          <w:sz w:val="24"/>
          <w:szCs w:val="28"/>
        </w:rPr>
        <w:t>份，</w:t>
      </w:r>
      <w:r>
        <w:rPr>
          <w:rFonts w:hint="eastAsia" w:ascii="楷体_GB2312" w:hAnsi="宋体" w:eastAsia="楷体_GB2312"/>
          <w:sz w:val="24"/>
          <w:szCs w:val="24"/>
        </w:rPr>
        <w:t>具有同等法律效力，作为投资者办理此业务的唯一凭证。</w:t>
      </w:r>
    </w:p>
    <w:p w14:paraId="61F0BCC8">
      <w:pPr>
        <w:ind w:left="-176" w:leftChars="-84" w:firstLine="408" w:firstLineChars="170"/>
        <w:rPr>
          <w:rFonts w:ascii="黑体" w:eastAsia="黑体"/>
          <w:color w:val="000000"/>
          <w:sz w:val="24"/>
          <w:szCs w:val="24"/>
        </w:rPr>
      </w:pPr>
      <w:r>
        <w:rPr>
          <w:rFonts w:hint="eastAsia" w:ascii="楷体_GB2312" w:eastAsia="楷体_GB2312"/>
          <w:sz w:val="24"/>
          <w:szCs w:val="24"/>
        </w:rPr>
        <w:t>4.《客户权益须知》为本协议附件，是本协议不可分割的部分。</w:t>
      </w:r>
    </w:p>
    <w:p w14:paraId="2BDD005A">
      <w:pPr>
        <w:rPr>
          <w:rFonts w:ascii="黑体" w:eastAsia="黑体"/>
          <w:color w:val="000000"/>
          <w:sz w:val="24"/>
          <w:szCs w:val="24"/>
        </w:rPr>
      </w:pPr>
      <w:r>
        <w:rPr>
          <w:rFonts w:hint="eastAsia" w:ascii="黑体" w:eastAsia="黑体"/>
          <w:color w:val="000000"/>
          <w:sz w:val="24"/>
          <w:szCs w:val="24"/>
        </w:rPr>
        <w:t>【重要提示：信银理财已提请投资者注意本合同项下免除或限制其责任的条款以及争议解决条款，并已按投资者要求对有关条款予以充分说明。投资者在本协议上签字/盖章或在</w:t>
      </w:r>
      <w:r>
        <w:rPr>
          <w:rFonts w:ascii="黑体" w:eastAsia="黑体"/>
          <w:color w:val="000000"/>
          <w:sz w:val="24"/>
          <w:szCs w:val="24"/>
        </w:rPr>
        <w:t>线上</w:t>
      </w:r>
      <w:r>
        <w:rPr>
          <w:rFonts w:hint="eastAsia" w:ascii="黑体" w:eastAsia="黑体"/>
          <w:color w:val="000000"/>
          <w:sz w:val="24"/>
          <w:szCs w:val="24"/>
        </w:rPr>
        <w:t>点击</w:t>
      </w:r>
      <w:r>
        <w:rPr>
          <w:rFonts w:ascii="黑体" w:eastAsia="黑体"/>
          <w:color w:val="000000"/>
          <w:sz w:val="24"/>
          <w:szCs w:val="24"/>
        </w:rPr>
        <w:t>确认</w:t>
      </w:r>
      <w:r>
        <w:rPr>
          <w:rFonts w:hint="eastAsia" w:ascii="黑体" w:eastAsia="黑体"/>
          <w:color w:val="000000"/>
          <w:sz w:val="24"/>
          <w:szCs w:val="24"/>
        </w:rPr>
        <w:t>即表示已知晓并同意本协议及后附的《信银理财个人理财业务客户权益须知》的全部</w:t>
      </w:r>
      <w:r>
        <w:rPr>
          <w:rFonts w:ascii="黑体" w:eastAsia="黑体"/>
          <w:color w:val="000000"/>
          <w:sz w:val="24"/>
          <w:szCs w:val="24"/>
        </w:rPr>
        <w:t>内容</w:t>
      </w:r>
      <w:r>
        <w:rPr>
          <w:rFonts w:hint="eastAsia" w:ascii="黑体" w:eastAsia="黑体"/>
          <w:color w:val="000000"/>
          <w:sz w:val="24"/>
          <w:szCs w:val="24"/>
        </w:rPr>
        <w:t>，因此请您务必仔细阅读后再签署本协议。】</w:t>
      </w:r>
    </w:p>
    <w:p w14:paraId="2075B8D0">
      <w:pPr>
        <w:rPr>
          <w:rFonts w:ascii="黑体" w:eastAsia="黑体"/>
          <w:color w:val="000000"/>
          <w:sz w:val="24"/>
          <w:szCs w:val="24"/>
        </w:rPr>
      </w:pPr>
    </w:p>
    <w:p w14:paraId="1890F3C9">
      <w:pPr>
        <w:rPr>
          <w:rFonts w:ascii="黑体" w:eastAsia="黑体"/>
          <w:sz w:val="24"/>
          <w:szCs w:val="24"/>
        </w:rPr>
      </w:pPr>
      <w:r>
        <w:rPr>
          <w:rFonts w:hint="eastAsia" w:ascii="黑体" w:eastAsia="黑体"/>
          <w:color w:val="000000"/>
          <w:sz w:val="24"/>
          <w:szCs w:val="24"/>
        </w:rPr>
        <w:t>投资者签章</w:t>
      </w:r>
      <w:r>
        <w:rPr>
          <w:rFonts w:hint="eastAsia" w:ascii="黑体" w:eastAsia="黑体"/>
          <w:sz w:val="24"/>
          <w:szCs w:val="24"/>
        </w:rPr>
        <w:t>：</w:t>
      </w:r>
      <w:r>
        <w:rPr>
          <w:rFonts w:ascii="黑体" w:eastAsia="黑体"/>
          <w:sz w:val="24"/>
          <w:szCs w:val="24"/>
          <w:u w:val="single"/>
        </w:rPr>
        <w:t xml:space="preserve">                        </w:t>
      </w:r>
      <w:r>
        <w:rPr>
          <w:rFonts w:ascii="黑体" w:eastAsia="黑体"/>
          <w:sz w:val="24"/>
          <w:szCs w:val="24"/>
        </w:rPr>
        <w:t xml:space="preserve">           </w:t>
      </w:r>
      <w:r>
        <w:rPr>
          <w:rFonts w:hint="eastAsia" w:ascii="黑体" w:eastAsia="黑体"/>
          <w:color w:val="000000"/>
          <w:sz w:val="24"/>
          <w:szCs w:val="24"/>
        </w:rPr>
        <w:t>信银理财盖章:</w:t>
      </w:r>
      <w:r>
        <w:rPr>
          <w:rFonts w:ascii="黑体" w:eastAsia="黑体"/>
          <w:color w:val="000000"/>
          <w:sz w:val="24"/>
          <w:szCs w:val="24"/>
          <w:u w:val="single"/>
        </w:rPr>
        <w:t xml:space="preserve">             </w:t>
      </w:r>
    </w:p>
    <w:p w14:paraId="7EF76E9F">
      <w:pPr>
        <w:rPr>
          <w:rFonts w:ascii="黑体" w:eastAsia="黑体"/>
          <w:color w:val="000000"/>
          <w:sz w:val="24"/>
          <w:szCs w:val="24"/>
        </w:rPr>
      </w:pPr>
      <w:r>
        <w:rPr>
          <w:rFonts w:ascii="黑体" w:eastAsia="黑体"/>
          <w:color w:val="000000"/>
          <w:sz w:val="24"/>
          <w:szCs w:val="24"/>
        </w:rPr>
        <w:t xml:space="preserve">                                               </w:t>
      </w:r>
    </w:p>
    <w:p w14:paraId="66793097">
      <w:pPr>
        <w:rPr>
          <w:rFonts w:ascii="黑体" w:eastAsia="黑体"/>
          <w:sz w:val="24"/>
          <w:szCs w:val="24"/>
          <w:u w:val="single"/>
        </w:rPr>
      </w:pPr>
      <w:r>
        <w:rPr>
          <w:rFonts w:hint="eastAsia" w:ascii="黑体" w:eastAsia="黑体"/>
          <w:color w:val="000000"/>
          <w:sz w:val="24"/>
          <w:szCs w:val="24"/>
        </w:rPr>
        <w:t>日期：</w:t>
      </w:r>
      <w:r>
        <w:rPr>
          <w:rFonts w:ascii="黑体" w:eastAsia="黑体"/>
          <w:sz w:val="24"/>
          <w:szCs w:val="24"/>
          <w:u w:val="single"/>
        </w:rPr>
        <w:t xml:space="preserve">                            </w:t>
      </w:r>
      <w:r>
        <w:rPr>
          <w:rFonts w:hint="eastAsia" w:ascii="黑体" w:eastAsia="黑体"/>
          <w:color w:val="000000"/>
          <w:sz w:val="24"/>
          <w:szCs w:val="24"/>
        </w:rPr>
        <w:t xml:space="preserve">           日期：</w:t>
      </w:r>
      <w:r>
        <w:rPr>
          <w:rFonts w:hint="eastAsia" w:ascii="黑体" w:eastAsia="黑体"/>
          <w:sz w:val="24"/>
          <w:szCs w:val="24"/>
          <w:u w:val="single"/>
        </w:rPr>
        <w:t xml:space="preserve">              </w:t>
      </w:r>
    </w:p>
    <w:p w14:paraId="13359FB2">
      <w:pPr>
        <w:widowControl/>
        <w:spacing w:before="100" w:beforeAutospacing="1" w:after="100" w:afterAutospacing="1" w:line="360" w:lineRule="auto"/>
        <w:rPr>
          <w:rFonts w:ascii="黑体" w:eastAsia="黑体"/>
          <w:sz w:val="24"/>
          <w:szCs w:val="24"/>
          <w:u w:val="single"/>
        </w:rPr>
      </w:pPr>
      <w:r>
        <w:rPr>
          <w:rFonts w:ascii="黑体" w:eastAsia="黑体"/>
          <w:sz w:val="24"/>
          <w:szCs w:val="24"/>
          <w:u w:val="single"/>
        </w:rPr>
        <w:br w:type="page"/>
      </w:r>
      <w:r>
        <w:rPr>
          <w:rFonts w:hint="eastAsia" w:ascii="黑体" w:eastAsia="黑体"/>
          <w:sz w:val="24"/>
          <w:szCs w:val="24"/>
          <w:u w:val="single"/>
        </w:rPr>
        <w:t>附件：客户权益须知专页</w:t>
      </w:r>
    </w:p>
    <w:p w14:paraId="0BBCDA03">
      <w:pPr>
        <w:widowControl/>
        <w:spacing w:line="360" w:lineRule="auto"/>
        <w:jc w:val="center"/>
        <w:rPr>
          <w:rFonts w:ascii="黑体" w:hAnsi="宋体" w:eastAsia="黑体" w:cs="宋体"/>
          <w:b/>
          <w:bCs/>
          <w:color w:val="2F2F2F"/>
          <w:kern w:val="0"/>
          <w:sz w:val="24"/>
        </w:rPr>
      </w:pPr>
      <w:r>
        <w:rPr>
          <w:rFonts w:hint="eastAsia" w:ascii="黑体" w:hAnsi="宋体" w:eastAsia="黑体" w:cs="宋体"/>
          <w:b/>
          <w:bCs/>
          <w:color w:val="2F2F2F"/>
          <w:kern w:val="0"/>
          <w:sz w:val="24"/>
        </w:rPr>
        <w:t>信银理财个人理财业务客户权益须知</w:t>
      </w:r>
    </w:p>
    <w:p w14:paraId="2AE83DD4">
      <w:pPr>
        <w:widowControl/>
        <w:ind w:firstLine="480" w:firstLineChars="200"/>
        <w:jc w:val="left"/>
        <w:rPr>
          <w:rFonts w:ascii="楷体_GB2312" w:hAnsi="宋体" w:eastAsia="楷体_GB2312" w:cs="宋体"/>
          <w:bCs/>
          <w:color w:val="2F2F2F"/>
          <w:kern w:val="0"/>
          <w:sz w:val="24"/>
        </w:rPr>
      </w:pPr>
      <w:r>
        <w:rPr>
          <w:rFonts w:hint="eastAsia" w:ascii="楷体_GB2312" w:hAnsi="宋体" w:eastAsia="楷体_GB2312" w:cs="宋体"/>
          <w:bCs/>
          <w:color w:val="2F2F2F"/>
          <w:kern w:val="0"/>
          <w:sz w:val="24"/>
        </w:rPr>
        <w:t>尊敬的客户，您好：</w:t>
      </w:r>
    </w:p>
    <w:p w14:paraId="38CDDDFE">
      <w:pPr>
        <w:widowControl/>
        <w:ind w:firstLine="480" w:firstLineChars="200"/>
        <w:jc w:val="left"/>
        <w:rPr>
          <w:rFonts w:ascii="楷体_GB2312" w:hAnsi="宋体" w:eastAsia="楷体_GB2312" w:cs="宋体"/>
          <w:bCs/>
          <w:color w:val="2F2F2F"/>
          <w:kern w:val="0"/>
          <w:sz w:val="24"/>
        </w:rPr>
      </w:pPr>
      <w:r>
        <w:rPr>
          <w:rFonts w:hint="eastAsia" w:ascii="楷体_GB2312" w:hAnsi="宋体" w:eastAsia="楷体_GB2312" w:cs="宋体"/>
          <w:bCs/>
          <w:color w:val="2F2F2F"/>
          <w:kern w:val="0"/>
          <w:sz w:val="24"/>
        </w:rPr>
        <w:t>为便于您顺利在我公司办理理财业务，请仔细阅读以下客户权益内容，以选择适合的产品并维护自身权益。</w:t>
      </w:r>
    </w:p>
    <w:p w14:paraId="31E3777E">
      <w:pPr>
        <w:widowControl/>
        <w:ind w:firstLine="480" w:firstLineChars="200"/>
        <w:jc w:val="left"/>
        <w:rPr>
          <w:rFonts w:ascii="黑体" w:hAnsi="宋体" w:eastAsia="黑体" w:cs="宋体"/>
          <w:bCs/>
          <w:color w:val="2F2F2F"/>
          <w:kern w:val="0"/>
          <w:sz w:val="24"/>
        </w:rPr>
      </w:pPr>
      <w:r>
        <w:rPr>
          <w:rFonts w:hint="eastAsia" w:ascii="黑体" w:hAnsi="宋体" w:eastAsia="黑体" w:cs="宋体"/>
          <w:bCs/>
          <w:color w:val="2F2F2F"/>
          <w:kern w:val="0"/>
          <w:sz w:val="24"/>
        </w:rPr>
        <w:t>一、办理理财产品的流程</w:t>
      </w:r>
    </w:p>
    <w:p w14:paraId="345030F1">
      <w:pPr>
        <w:widowControl/>
        <w:ind w:firstLine="480" w:firstLineChars="200"/>
        <w:jc w:val="left"/>
        <w:rPr>
          <w:rFonts w:ascii="楷体_GB2312" w:hAnsi="宋体" w:eastAsia="楷体_GB2312" w:cs="宋体"/>
          <w:bCs/>
          <w:color w:val="2F2F2F"/>
          <w:kern w:val="0"/>
          <w:sz w:val="24"/>
        </w:rPr>
      </w:pPr>
      <w:r>
        <w:rPr>
          <w:rFonts w:hint="eastAsia" w:ascii="楷体_GB2312" w:hAnsi="宋体" w:eastAsia="楷体_GB2312" w:cs="宋体"/>
          <w:bCs/>
          <w:color w:val="2F2F2F"/>
          <w:kern w:val="0"/>
          <w:sz w:val="24"/>
        </w:rPr>
        <w:t>您可以通过信银理财</w:t>
      </w:r>
      <w:r>
        <w:rPr>
          <w:rFonts w:ascii="楷体_GB2312" w:hAnsi="宋体" w:eastAsia="楷体_GB2312" w:cs="宋体"/>
          <w:bCs/>
          <w:color w:val="2F2F2F"/>
          <w:kern w:val="0"/>
          <w:sz w:val="24"/>
        </w:rPr>
        <w:t>营业场所</w:t>
      </w:r>
      <w:r>
        <w:rPr>
          <w:rFonts w:hint="eastAsia" w:ascii="楷体_GB2312" w:hAnsi="宋体" w:eastAsia="楷体_GB2312" w:cs="宋体"/>
          <w:bCs/>
          <w:color w:val="2F2F2F"/>
          <w:kern w:val="0"/>
          <w:sz w:val="24"/>
        </w:rPr>
        <w:t>、电子</w:t>
      </w:r>
      <w:r>
        <w:rPr>
          <w:rFonts w:ascii="楷体_GB2312" w:hAnsi="宋体" w:eastAsia="楷体_GB2312" w:cs="宋体"/>
          <w:bCs/>
          <w:color w:val="2F2F2F"/>
          <w:kern w:val="0"/>
          <w:sz w:val="24"/>
        </w:rPr>
        <w:t>渠道</w:t>
      </w:r>
      <w:r>
        <w:rPr>
          <w:rFonts w:hint="eastAsia" w:ascii="楷体_GB2312" w:hAnsi="宋体" w:eastAsia="楷体_GB2312" w:cs="宋体"/>
          <w:bCs/>
          <w:color w:val="2F2F2F"/>
          <w:kern w:val="0"/>
          <w:sz w:val="24"/>
        </w:rPr>
        <w:t>等方式购买</w:t>
      </w:r>
      <w:r>
        <w:rPr>
          <w:rFonts w:ascii="楷体_GB2312" w:hAnsi="宋体" w:eastAsia="楷体_GB2312" w:cs="宋体"/>
          <w:bCs/>
          <w:color w:val="2F2F2F"/>
          <w:kern w:val="0"/>
          <w:sz w:val="24"/>
        </w:rPr>
        <w:t>理财产品</w:t>
      </w:r>
      <w:r>
        <w:rPr>
          <w:rFonts w:hint="eastAsia" w:ascii="楷体_GB2312" w:hAnsi="宋体" w:eastAsia="楷体_GB2312" w:cs="宋体"/>
          <w:bCs/>
          <w:color w:val="2F2F2F"/>
          <w:kern w:val="0"/>
          <w:sz w:val="24"/>
        </w:rPr>
        <w:t>，其基本流程如下：</w:t>
      </w:r>
    </w:p>
    <w:p w14:paraId="741F971E">
      <w:pPr>
        <w:widowControl/>
        <w:ind w:firstLine="420" w:firstLineChars="200"/>
        <w:jc w:val="left"/>
        <w:rPr>
          <w:rFonts w:ascii="楷体_GB2312" w:hAnsi="宋体" w:eastAsia="楷体_GB2312" w:cs="宋体"/>
          <w:bCs/>
          <w:color w:val="2F2F2F"/>
          <w:kern w:val="0"/>
          <w:sz w:val="24"/>
        </w:rPr>
      </w:pPr>
      <w:r>
        <w:rPr>
          <w:szCs w:val="21"/>
        </w:rPr>
        <w:drawing>
          <wp:inline distT="0" distB="0" distL="0" distR="0">
            <wp:extent cx="6263640" cy="518795"/>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63640" cy="518795"/>
                    </a:xfrm>
                    <a:prstGeom prst="rect">
                      <a:avLst/>
                    </a:prstGeom>
                  </pic:spPr>
                </pic:pic>
              </a:graphicData>
            </a:graphic>
          </wp:inline>
        </w:drawing>
      </w:r>
    </w:p>
    <w:p w14:paraId="5B098406">
      <w:pPr>
        <w:widowControl/>
        <w:ind w:firstLine="480" w:firstLineChars="200"/>
        <w:jc w:val="left"/>
        <w:rPr>
          <w:rFonts w:ascii="楷体_GB2312" w:hAnsi="宋体" w:eastAsia="楷体_GB2312" w:cs="宋体"/>
          <w:bCs/>
          <w:color w:val="2F2F2F"/>
          <w:kern w:val="0"/>
          <w:sz w:val="24"/>
        </w:rPr>
      </w:pPr>
      <w:r>
        <w:rPr>
          <w:rFonts w:hint="eastAsia" w:ascii="楷体_GB2312" w:hAnsi="宋体" w:eastAsia="楷体_GB2312" w:cs="宋体"/>
          <w:bCs/>
          <w:color w:val="2F2F2F"/>
          <w:kern w:val="0"/>
          <w:sz w:val="24"/>
        </w:rPr>
        <w:t>说明：详细操作流程请通过客户服务热线（</w:t>
      </w:r>
      <w:r>
        <w:rPr>
          <w:rFonts w:hint="eastAsia" w:ascii="楷体_GB2312" w:hAnsi="宋体" w:eastAsia="楷体_GB2312" w:cs="宋体"/>
          <w:bCs/>
          <w:color w:val="2F2F2F"/>
          <w:kern w:val="0"/>
          <w:sz w:val="24"/>
        </w:rPr>
        <w:t>950950</w:t>
      </w:r>
      <w:r>
        <w:rPr>
          <w:rFonts w:hint="eastAsia" w:ascii="楷体_GB2312" w:hAnsi="宋体" w:eastAsia="楷体_GB2312" w:cs="宋体"/>
          <w:bCs/>
          <w:color w:val="2F2F2F"/>
          <w:kern w:val="0"/>
          <w:sz w:val="24"/>
        </w:rPr>
        <w:t>）、营业场所咨询信银理财。</w:t>
      </w:r>
    </w:p>
    <w:p w14:paraId="1F8B67FE">
      <w:pPr>
        <w:widowControl/>
        <w:ind w:firstLine="482" w:firstLineChars="200"/>
        <w:jc w:val="left"/>
        <w:rPr>
          <w:rFonts w:ascii="楷体_GB2312" w:hAnsi="宋体" w:eastAsia="楷体_GB2312" w:cs="宋体"/>
          <w:b/>
          <w:bCs/>
          <w:color w:val="2F2F2F"/>
          <w:kern w:val="0"/>
          <w:sz w:val="24"/>
        </w:rPr>
      </w:pPr>
      <w:r>
        <w:rPr>
          <w:rFonts w:hint="eastAsia" w:ascii="楷体_GB2312" w:hAnsi="宋体" w:eastAsia="楷体_GB2312" w:cs="宋体"/>
          <w:b/>
          <w:bCs/>
          <w:color w:val="2F2F2F"/>
          <w:kern w:val="0"/>
          <w:sz w:val="24"/>
        </w:rPr>
        <w:t>特别提示：为防止您的权益受到侵害，在购买理财过程中请您务必保管好自己的银行卡/账户密码、网银U盾等，切勿泄露或交给销售人员等任何其他人保管等，否则责任自负。</w:t>
      </w:r>
    </w:p>
    <w:p w14:paraId="77A15BA2">
      <w:pPr>
        <w:widowControl/>
        <w:ind w:firstLine="480" w:firstLineChars="200"/>
        <w:jc w:val="left"/>
        <w:rPr>
          <w:rFonts w:ascii="黑体" w:hAnsi="宋体" w:eastAsia="黑体" w:cs="宋体"/>
          <w:bCs/>
          <w:color w:val="2F2F2F"/>
          <w:kern w:val="0"/>
          <w:sz w:val="24"/>
        </w:rPr>
      </w:pPr>
      <w:r>
        <w:rPr>
          <w:rFonts w:hint="eastAsia" w:ascii="黑体" w:hAnsi="宋体" w:eastAsia="黑体" w:cs="宋体"/>
          <w:bCs/>
          <w:color w:val="2F2F2F"/>
          <w:kern w:val="0"/>
          <w:sz w:val="24"/>
        </w:rPr>
        <w:t>二、信银理财客户风险测评及产品风险评级介绍</w:t>
      </w:r>
    </w:p>
    <w:p w14:paraId="41A1C179">
      <w:pPr>
        <w:widowControl/>
        <w:ind w:firstLine="480" w:firstLineChars="200"/>
        <w:jc w:val="left"/>
        <w:rPr>
          <w:rFonts w:ascii="楷体_GB2312" w:hAnsi="宋体" w:eastAsia="楷体_GB2312" w:cs="宋体"/>
          <w:bCs/>
          <w:color w:val="2F2F2F"/>
          <w:kern w:val="0"/>
          <w:sz w:val="24"/>
        </w:rPr>
      </w:pPr>
      <w:r>
        <w:rPr>
          <w:rFonts w:hint="eastAsia" w:ascii="楷体_GB2312" w:hAnsi="宋体" w:eastAsia="楷体_GB2312" w:cs="宋体"/>
          <w:bCs/>
          <w:color w:val="2F2F2F"/>
          <w:kern w:val="0"/>
          <w:sz w:val="24"/>
        </w:rPr>
        <w:t>客户风险测评使用《信银理财客户风险评估问卷》，通过回答</w:t>
      </w:r>
      <w:r>
        <w:rPr>
          <w:rFonts w:ascii="楷体_GB2312" w:hAnsi="宋体" w:eastAsia="楷体_GB2312" w:cs="宋体"/>
          <w:bCs/>
          <w:color w:val="2F2F2F"/>
          <w:kern w:val="0"/>
          <w:sz w:val="24"/>
        </w:rPr>
        <w:t>问题得出风险测评结果。</w:t>
      </w:r>
    </w:p>
    <w:p w14:paraId="75C3F422">
      <w:pPr>
        <w:widowControl/>
        <w:ind w:firstLine="480" w:firstLineChars="200"/>
        <w:jc w:val="left"/>
        <w:rPr>
          <w:rFonts w:ascii="楷体_GB2312" w:hAnsi="宋体" w:eastAsia="楷体_GB2312" w:cs="宋体"/>
          <w:bCs/>
          <w:color w:val="2F2F2F"/>
          <w:kern w:val="0"/>
          <w:sz w:val="24"/>
        </w:rPr>
      </w:pPr>
      <w:r>
        <w:rPr>
          <w:rFonts w:hint="eastAsia" w:ascii="楷体_GB2312" w:hAnsi="宋体" w:eastAsia="楷体_GB2312" w:cs="宋体"/>
          <w:bCs/>
          <w:color w:val="2F2F2F"/>
          <w:kern w:val="0"/>
          <w:sz w:val="24"/>
        </w:rPr>
        <w:t>客户首次认购理财产品必须先进行风险测评，风险测评</w:t>
      </w:r>
      <w:r>
        <w:rPr>
          <w:rFonts w:ascii="楷体_GB2312" w:hAnsi="宋体" w:eastAsia="楷体_GB2312" w:cs="宋体"/>
          <w:bCs/>
          <w:color w:val="2F2F2F"/>
          <w:kern w:val="0"/>
          <w:sz w:val="24"/>
        </w:rPr>
        <w:t>结果</w:t>
      </w:r>
      <w:r>
        <w:rPr>
          <w:rFonts w:hint="eastAsia" w:ascii="楷体_GB2312" w:hAnsi="宋体" w:eastAsia="楷体_GB2312" w:cs="宋体"/>
          <w:bCs/>
          <w:color w:val="2F2F2F"/>
          <w:kern w:val="0"/>
          <w:sz w:val="24"/>
        </w:rPr>
        <w:t>有效期为</w:t>
      </w:r>
      <w:r>
        <w:rPr>
          <w:rFonts w:ascii="楷体_GB2312" w:hAnsi="宋体" w:eastAsia="楷体_GB2312" w:cs="宋体"/>
          <w:bCs/>
          <w:color w:val="2F2F2F"/>
          <w:kern w:val="0"/>
          <w:sz w:val="24"/>
        </w:rPr>
        <w:t>1年。如超过1年</w:t>
      </w:r>
      <w:r>
        <w:rPr>
          <w:rFonts w:hint="eastAsia" w:ascii="楷体_GB2312" w:hAnsi="宋体" w:eastAsia="楷体_GB2312" w:cs="宋体"/>
          <w:bCs/>
          <w:color w:val="2F2F2F"/>
          <w:kern w:val="0"/>
          <w:sz w:val="24"/>
        </w:rPr>
        <w:t>未再次进行风险测评或判断自身风险承受能力发生变化，应在我公司电子渠道或营业场所重新进行风险测评。</w:t>
      </w:r>
    </w:p>
    <w:p w14:paraId="33BD16B5">
      <w:pPr>
        <w:spacing w:after="0" w:line="360" w:lineRule="auto"/>
        <w:ind w:firstLine="480" w:firstLineChars="200"/>
        <w:rPr>
          <w:rFonts w:ascii="楷体" w:hAnsi="楷体" w:eastAsia="楷体" w:cs="楷体"/>
          <w:color w:val="000000"/>
          <w:sz w:val="24"/>
          <w:szCs w:val="24"/>
        </w:rPr>
      </w:pPr>
      <w:r>
        <w:rPr>
          <w:rFonts w:hint="eastAsia" w:ascii="楷体" w:hAnsi="楷体" w:eastAsia="楷体" w:cs="楷体"/>
          <w:color w:val="000000"/>
          <w:sz w:val="24"/>
          <w:szCs w:val="24"/>
        </w:rPr>
        <w:t>信银理财理财产品风险评级具体含义及</w:t>
      </w:r>
      <w:r>
        <w:rPr>
          <w:rFonts w:ascii="楷体" w:hAnsi="楷体" w:eastAsia="楷体" w:cs="楷体"/>
          <w:color w:val="000000"/>
          <w:sz w:val="24"/>
          <w:szCs w:val="24"/>
        </w:rPr>
        <w:t>与投资者</w:t>
      </w:r>
      <w:r>
        <w:rPr>
          <w:rFonts w:hint="eastAsia" w:ascii="楷体" w:hAnsi="楷体" w:eastAsia="楷体" w:cs="楷体"/>
          <w:color w:val="000000"/>
          <w:sz w:val="24"/>
          <w:szCs w:val="24"/>
        </w:rPr>
        <w:t>类型</w:t>
      </w:r>
      <w:r>
        <w:rPr>
          <w:rFonts w:ascii="楷体" w:hAnsi="楷体" w:eastAsia="楷体" w:cs="楷体"/>
          <w:color w:val="000000"/>
          <w:sz w:val="24"/>
          <w:szCs w:val="24"/>
        </w:rPr>
        <w:t>对应关系</w:t>
      </w:r>
    </w:p>
    <w:tbl>
      <w:tblPr>
        <w:tblStyle w:val="7"/>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3578"/>
        <w:gridCol w:w="4618"/>
      </w:tblGrid>
      <w:tr w14:paraId="4430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55" w:type="dxa"/>
          </w:tcPr>
          <w:p w14:paraId="51033CF7">
            <w:pPr>
              <w:adjustRightInd w:val="0"/>
              <w:spacing w:after="0" w:line="240" w:lineRule="auto"/>
              <w:jc w:val="center"/>
              <w:textAlignment w:val="baseline"/>
              <w:outlineLvl w:val="0"/>
              <w:rPr>
                <w:rFonts w:ascii="楷体" w:hAnsi="楷体" w:eastAsia="楷体" w:cs="楷体"/>
                <w:b/>
                <w:color w:val="000000"/>
                <w:sz w:val="24"/>
                <w:szCs w:val="24"/>
              </w:rPr>
            </w:pPr>
            <w:r>
              <w:rPr>
                <w:rFonts w:hint="eastAsia" w:ascii="楷体" w:hAnsi="楷体" w:eastAsia="楷体" w:cs="楷体"/>
                <w:b/>
                <w:color w:val="000000"/>
                <w:sz w:val="24"/>
                <w:szCs w:val="24"/>
              </w:rPr>
              <w:t>产品</w:t>
            </w:r>
            <w:r>
              <w:rPr>
                <w:rFonts w:ascii="楷体" w:hAnsi="楷体" w:eastAsia="楷体" w:cs="楷体"/>
                <w:b/>
                <w:color w:val="000000"/>
                <w:sz w:val="24"/>
                <w:szCs w:val="24"/>
              </w:rPr>
              <w:t>风险评级</w:t>
            </w:r>
          </w:p>
        </w:tc>
        <w:tc>
          <w:tcPr>
            <w:tcW w:w="3578" w:type="dxa"/>
          </w:tcPr>
          <w:p w14:paraId="35DA97CC">
            <w:pPr>
              <w:adjustRightInd w:val="0"/>
              <w:spacing w:after="0" w:line="240" w:lineRule="auto"/>
              <w:jc w:val="center"/>
              <w:textAlignment w:val="baseline"/>
              <w:outlineLvl w:val="0"/>
              <w:rPr>
                <w:rFonts w:ascii="楷体" w:hAnsi="楷体" w:eastAsia="楷体" w:cs="楷体"/>
                <w:b/>
                <w:color w:val="000000"/>
                <w:sz w:val="24"/>
                <w:szCs w:val="24"/>
              </w:rPr>
            </w:pPr>
            <w:r>
              <w:rPr>
                <w:rFonts w:ascii="楷体" w:hAnsi="楷体" w:eastAsia="楷体" w:cs="楷体"/>
                <w:b/>
                <w:color w:val="000000"/>
                <w:sz w:val="24"/>
                <w:szCs w:val="24"/>
              </w:rPr>
              <w:t>风险程度</w:t>
            </w:r>
          </w:p>
        </w:tc>
        <w:tc>
          <w:tcPr>
            <w:tcW w:w="4618" w:type="dxa"/>
            <w:vAlign w:val="center"/>
          </w:tcPr>
          <w:p w14:paraId="366EDC9C">
            <w:pPr>
              <w:adjustRightInd w:val="0"/>
              <w:spacing w:after="0" w:line="240" w:lineRule="auto"/>
              <w:jc w:val="center"/>
              <w:textAlignment w:val="baseline"/>
              <w:outlineLvl w:val="0"/>
              <w:rPr>
                <w:rFonts w:ascii="楷体" w:hAnsi="楷体" w:eastAsia="楷体" w:cs="楷体"/>
                <w:b/>
                <w:color w:val="000000"/>
                <w:sz w:val="24"/>
                <w:szCs w:val="24"/>
              </w:rPr>
            </w:pPr>
            <w:r>
              <w:rPr>
                <w:rFonts w:hint="eastAsia" w:ascii="楷体" w:hAnsi="楷体" w:eastAsia="楷体" w:cs="楷体"/>
                <w:b/>
                <w:color w:val="000000"/>
                <w:sz w:val="24"/>
                <w:szCs w:val="24"/>
              </w:rPr>
              <w:t>适合投资者类型</w:t>
            </w:r>
          </w:p>
        </w:tc>
      </w:tr>
      <w:tr w14:paraId="7963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55" w:type="dxa"/>
          </w:tcPr>
          <w:p w14:paraId="015ABAC6">
            <w:pPr>
              <w:adjustRightInd w:val="0"/>
              <w:spacing w:after="0" w:line="240" w:lineRule="auto"/>
              <w:jc w:val="center"/>
              <w:textAlignment w:val="baseline"/>
              <w:outlineLvl w:val="0"/>
              <w:rPr>
                <w:rFonts w:ascii="楷体" w:hAnsi="楷体" w:eastAsia="楷体" w:cs="楷体"/>
                <w:color w:val="000000"/>
                <w:szCs w:val="21"/>
              </w:rPr>
            </w:pPr>
            <w:r>
              <w:rPr>
                <w:rFonts w:ascii="楷体" w:hAnsi="楷体" w:eastAsia="楷体" w:cs="楷体"/>
                <w:color w:val="000000"/>
                <w:szCs w:val="21"/>
              </w:rPr>
              <w:t>PR1级</w:t>
            </w:r>
          </w:p>
        </w:tc>
        <w:tc>
          <w:tcPr>
            <w:tcW w:w="3578" w:type="dxa"/>
          </w:tcPr>
          <w:p w14:paraId="52F82395">
            <w:pPr>
              <w:adjustRightInd w:val="0"/>
              <w:spacing w:after="0" w:line="240" w:lineRule="auto"/>
              <w:jc w:val="center"/>
              <w:textAlignment w:val="baseline"/>
              <w:outlineLvl w:val="0"/>
              <w:rPr>
                <w:rFonts w:ascii="楷体" w:hAnsi="楷体" w:eastAsia="楷体" w:cs="楷体"/>
                <w:color w:val="000000"/>
                <w:szCs w:val="21"/>
              </w:rPr>
            </w:pPr>
            <w:r>
              <w:rPr>
                <w:rFonts w:ascii="楷体" w:hAnsi="楷体" w:eastAsia="楷体" w:cs="楷体"/>
                <w:color w:val="000000"/>
                <w:szCs w:val="21"/>
              </w:rPr>
              <w:t>低</w:t>
            </w:r>
          </w:p>
        </w:tc>
        <w:tc>
          <w:tcPr>
            <w:tcW w:w="4618" w:type="dxa"/>
            <w:vAlign w:val="center"/>
          </w:tcPr>
          <w:p w14:paraId="1BCB87F9">
            <w:pPr>
              <w:adjustRightInd w:val="0"/>
              <w:spacing w:after="0" w:line="240" w:lineRule="auto"/>
              <w:jc w:val="center"/>
              <w:textAlignment w:val="baseline"/>
              <w:outlineLvl w:val="0"/>
              <w:rPr>
                <w:rFonts w:ascii="楷体" w:hAnsi="楷体" w:eastAsia="楷体" w:cs="楷体"/>
                <w:color w:val="000000"/>
                <w:szCs w:val="21"/>
              </w:rPr>
            </w:pPr>
            <w:r>
              <w:rPr>
                <w:rFonts w:hint="eastAsia" w:ascii="楷体" w:hAnsi="楷体" w:eastAsia="楷体" w:cs="楷体"/>
                <w:color w:val="000000"/>
                <w:szCs w:val="21"/>
              </w:rPr>
              <w:t>谨慎型、稳健型、平衡型、进取型、激进型</w:t>
            </w:r>
          </w:p>
        </w:tc>
      </w:tr>
      <w:tr w14:paraId="2B83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55" w:type="dxa"/>
          </w:tcPr>
          <w:p w14:paraId="36E1AC89">
            <w:pPr>
              <w:adjustRightInd w:val="0"/>
              <w:spacing w:after="0" w:line="240" w:lineRule="auto"/>
              <w:jc w:val="center"/>
              <w:textAlignment w:val="baseline"/>
              <w:outlineLvl w:val="0"/>
              <w:rPr>
                <w:rFonts w:ascii="楷体" w:hAnsi="楷体" w:eastAsia="楷体" w:cs="楷体"/>
                <w:color w:val="000000"/>
                <w:szCs w:val="21"/>
              </w:rPr>
            </w:pPr>
            <w:r>
              <w:rPr>
                <w:rFonts w:ascii="楷体" w:hAnsi="楷体" w:eastAsia="楷体" w:cs="楷体"/>
                <w:color w:val="000000"/>
                <w:szCs w:val="21"/>
              </w:rPr>
              <w:t>PR2级</w:t>
            </w:r>
          </w:p>
        </w:tc>
        <w:tc>
          <w:tcPr>
            <w:tcW w:w="3578" w:type="dxa"/>
          </w:tcPr>
          <w:p w14:paraId="4E65ADCE">
            <w:pPr>
              <w:adjustRightInd w:val="0"/>
              <w:spacing w:after="0" w:line="240" w:lineRule="auto"/>
              <w:jc w:val="center"/>
              <w:textAlignment w:val="baseline"/>
              <w:outlineLvl w:val="0"/>
              <w:rPr>
                <w:rFonts w:ascii="楷体" w:hAnsi="楷体" w:eastAsia="楷体" w:cs="楷体"/>
                <w:color w:val="000000"/>
                <w:szCs w:val="21"/>
              </w:rPr>
            </w:pPr>
            <w:r>
              <w:rPr>
                <w:rFonts w:ascii="楷体" w:hAnsi="楷体" w:eastAsia="楷体" w:cs="楷体"/>
                <w:color w:val="000000"/>
                <w:szCs w:val="21"/>
              </w:rPr>
              <w:t>中低</w:t>
            </w:r>
          </w:p>
        </w:tc>
        <w:tc>
          <w:tcPr>
            <w:tcW w:w="4618" w:type="dxa"/>
            <w:vAlign w:val="center"/>
          </w:tcPr>
          <w:p w14:paraId="26CC33E1">
            <w:pPr>
              <w:adjustRightInd w:val="0"/>
              <w:spacing w:after="0" w:line="240" w:lineRule="auto"/>
              <w:jc w:val="center"/>
              <w:textAlignment w:val="baseline"/>
              <w:outlineLvl w:val="0"/>
              <w:rPr>
                <w:rFonts w:ascii="楷体" w:hAnsi="楷体" w:eastAsia="楷体" w:cs="楷体"/>
                <w:color w:val="000000"/>
                <w:szCs w:val="21"/>
              </w:rPr>
            </w:pPr>
            <w:r>
              <w:rPr>
                <w:rFonts w:hint="eastAsia" w:ascii="楷体" w:hAnsi="楷体" w:eastAsia="楷体" w:cs="楷体"/>
                <w:color w:val="000000"/>
                <w:szCs w:val="21"/>
              </w:rPr>
              <w:t>稳健型、平衡型、进取型、激进型</w:t>
            </w:r>
          </w:p>
        </w:tc>
      </w:tr>
      <w:tr w14:paraId="6185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55" w:type="dxa"/>
          </w:tcPr>
          <w:p w14:paraId="422D7965">
            <w:pPr>
              <w:adjustRightInd w:val="0"/>
              <w:spacing w:after="0" w:line="240" w:lineRule="auto"/>
              <w:jc w:val="center"/>
              <w:textAlignment w:val="baseline"/>
              <w:outlineLvl w:val="0"/>
              <w:rPr>
                <w:rFonts w:ascii="楷体" w:hAnsi="楷体" w:eastAsia="楷体" w:cs="楷体"/>
                <w:color w:val="000000"/>
                <w:szCs w:val="21"/>
              </w:rPr>
            </w:pPr>
            <w:r>
              <w:rPr>
                <w:rFonts w:ascii="楷体" w:hAnsi="楷体" w:eastAsia="楷体" w:cs="楷体"/>
                <w:color w:val="000000"/>
                <w:szCs w:val="21"/>
              </w:rPr>
              <w:t>PR3级</w:t>
            </w:r>
          </w:p>
        </w:tc>
        <w:tc>
          <w:tcPr>
            <w:tcW w:w="3578" w:type="dxa"/>
          </w:tcPr>
          <w:p w14:paraId="1FE1BBF1">
            <w:pPr>
              <w:adjustRightInd w:val="0"/>
              <w:spacing w:after="0" w:line="240" w:lineRule="auto"/>
              <w:jc w:val="center"/>
              <w:textAlignment w:val="baseline"/>
              <w:outlineLvl w:val="0"/>
              <w:rPr>
                <w:rFonts w:ascii="楷体" w:hAnsi="楷体" w:eastAsia="楷体" w:cs="楷体"/>
                <w:color w:val="000000"/>
                <w:szCs w:val="21"/>
              </w:rPr>
            </w:pPr>
            <w:r>
              <w:rPr>
                <w:rFonts w:hint="eastAsia" w:ascii="楷体" w:hAnsi="楷体" w:eastAsia="楷体" w:cs="楷体"/>
                <w:color w:val="000000"/>
                <w:szCs w:val="21"/>
              </w:rPr>
              <w:t>中等</w:t>
            </w:r>
          </w:p>
        </w:tc>
        <w:tc>
          <w:tcPr>
            <w:tcW w:w="4618" w:type="dxa"/>
            <w:vAlign w:val="center"/>
          </w:tcPr>
          <w:p w14:paraId="64AEA9C5">
            <w:pPr>
              <w:adjustRightInd w:val="0"/>
              <w:spacing w:after="0" w:line="240" w:lineRule="auto"/>
              <w:jc w:val="center"/>
              <w:textAlignment w:val="baseline"/>
              <w:outlineLvl w:val="0"/>
              <w:rPr>
                <w:rFonts w:ascii="楷体" w:hAnsi="楷体" w:eastAsia="楷体" w:cs="楷体"/>
                <w:color w:val="000000"/>
                <w:szCs w:val="21"/>
              </w:rPr>
            </w:pPr>
            <w:r>
              <w:rPr>
                <w:rFonts w:hint="eastAsia" w:ascii="楷体" w:hAnsi="楷体" w:eastAsia="楷体" w:cs="楷体"/>
                <w:color w:val="000000"/>
                <w:szCs w:val="21"/>
              </w:rPr>
              <w:t>平衡型、进取型、激进型</w:t>
            </w:r>
          </w:p>
        </w:tc>
      </w:tr>
      <w:tr w14:paraId="06A5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55" w:type="dxa"/>
          </w:tcPr>
          <w:p w14:paraId="6B41CD99">
            <w:pPr>
              <w:adjustRightInd w:val="0"/>
              <w:spacing w:after="0" w:line="240" w:lineRule="auto"/>
              <w:jc w:val="center"/>
              <w:textAlignment w:val="baseline"/>
              <w:outlineLvl w:val="0"/>
              <w:rPr>
                <w:rFonts w:ascii="楷体" w:hAnsi="楷体" w:eastAsia="楷体" w:cs="楷体"/>
                <w:color w:val="000000"/>
                <w:szCs w:val="21"/>
              </w:rPr>
            </w:pPr>
            <w:r>
              <w:rPr>
                <w:rFonts w:ascii="楷体" w:hAnsi="楷体" w:eastAsia="楷体" w:cs="楷体"/>
                <w:color w:val="000000"/>
                <w:szCs w:val="21"/>
              </w:rPr>
              <w:t>PR4级</w:t>
            </w:r>
          </w:p>
        </w:tc>
        <w:tc>
          <w:tcPr>
            <w:tcW w:w="3578" w:type="dxa"/>
          </w:tcPr>
          <w:p w14:paraId="47EE7146">
            <w:pPr>
              <w:adjustRightInd w:val="0"/>
              <w:spacing w:after="0" w:line="240" w:lineRule="auto"/>
              <w:jc w:val="center"/>
              <w:textAlignment w:val="baseline"/>
              <w:outlineLvl w:val="0"/>
              <w:rPr>
                <w:rFonts w:ascii="楷体" w:hAnsi="楷体" w:eastAsia="楷体" w:cs="楷体"/>
                <w:color w:val="000000"/>
                <w:szCs w:val="21"/>
              </w:rPr>
            </w:pPr>
            <w:r>
              <w:rPr>
                <w:rFonts w:hint="eastAsia" w:ascii="楷体" w:hAnsi="楷体" w:eastAsia="楷体" w:cs="楷体"/>
                <w:color w:val="000000"/>
                <w:szCs w:val="21"/>
              </w:rPr>
              <w:t>中高</w:t>
            </w:r>
          </w:p>
        </w:tc>
        <w:tc>
          <w:tcPr>
            <w:tcW w:w="4618" w:type="dxa"/>
            <w:vAlign w:val="center"/>
          </w:tcPr>
          <w:p w14:paraId="14D0541E">
            <w:pPr>
              <w:adjustRightInd w:val="0"/>
              <w:spacing w:after="0" w:line="240" w:lineRule="auto"/>
              <w:jc w:val="center"/>
              <w:textAlignment w:val="baseline"/>
              <w:outlineLvl w:val="0"/>
              <w:rPr>
                <w:rFonts w:ascii="楷体" w:hAnsi="楷体" w:eastAsia="楷体" w:cs="楷体"/>
                <w:color w:val="000000"/>
                <w:szCs w:val="21"/>
              </w:rPr>
            </w:pPr>
            <w:r>
              <w:rPr>
                <w:rFonts w:hint="eastAsia" w:ascii="楷体" w:hAnsi="楷体" w:eastAsia="楷体" w:cs="楷体"/>
                <w:color w:val="000000"/>
                <w:szCs w:val="21"/>
              </w:rPr>
              <w:t>进取型、激进型</w:t>
            </w:r>
          </w:p>
        </w:tc>
      </w:tr>
      <w:tr w14:paraId="6C75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55" w:type="dxa"/>
          </w:tcPr>
          <w:p w14:paraId="15D81C90">
            <w:pPr>
              <w:adjustRightInd w:val="0"/>
              <w:spacing w:after="0" w:line="240" w:lineRule="auto"/>
              <w:jc w:val="center"/>
              <w:textAlignment w:val="baseline"/>
              <w:outlineLvl w:val="0"/>
              <w:rPr>
                <w:rFonts w:ascii="楷体" w:hAnsi="楷体" w:eastAsia="楷体" w:cs="楷体"/>
                <w:color w:val="000000"/>
                <w:szCs w:val="21"/>
              </w:rPr>
            </w:pPr>
            <w:r>
              <w:rPr>
                <w:rFonts w:ascii="楷体" w:hAnsi="楷体" w:eastAsia="楷体" w:cs="楷体"/>
                <w:color w:val="000000"/>
                <w:szCs w:val="21"/>
              </w:rPr>
              <w:t>PR5级</w:t>
            </w:r>
          </w:p>
        </w:tc>
        <w:tc>
          <w:tcPr>
            <w:tcW w:w="3578" w:type="dxa"/>
          </w:tcPr>
          <w:p w14:paraId="250176F1">
            <w:pPr>
              <w:adjustRightInd w:val="0"/>
              <w:spacing w:after="0" w:line="240" w:lineRule="auto"/>
              <w:jc w:val="center"/>
              <w:textAlignment w:val="baseline"/>
              <w:outlineLvl w:val="0"/>
              <w:rPr>
                <w:rFonts w:ascii="楷体" w:hAnsi="楷体" w:eastAsia="楷体" w:cs="楷体"/>
                <w:color w:val="000000"/>
                <w:szCs w:val="21"/>
              </w:rPr>
            </w:pPr>
            <w:r>
              <w:rPr>
                <w:rFonts w:ascii="楷体" w:hAnsi="楷体" w:eastAsia="楷体" w:cs="楷体"/>
                <w:color w:val="000000"/>
                <w:szCs w:val="21"/>
              </w:rPr>
              <w:t>高</w:t>
            </w:r>
          </w:p>
        </w:tc>
        <w:tc>
          <w:tcPr>
            <w:tcW w:w="4618" w:type="dxa"/>
            <w:vAlign w:val="center"/>
          </w:tcPr>
          <w:p w14:paraId="160155C4">
            <w:pPr>
              <w:adjustRightInd w:val="0"/>
              <w:spacing w:after="0" w:line="240" w:lineRule="auto"/>
              <w:jc w:val="center"/>
              <w:textAlignment w:val="baseline"/>
              <w:outlineLvl w:val="0"/>
              <w:rPr>
                <w:rFonts w:ascii="楷体" w:hAnsi="楷体" w:eastAsia="楷体" w:cs="楷体"/>
                <w:color w:val="000000"/>
                <w:szCs w:val="21"/>
              </w:rPr>
            </w:pPr>
            <w:r>
              <w:rPr>
                <w:rFonts w:hint="eastAsia" w:ascii="楷体" w:hAnsi="楷体" w:eastAsia="楷体" w:cs="楷体"/>
                <w:color w:val="000000"/>
                <w:szCs w:val="21"/>
              </w:rPr>
              <w:t>激进型</w:t>
            </w:r>
          </w:p>
        </w:tc>
      </w:tr>
    </w:tbl>
    <w:p w14:paraId="684757D9">
      <w:pPr>
        <w:widowControl/>
        <w:ind w:firstLine="480" w:firstLineChars="200"/>
        <w:jc w:val="left"/>
        <w:rPr>
          <w:rFonts w:ascii="黑体" w:hAnsi="宋体" w:eastAsia="黑体" w:cs="宋体"/>
          <w:bCs/>
          <w:color w:val="2F2F2F"/>
          <w:kern w:val="0"/>
          <w:sz w:val="24"/>
        </w:rPr>
      </w:pPr>
      <w:r>
        <w:rPr>
          <w:rFonts w:hint="eastAsia" w:ascii="黑体" w:hAnsi="宋体" w:eastAsia="黑体" w:cs="宋体"/>
          <w:bCs/>
          <w:color w:val="2F2F2F"/>
          <w:kern w:val="0"/>
          <w:sz w:val="24"/>
        </w:rPr>
        <w:t>三、理财信息披露</w:t>
      </w:r>
    </w:p>
    <w:p w14:paraId="0E7E8D53">
      <w:pPr>
        <w:widowControl/>
        <w:ind w:firstLine="480" w:firstLineChars="200"/>
        <w:rPr>
          <w:rFonts w:ascii="楷体_GB2312" w:hAnsi="宋体" w:eastAsia="楷体_GB2312" w:cs="宋体"/>
          <w:bCs/>
          <w:color w:val="2F2F2F"/>
          <w:kern w:val="0"/>
          <w:sz w:val="24"/>
        </w:rPr>
      </w:pPr>
      <w:r>
        <w:rPr>
          <w:rFonts w:hint="eastAsia" w:ascii="楷体_GB2312" w:hAnsi="宋体" w:eastAsia="楷体_GB2312" w:cs="宋体"/>
          <w:bCs/>
          <w:color w:val="2F2F2F"/>
          <w:kern w:val="0"/>
          <w:sz w:val="24"/>
        </w:rPr>
        <w:t>信银理财将根据不同的产品类别，在相应的理财产品说明书中明确说明该产品信息披露的平台、渠道、发布时间、频率等。一般来讲，信银理财网站【</w:t>
      </w:r>
      <w:r>
        <w:rPr>
          <w:rFonts w:hint="eastAsia" w:ascii="楷体_GB2312" w:hAnsi="宋体" w:eastAsia="楷体_GB2312" w:cs="宋体"/>
          <w:bCs/>
          <w:color w:val="2F2F2F"/>
          <w:kern w:val="0"/>
          <w:sz w:val="24"/>
        </w:rPr>
        <w:t>http://www.citic-wealth.com/</w:t>
      </w:r>
      <w:r>
        <w:rPr>
          <w:rFonts w:hint="eastAsia" w:ascii="楷体_GB2312" w:hAnsi="宋体" w:eastAsia="楷体_GB2312" w:cs="宋体"/>
          <w:bCs/>
          <w:color w:val="2F2F2F"/>
          <w:kern w:val="0"/>
          <w:sz w:val="24"/>
        </w:rPr>
        <w:t>】是信银理财正式信息发布渠道，其他渠道如短信、电话等为辅助方式，投资者应定期通过包括信银理财网站在内的各信息平台和渠道获知有关理财产品相关信息。</w:t>
      </w:r>
    </w:p>
    <w:p w14:paraId="2C0451A4">
      <w:pPr>
        <w:widowControl/>
        <w:ind w:firstLine="480" w:firstLineChars="200"/>
        <w:jc w:val="left"/>
        <w:rPr>
          <w:rFonts w:ascii="黑体" w:hAnsi="宋体" w:eastAsia="黑体" w:cs="宋体"/>
          <w:bCs/>
          <w:color w:val="2F2F2F"/>
          <w:kern w:val="0"/>
          <w:sz w:val="24"/>
        </w:rPr>
      </w:pPr>
      <w:r>
        <w:rPr>
          <w:rFonts w:hint="eastAsia" w:ascii="黑体" w:hAnsi="宋体" w:eastAsia="黑体" w:cs="宋体"/>
          <w:bCs/>
          <w:color w:val="2F2F2F"/>
          <w:kern w:val="0"/>
          <w:sz w:val="24"/>
        </w:rPr>
        <w:t>四、客户咨询、</w:t>
      </w:r>
      <w:r>
        <w:rPr>
          <w:rFonts w:ascii="黑体" w:hAnsi="宋体" w:eastAsia="黑体" w:cs="宋体"/>
          <w:bCs/>
          <w:color w:val="2F2F2F"/>
          <w:kern w:val="0"/>
          <w:sz w:val="24"/>
        </w:rPr>
        <w:t>投诉</w:t>
      </w:r>
      <w:r>
        <w:rPr>
          <w:rFonts w:hint="eastAsia" w:ascii="黑体" w:hAnsi="宋体" w:eastAsia="黑体" w:cs="宋体"/>
          <w:bCs/>
          <w:color w:val="2F2F2F"/>
          <w:kern w:val="0"/>
          <w:sz w:val="24"/>
        </w:rPr>
        <w:t>渠道及信银理财联系方式</w:t>
      </w:r>
    </w:p>
    <w:p w14:paraId="1C011458">
      <w:pPr>
        <w:spacing w:line="360" w:lineRule="auto"/>
        <w:ind w:firstLine="480" w:firstLineChars="200"/>
        <w:rPr>
          <w:rFonts w:ascii="楷体_GB2312" w:hAnsi="宋体" w:eastAsia="楷体_GB2312" w:cs="宋体"/>
          <w:bCs/>
          <w:color w:val="2F2F2F"/>
          <w:kern w:val="0"/>
          <w:sz w:val="24"/>
        </w:rPr>
      </w:pPr>
      <w:r>
        <w:rPr>
          <w:rFonts w:hint="eastAsia" w:ascii="楷体_GB2312" w:hAnsi="宋体" w:eastAsia="楷体_GB2312" w:cs="宋体"/>
          <w:bCs/>
          <w:color w:val="2F2F2F"/>
          <w:kern w:val="0"/>
          <w:sz w:val="24"/>
        </w:rPr>
        <w:t>信银理财个人理财业务客户咨询和投诉渠道包括但不限于：客户服务热线【</w:t>
      </w:r>
      <w:r>
        <w:rPr>
          <w:rFonts w:hint="eastAsia" w:ascii="楷体_GB2312" w:hAnsi="宋体" w:eastAsia="楷体_GB2312" w:cs="宋体"/>
          <w:bCs/>
          <w:color w:val="2F2F2F"/>
          <w:kern w:val="0"/>
          <w:sz w:val="24"/>
        </w:rPr>
        <w:t>950950</w:t>
      </w:r>
      <w:r>
        <w:rPr>
          <w:rFonts w:hint="eastAsia" w:ascii="楷体_GB2312" w:hAnsi="宋体" w:eastAsia="楷体_GB2312" w:cs="宋体"/>
          <w:bCs/>
          <w:color w:val="2F2F2F"/>
          <w:kern w:val="0"/>
          <w:sz w:val="24"/>
        </w:rPr>
        <w:t>】、营业</w:t>
      </w:r>
      <w:r>
        <w:rPr>
          <w:rFonts w:ascii="楷体_GB2312" w:hAnsi="宋体" w:eastAsia="楷体_GB2312" w:cs="宋体"/>
          <w:bCs/>
          <w:color w:val="2F2F2F"/>
          <w:kern w:val="0"/>
          <w:sz w:val="24"/>
        </w:rPr>
        <w:t>场所</w:t>
      </w:r>
      <w:r>
        <w:rPr>
          <w:rFonts w:hint="eastAsia" w:ascii="楷体_GB2312" w:hAnsi="宋体" w:eastAsia="楷体_GB2312" w:cs="宋体"/>
          <w:bCs/>
          <w:color w:val="2F2F2F"/>
          <w:kern w:val="0"/>
          <w:sz w:val="24"/>
        </w:rPr>
        <w:t>、互联网网站【</w:t>
      </w:r>
      <w:r>
        <w:rPr>
          <w:rFonts w:hint="eastAsia" w:ascii="楷体_GB2312" w:hAnsi="宋体" w:eastAsia="楷体_GB2312" w:cs="宋体"/>
          <w:bCs/>
          <w:color w:val="2F2F2F"/>
          <w:kern w:val="0"/>
          <w:sz w:val="24"/>
        </w:rPr>
        <w:t>http://www.citic-wealth.com/</w:t>
      </w:r>
      <w:r>
        <w:rPr>
          <w:rFonts w:hint="eastAsia" w:ascii="楷体_GB2312" w:hAnsi="宋体" w:eastAsia="楷体_GB2312" w:cs="宋体"/>
          <w:bCs/>
          <w:color w:val="2F2F2F"/>
          <w:kern w:val="0"/>
          <w:sz w:val="24"/>
        </w:rPr>
        <w:t>】、电子邮件【</w:t>
      </w:r>
      <w:r>
        <w:rPr>
          <w:rFonts w:hint="eastAsia" w:ascii="楷体_GB2312" w:hAnsi="宋体" w:eastAsia="楷体_GB2312" w:cs="宋体"/>
          <w:bCs/>
          <w:color w:val="2F2F2F"/>
          <w:kern w:val="0"/>
          <w:sz w:val="24"/>
        </w:rPr>
        <w:t>暂无</w:t>
      </w:r>
      <w:r>
        <w:rPr>
          <w:rFonts w:hint="eastAsia" w:ascii="楷体_GB2312" w:hAnsi="宋体" w:eastAsia="楷体_GB2312" w:cs="宋体"/>
          <w:bCs/>
          <w:color w:val="2F2F2F"/>
          <w:kern w:val="0"/>
          <w:sz w:val="24"/>
        </w:rPr>
        <w:t>】等。信银理财将安排专人及时收集个人理财业务客户投诉，并在收到客户投诉的第一时间内与客户取得联系，及时处理并进行反馈。</w:t>
      </w:r>
    </w:p>
    <w:p w14:paraId="08C5B996">
      <w:pPr>
        <w:widowControl/>
        <w:ind w:firstLine="480" w:firstLineChars="200"/>
        <w:jc w:val="left"/>
        <w:rPr>
          <w:rFonts w:ascii="黑体" w:hAnsi="宋体" w:eastAsia="黑体" w:cs="宋体"/>
          <w:bCs/>
          <w:color w:val="2F2F2F"/>
          <w:kern w:val="0"/>
          <w:sz w:val="24"/>
        </w:rPr>
      </w:pPr>
      <w:r>
        <w:rPr>
          <w:rFonts w:hint="eastAsia" w:ascii="黑体" w:hAnsi="宋体" w:eastAsia="黑体" w:cs="宋体"/>
          <w:bCs/>
          <w:color w:val="2F2F2F"/>
          <w:kern w:val="0"/>
          <w:sz w:val="24"/>
        </w:rPr>
        <w:t>五</w:t>
      </w:r>
      <w:r>
        <w:rPr>
          <w:rFonts w:ascii="黑体" w:hAnsi="宋体" w:eastAsia="黑体" w:cs="宋体"/>
          <w:bCs/>
          <w:color w:val="2F2F2F"/>
          <w:kern w:val="0"/>
          <w:sz w:val="24"/>
        </w:rPr>
        <w:t>、</w:t>
      </w:r>
      <w:r>
        <w:rPr>
          <w:rFonts w:hint="eastAsia" w:ascii="黑体" w:hAnsi="宋体" w:eastAsia="黑体" w:cs="宋体"/>
          <w:bCs/>
          <w:color w:val="2F2F2F"/>
          <w:kern w:val="0"/>
          <w:sz w:val="24"/>
        </w:rPr>
        <w:t>客户</w:t>
      </w:r>
      <w:r>
        <w:rPr>
          <w:rFonts w:ascii="黑体" w:hAnsi="宋体" w:eastAsia="黑体" w:cs="宋体"/>
          <w:bCs/>
          <w:color w:val="2F2F2F"/>
          <w:kern w:val="0"/>
          <w:sz w:val="24"/>
        </w:rPr>
        <w:t>须知</w:t>
      </w:r>
    </w:p>
    <w:p w14:paraId="75EEB214">
      <w:pPr>
        <w:spacing w:line="360" w:lineRule="auto"/>
        <w:ind w:firstLine="480" w:firstLineChars="200"/>
        <w:rPr>
          <w:rFonts w:ascii="黑体" w:hAnsi="黑体" w:eastAsia="黑体" w:cs="楷体"/>
          <w:color w:val="000000"/>
          <w:sz w:val="24"/>
          <w:szCs w:val="24"/>
        </w:rPr>
      </w:pPr>
      <w:r>
        <w:rPr>
          <w:rFonts w:hint="eastAsia" w:ascii="黑体" w:hAnsi="黑体" w:eastAsia="黑体" w:cs="楷体"/>
          <w:color w:val="000000"/>
          <w:sz w:val="24"/>
          <w:szCs w:val="24"/>
        </w:rPr>
        <w:t>郑重提示您在</w:t>
      </w:r>
      <w:r>
        <w:rPr>
          <w:rFonts w:ascii="黑体" w:hAnsi="黑体" w:eastAsia="黑体" w:cs="楷体"/>
          <w:color w:val="000000"/>
          <w:sz w:val="24"/>
          <w:szCs w:val="24"/>
        </w:rPr>
        <w:t>购买</w:t>
      </w:r>
      <w:r>
        <w:rPr>
          <w:rFonts w:hint="eastAsia" w:ascii="黑体" w:hAnsi="黑体" w:eastAsia="黑体" w:cs="楷体"/>
          <w:color w:val="000000"/>
          <w:sz w:val="24"/>
          <w:szCs w:val="24"/>
        </w:rPr>
        <w:t>信银</w:t>
      </w:r>
      <w:r>
        <w:rPr>
          <w:rFonts w:ascii="黑体" w:hAnsi="黑体" w:eastAsia="黑体" w:cs="楷体"/>
          <w:color w:val="000000"/>
          <w:sz w:val="24"/>
          <w:szCs w:val="24"/>
        </w:rPr>
        <w:t>理财理财产品时注意以下事项</w:t>
      </w:r>
      <w:r>
        <w:rPr>
          <w:rFonts w:hint="eastAsia" w:ascii="黑体" w:hAnsi="黑体" w:eastAsia="黑体" w:cs="楷体"/>
          <w:color w:val="000000"/>
          <w:sz w:val="24"/>
          <w:szCs w:val="24"/>
        </w:rPr>
        <w:t>：</w:t>
      </w:r>
    </w:p>
    <w:p w14:paraId="61AA69E7">
      <w:pPr>
        <w:pStyle w:val="17"/>
        <w:numPr>
          <w:ilvl w:val="0"/>
          <w:numId w:val="1"/>
        </w:numPr>
        <w:spacing w:line="360" w:lineRule="auto"/>
        <w:ind w:firstLineChars="0"/>
        <w:rPr>
          <w:rFonts w:ascii="黑体" w:hAnsi="黑体" w:eastAsia="黑体" w:cs="楷体"/>
          <w:color w:val="000000"/>
          <w:sz w:val="24"/>
          <w:szCs w:val="24"/>
        </w:rPr>
      </w:pPr>
      <w:r>
        <w:rPr>
          <w:rFonts w:hint="eastAsia" w:ascii="黑体" w:hAnsi="黑体" w:eastAsia="黑体" w:cs="楷体"/>
          <w:color w:val="000000"/>
          <w:sz w:val="24"/>
          <w:szCs w:val="24"/>
        </w:rPr>
        <w:t>信银</w:t>
      </w:r>
      <w:r>
        <w:rPr>
          <w:rFonts w:ascii="黑体" w:hAnsi="黑体" w:eastAsia="黑体" w:cs="楷体"/>
          <w:color w:val="000000"/>
          <w:sz w:val="24"/>
          <w:szCs w:val="24"/>
        </w:rPr>
        <w:t>理财</w:t>
      </w:r>
      <w:r>
        <w:rPr>
          <w:rFonts w:hint="eastAsia" w:ascii="黑体" w:hAnsi="黑体" w:eastAsia="黑体" w:cs="楷体"/>
          <w:color w:val="000000"/>
          <w:sz w:val="24"/>
          <w:szCs w:val="24"/>
        </w:rPr>
        <w:t>发行</w:t>
      </w:r>
      <w:r>
        <w:rPr>
          <w:rFonts w:ascii="黑体" w:hAnsi="黑体" w:eastAsia="黑体" w:cs="楷体"/>
          <w:color w:val="000000"/>
          <w:sz w:val="24"/>
          <w:szCs w:val="24"/>
        </w:rPr>
        <w:t>的所有</w:t>
      </w:r>
      <w:r>
        <w:rPr>
          <w:rFonts w:hint="eastAsia" w:ascii="黑体" w:hAnsi="黑体" w:eastAsia="黑体" w:cs="楷体"/>
          <w:color w:val="000000"/>
          <w:sz w:val="24"/>
          <w:szCs w:val="24"/>
        </w:rPr>
        <w:t>理财产品都</w:t>
      </w:r>
      <w:r>
        <w:rPr>
          <w:rFonts w:ascii="黑体" w:hAnsi="黑体" w:eastAsia="黑体" w:cs="楷体"/>
          <w:color w:val="000000"/>
          <w:sz w:val="24"/>
          <w:szCs w:val="24"/>
        </w:rPr>
        <w:t>将披露</w:t>
      </w:r>
      <w:r>
        <w:rPr>
          <w:rFonts w:hint="eastAsia" w:ascii="黑体" w:hAnsi="黑体" w:eastAsia="黑体" w:cs="楷体"/>
          <w:color w:val="000000"/>
          <w:sz w:val="24"/>
          <w:szCs w:val="24"/>
        </w:rPr>
        <w:t>理财</w:t>
      </w:r>
      <w:r>
        <w:rPr>
          <w:rFonts w:ascii="黑体" w:hAnsi="黑体" w:eastAsia="黑体" w:cs="楷体"/>
          <w:color w:val="000000"/>
          <w:sz w:val="24"/>
          <w:szCs w:val="24"/>
        </w:rPr>
        <w:t>产品</w:t>
      </w:r>
      <w:r>
        <w:rPr>
          <w:rFonts w:hint="eastAsia" w:ascii="黑体" w:hAnsi="黑体" w:eastAsia="黑体" w:cs="楷体"/>
          <w:color w:val="000000"/>
          <w:sz w:val="24"/>
          <w:szCs w:val="24"/>
        </w:rPr>
        <w:t>登记编码。投资者可以依据该理财产品登记编码在中国理财网（www.chinawealth.com.cn）上查询产品相关信息。理财产品登记编码是全国银行业理财信息登记系统赋予所有银行（及银行理财子公司）理财产品的标识码，每个登记编码具有唯一性，是您判断理财产品是否合法合规、是否真实可靠的重要依据。如您购买的理财产品未公示登记编码，或通过其公示的登记编码无法在中国理财网（www.chinawealth.com.cn）上查询到产品相关信息，则该产品非信银理财发行产品。</w:t>
      </w:r>
    </w:p>
    <w:p w14:paraId="613EB896">
      <w:pPr>
        <w:pStyle w:val="17"/>
        <w:numPr>
          <w:ilvl w:val="0"/>
          <w:numId w:val="1"/>
        </w:numPr>
        <w:spacing w:line="360" w:lineRule="auto"/>
        <w:ind w:firstLineChars="0"/>
        <w:rPr>
          <w:rFonts w:ascii="黑体" w:hAnsi="黑体" w:eastAsia="黑体" w:cs="楷体"/>
          <w:color w:val="000000"/>
          <w:sz w:val="24"/>
          <w:szCs w:val="24"/>
        </w:rPr>
      </w:pPr>
      <w:r>
        <w:rPr>
          <w:rFonts w:hint="eastAsia" w:ascii="黑体" w:hAnsi="黑体" w:eastAsia="黑体" w:cs="楷体"/>
          <w:color w:val="000000"/>
          <w:sz w:val="24"/>
          <w:szCs w:val="24"/>
        </w:rPr>
        <w:t>信银</w:t>
      </w:r>
      <w:r>
        <w:rPr>
          <w:rFonts w:ascii="黑体" w:hAnsi="黑体" w:eastAsia="黑体" w:cs="楷体"/>
          <w:color w:val="000000"/>
          <w:sz w:val="24"/>
          <w:szCs w:val="24"/>
        </w:rPr>
        <w:t>理财</w:t>
      </w:r>
      <w:r>
        <w:rPr>
          <w:rFonts w:hint="eastAsia" w:ascii="黑体" w:hAnsi="黑体" w:eastAsia="黑体" w:cs="楷体"/>
          <w:color w:val="000000"/>
          <w:sz w:val="24"/>
          <w:szCs w:val="24"/>
        </w:rPr>
        <w:t>《理财产品说明书》中除明确规定的收益及收益分配方式外，任何预期收益、预计收益、测算收益或类似表述均属不具有法律约束力的用语，不代表投资者可能获得的实际收益，亦不构成信银理财对理财产品的任何收益承诺。信银</w:t>
      </w:r>
      <w:r>
        <w:rPr>
          <w:rFonts w:ascii="黑体" w:hAnsi="黑体" w:eastAsia="黑体" w:cs="楷体"/>
          <w:color w:val="000000"/>
          <w:sz w:val="24"/>
          <w:szCs w:val="24"/>
        </w:rPr>
        <w:t>理财</w:t>
      </w:r>
      <w:r>
        <w:rPr>
          <w:rFonts w:hint="eastAsia" w:ascii="黑体" w:hAnsi="黑体" w:eastAsia="黑体" w:cs="楷体"/>
          <w:color w:val="000000"/>
          <w:sz w:val="24"/>
          <w:szCs w:val="24"/>
        </w:rPr>
        <w:t>理财产品不保障理财本金和收益，投资者所能获得的最终收益以理财产品最终清算的投资者可得收益为准。产品过往业绩不代表其未来表现，不构成新发理财产品业绩表现的保证。</w:t>
      </w:r>
    </w:p>
    <w:p w14:paraId="7A100FA4">
      <w:pPr>
        <w:pStyle w:val="17"/>
        <w:numPr>
          <w:ilvl w:val="0"/>
          <w:numId w:val="1"/>
        </w:numPr>
        <w:spacing w:line="360" w:lineRule="auto"/>
        <w:ind w:firstLineChars="0"/>
        <w:rPr>
          <w:rFonts w:ascii="黑体" w:hAnsi="黑体" w:eastAsia="黑体" w:cs="楷体"/>
          <w:color w:val="000000"/>
          <w:sz w:val="24"/>
          <w:szCs w:val="24"/>
        </w:rPr>
      </w:pPr>
      <w:r>
        <w:rPr>
          <w:rFonts w:hint="eastAsia" w:ascii="黑体" w:hAnsi="黑体" w:eastAsia="黑体" w:cs="楷体"/>
          <w:color w:val="000000"/>
          <w:sz w:val="24"/>
          <w:szCs w:val="24"/>
        </w:rPr>
        <w:t>信银理财通过营业网点向个人投资者销售理财产品的，将按照国务院银行业监督管理机构的相关规定实施理财产品销售专区管理。信银理财将在销售专区内对每只理财产品销售过程进行录音录像，销售专区具有明显标识。投资者知悉并同意接受上述安排和流程。</w:t>
      </w:r>
    </w:p>
    <w:p w14:paraId="5840BCB7">
      <w:pPr>
        <w:pStyle w:val="17"/>
        <w:numPr>
          <w:ilvl w:val="0"/>
          <w:numId w:val="1"/>
        </w:numPr>
        <w:spacing w:line="360" w:lineRule="auto"/>
        <w:ind w:firstLineChars="0"/>
        <w:rPr>
          <w:rFonts w:ascii="黑体" w:hAnsi="黑体" w:eastAsia="黑体" w:cs="楷体"/>
          <w:color w:val="000000"/>
          <w:sz w:val="24"/>
          <w:szCs w:val="24"/>
        </w:rPr>
      </w:pPr>
      <w:r>
        <w:rPr>
          <w:rFonts w:hint="eastAsia" w:ascii="黑体" w:hAnsi="黑体" w:eastAsia="黑体" w:cs="楷体"/>
          <w:color w:val="000000"/>
          <w:sz w:val="24"/>
          <w:szCs w:val="24"/>
        </w:rPr>
        <w:t>信银理财通过电子渠道向个人投资者销售理财产品的，将</w:t>
      </w:r>
      <w:r>
        <w:rPr>
          <w:rFonts w:ascii="黑体" w:hAnsi="黑体" w:eastAsia="黑体" w:cs="楷体"/>
          <w:color w:val="000000"/>
          <w:sz w:val="24"/>
          <w:szCs w:val="24"/>
        </w:rPr>
        <w:t>按照国务院银行业监督管理机构的相关规定</w:t>
      </w:r>
      <w:r>
        <w:rPr>
          <w:rFonts w:hint="eastAsia" w:ascii="黑体" w:hAnsi="黑体" w:eastAsia="黑体" w:cs="楷体"/>
          <w:color w:val="000000"/>
          <w:sz w:val="24"/>
          <w:szCs w:val="24"/>
        </w:rPr>
        <w:t>积极采取有效措施和技术手段完整客观记录营销推介、产品风险和关键信息提示、投资者确认和反馈等重点销售环节，确保能够满足回溯检查和核查取证的需要。投资者同意信银理财进行上述记录行为。</w:t>
      </w:r>
    </w:p>
    <w:p w14:paraId="4BB18291">
      <w:pPr>
        <w:pStyle w:val="17"/>
        <w:numPr>
          <w:ilvl w:val="0"/>
          <w:numId w:val="1"/>
        </w:numPr>
        <w:spacing w:line="360" w:lineRule="auto"/>
        <w:ind w:firstLineChars="0"/>
        <w:rPr>
          <w:rFonts w:ascii="黑体" w:hAnsi="黑体" w:eastAsia="黑体" w:cs="楷体"/>
          <w:color w:val="000000"/>
          <w:sz w:val="24"/>
          <w:szCs w:val="24"/>
        </w:rPr>
      </w:pPr>
      <w:r>
        <w:rPr>
          <w:rFonts w:hint="eastAsia" w:ascii="黑体" w:hAnsi="黑体" w:eastAsia="黑体" w:cs="楷体"/>
          <w:color w:val="000000"/>
          <w:sz w:val="24"/>
          <w:szCs w:val="24"/>
        </w:rPr>
        <w:t>信银理财销售人员均为与信银理财签订劳动合同并经信银理财进行了上岗资格认定的人员。投资者可要求销售人员在向投资者宣传销售理财产品前进行自我介绍并告知投资者关于销售人员的信息查询和核实渠道。</w:t>
      </w:r>
    </w:p>
    <w:p w14:paraId="0954D53D"/>
    <w:p w14:paraId="0F091F41"/>
    <w:p w14:paraId="3C902BC9"/>
    <w:p w14:paraId="17582A8E"/>
    <w:p w14:paraId="2065D892"/>
    <w:p w14:paraId="70C82FF2"/>
    <w:p w14:paraId="5CE2E1B9"/>
    <w:p w14:paraId="25171EF1"/>
    <w:p w14:paraId="745D0C8B"/>
    <w:p w14:paraId="6F7DE23E"/>
    <w:p w14:paraId="7222B820"/>
    <w:p w14:paraId="1796AB48"/>
    <w:p w14:paraId="592E8C91"/>
    <w:p w14:paraId="5FC98070"/>
    <w:p w14:paraId="28F2AFF8"/>
    <w:p w14:paraId="4D1CBB2B"/>
    <w:p w14:paraId="03C1CF38"/>
    <w:p w14:paraId="7E5DE2DB"/>
    <w:p w14:paraId="224EBCA1"/>
    <w:p w14:paraId="3FC8B07B"/>
    <w:p w14:paraId="7313EF05"/>
    <w:p w14:paraId="55669F55"/>
    <w:p w14:paraId="14A4ADD9"/>
    <w:p w14:paraId="16A0A3C6"/>
    <w:p w14:paraId="33A37806"/>
    <w:p w14:paraId="76DA3B3E">
      <w:pPr>
        <w:sectPr>
          <w:headerReference r:id="rId5" w:type="default"/>
          <w:footerReference r:id="rId6" w:type="default"/>
          <w:pgSz w:w="11906" w:h="16838"/>
          <w:pgMar w:top="964" w:right="1021" w:bottom="964" w:left="1021" w:header="851" w:footer="992" w:gutter="0"/>
          <w:pgNumType w:fmt="decimal"/>
          <w:cols w:space="425" w:num="1"/>
          <w:docGrid w:type="lines" w:linePitch="312" w:charSpace="0"/>
        </w:sectPr>
      </w:pPr>
    </w:p>
    <w:p w14:paraId="23361035"/>
    <w:p w14:paraId="609BA596">
      <w:pPr>
        <w:pStyle w:val="15"/>
        <w:wordWrap w:val="0"/>
        <w:spacing w:line="400" w:lineRule="exact"/>
        <w:ind w:right="280" w:firstLine="480" w:firstLineChars="200"/>
        <w:jc w:val="right"/>
        <w:rPr>
          <w:rFonts w:ascii="仿宋" w:hAnsi="仿宋" w:eastAsia="仿宋" w:cs="仿宋"/>
          <w:sz w:val="28"/>
          <w:szCs w:val="28"/>
        </w:rPr>
      </w:pPr>
      <w:r>
        <w:rPr>
          <w:rFonts w:hint="eastAsia" w:ascii="仿宋" w:hAnsi="仿宋" w:eastAsia="仿宋" w:cs="仿宋"/>
          <w:szCs w:val="28"/>
        </w:rPr>
        <w:t xml:space="preserve">          </w:t>
      </w:r>
      <w:r>
        <w:rPr>
          <w:rFonts w:hint="eastAsia" w:ascii="仿宋" w:hAnsi="仿宋" w:eastAsia="仿宋" w:cs="仿宋"/>
          <w:bCs/>
          <w:sz w:val="28"/>
          <w:szCs w:val="28"/>
        </w:rPr>
        <w:t>合同编号：（                     ）号</w:t>
      </w:r>
    </w:p>
    <w:p w14:paraId="779F6EF4">
      <w:pPr>
        <w:rPr>
          <w:rFonts w:ascii="宋体" w:hAnsi="宋体"/>
          <w:b/>
          <w:color w:val="000000"/>
          <w:sz w:val="28"/>
        </w:rPr>
      </w:pPr>
    </w:p>
    <w:p w14:paraId="0049BCCC">
      <w:pPr>
        <w:pStyle w:val="16"/>
        <w:jc w:val="center"/>
        <w:rPr>
          <w:rFonts w:ascii="仿宋" w:hAnsi="仿宋" w:eastAsia="仿宋" w:cs="仿宋"/>
          <w:sz w:val="52"/>
          <w:szCs w:val="52"/>
        </w:rPr>
      </w:pPr>
    </w:p>
    <w:p w14:paraId="491EEDA5">
      <w:pPr>
        <w:pStyle w:val="16"/>
        <w:jc w:val="center"/>
        <w:rPr>
          <w:rFonts w:ascii="仿宋" w:hAnsi="仿宋" w:eastAsia="仿宋" w:cs="仿宋"/>
          <w:sz w:val="52"/>
          <w:szCs w:val="52"/>
        </w:rPr>
      </w:pPr>
    </w:p>
    <w:p w14:paraId="78A981E2">
      <w:pPr>
        <w:pStyle w:val="16"/>
        <w:jc w:val="center"/>
        <w:rPr>
          <w:rFonts w:ascii="仿宋" w:hAnsi="仿宋" w:eastAsia="仿宋" w:cs="仿宋"/>
          <w:sz w:val="52"/>
          <w:szCs w:val="52"/>
        </w:rPr>
      </w:pPr>
    </w:p>
    <w:p w14:paraId="0968E607">
      <w:pPr>
        <w:pStyle w:val="16"/>
        <w:jc w:val="center"/>
        <w:rPr>
          <w:rFonts w:cs="仿宋" w:asciiTheme="majorEastAsia" w:hAnsiTheme="majorEastAsia" w:eastAsiaTheme="majorEastAsia"/>
          <w:sz w:val="52"/>
          <w:szCs w:val="52"/>
        </w:rPr>
      </w:pPr>
      <w:r>
        <w:rPr>
          <w:rFonts w:hint="eastAsia" w:cs="仿宋" w:asciiTheme="majorEastAsia" w:hAnsiTheme="majorEastAsia" w:eastAsiaTheme="majorEastAsia"/>
          <w:sz w:val="52"/>
          <w:szCs w:val="52"/>
        </w:rPr>
        <w:t>信银理财理财产品销售总协议</w:t>
      </w:r>
    </w:p>
    <w:p w14:paraId="7F90647D">
      <w:pPr>
        <w:pStyle w:val="16"/>
        <w:jc w:val="center"/>
        <w:rPr>
          <w:rFonts w:cs="仿宋" w:asciiTheme="majorEastAsia" w:hAnsiTheme="majorEastAsia" w:eastAsiaTheme="majorEastAsia"/>
          <w:sz w:val="52"/>
          <w:szCs w:val="52"/>
        </w:rPr>
      </w:pPr>
      <w:r>
        <w:rPr>
          <w:rFonts w:hint="eastAsia" w:cs="仿宋" w:asciiTheme="majorEastAsia" w:hAnsiTheme="majorEastAsia" w:eastAsiaTheme="majorEastAsia"/>
          <w:sz w:val="52"/>
          <w:szCs w:val="52"/>
        </w:rPr>
        <w:t>（适用于机构客户）</w:t>
      </w:r>
    </w:p>
    <w:p w14:paraId="3DB08113">
      <w:pPr>
        <w:pStyle w:val="16"/>
        <w:jc w:val="center"/>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.0版，</w:t>
      </w:r>
      <w:r>
        <w:rPr>
          <w:rFonts w:ascii="仿宋" w:hAnsi="仿宋" w:eastAsia="仿宋" w:cs="仿宋"/>
          <w:sz w:val="28"/>
          <w:szCs w:val="28"/>
        </w:rPr>
        <w:t>2023</w:t>
      </w:r>
      <w:r>
        <w:rPr>
          <w:rFonts w:hint="eastAsia" w:ascii="仿宋" w:hAnsi="仿宋" w:eastAsia="仿宋" w:cs="仿宋"/>
          <w:sz w:val="28"/>
          <w:szCs w:val="28"/>
        </w:rPr>
        <w:t>年）</w:t>
      </w:r>
    </w:p>
    <w:p w14:paraId="49DD4BD6">
      <w:pPr>
        <w:widowControl/>
        <w:jc w:val="left"/>
        <w:rPr>
          <w:rFonts w:ascii="楷体_GB2312" w:hAnsi="Monotype Corsiva" w:eastAsia="楷体_GB2312"/>
          <w:b/>
          <w:color w:val="000000"/>
        </w:rPr>
      </w:pPr>
      <w:r>
        <w:rPr>
          <w:rFonts w:ascii="楷体_GB2312" w:hAnsi="Monotype Corsiva" w:eastAsia="楷体_GB2312"/>
          <w:b/>
          <w:color w:val="000000"/>
        </w:rPr>
        <w:br w:type="page"/>
      </w:r>
    </w:p>
    <w:p w14:paraId="14CEF224">
      <w:pPr>
        <w:widowControl/>
        <w:jc w:val="center"/>
        <w:rPr>
          <w:rFonts w:ascii="宋体" w:hAnsi="宋体"/>
          <w:b/>
          <w:bCs/>
          <w:sz w:val="30"/>
        </w:rPr>
      </w:pPr>
    </w:p>
    <w:p w14:paraId="4FD71A56">
      <w:pPr>
        <w:widowControl/>
        <w:jc w:val="center"/>
        <w:rPr>
          <w:rFonts w:ascii="宋体" w:hAnsi="宋体"/>
          <w:b/>
          <w:bCs/>
          <w:sz w:val="30"/>
        </w:rPr>
      </w:pPr>
    </w:p>
    <w:p w14:paraId="761EA5EA">
      <w:pPr>
        <w:widowControl/>
        <w:jc w:val="center"/>
        <w:rPr>
          <w:rFonts w:eastAsia="楷体_GB2312"/>
          <w:b/>
          <w:color w:val="000000"/>
        </w:rPr>
      </w:pPr>
      <w:r>
        <w:rPr>
          <w:rFonts w:hint="eastAsia" w:ascii="宋体" w:hAnsi="宋体"/>
          <w:b/>
          <w:bCs/>
          <w:sz w:val="30"/>
        </w:rPr>
        <w:t>填写说明及提示</w:t>
      </w:r>
    </w:p>
    <w:p w14:paraId="2C04016A">
      <w:pPr>
        <w:pStyle w:val="14"/>
        <w:adjustRightInd w:val="0"/>
        <w:snapToGrid w:val="0"/>
        <w:spacing w:line="360" w:lineRule="auto"/>
        <w:jc w:val="left"/>
        <w:rPr>
          <w:rFonts w:ascii="宋体" w:hAnsi="宋体" w:eastAsia="宋体"/>
          <w:b/>
          <w:bCs/>
          <w:sz w:val="24"/>
          <w:szCs w:val="24"/>
        </w:rPr>
      </w:pPr>
    </w:p>
    <w:p w14:paraId="21DA36A7">
      <w:pPr>
        <w:pStyle w:val="14"/>
        <w:adjustRightInd w:val="0"/>
        <w:snapToGrid w:val="0"/>
        <w:spacing w:line="360" w:lineRule="auto"/>
        <w:ind w:firstLine="849" w:firstLineChars="354"/>
        <w:jc w:val="left"/>
        <w:rPr>
          <w:rFonts w:ascii="宋体" w:hAnsi="宋体" w:eastAsia="宋体"/>
          <w:b/>
          <w:bCs/>
          <w:sz w:val="24"/>
          <w:szCs w:val="24"/>
        </w:rPr>
      </w:pPr>
      <w:r>
        <w:rPr>
          <w:rFonts w:ascii="宋体" w:hAnsi="宋体" w:eastAsia="宋体"/>
          <w:sz w:val="24"/>
          <w:szCs w:val="24"/>
        </w:rPr>
        <w:t xml:space="preserve">1. </w:t>
      </w:r>
      <w:r>
        <w:rPr>
          <w:rFonts w:hint="eastAsia" w:ascii="宋体" w:hAnsi="宋体" w:eastAsia="宋体"/>
          <w:sz w:val="24"/>
          <w:szCs w:val="24"/>
        </w:rPr>
        <w:t>本合同为</w:t>
      </w:r>
      <w:r>
        <w:rPr>
          <w:rFonts w:ascii="宋体" w:hAnsi="宋体" w:eastAsia="宋体"/>
          <w:sz w:val="24"/>
          <w:szCs w:val="24"/>
        </w:rPr>
        <w:t>我公司理财产品销售文件</w:t>
      </w:r>
      <w:r>
        <w:rPr>
          <w:rFonts w:hint="eastAsia" w:ascii="宋体" w:hAnsi="宋体" w:eastAsia="宋体"/>
          <w:sz w:val="24"/>
          <w:szCs w:val="24"/>
        </w:rPr>
        <w:t>，</w:t>
      </w:r>
      <w:r>
        <w:rPr>
          <w:rFonts w:ascii="宋体" w:hAnsi="宋体" w:eastAsia="宋体"/>
          <w:sz w:val="24"/>
          <w:szCs w:val="24"/>
        </w:rPr>
        <w:t>适用于直销场景。</w:t>
      </w:r>
    </w:p>
    <w:p w14:paraId="46EF4862">
      <w:pPr>
        <w:pStyle w:val="14"/>
        <w:adjustRightInd w:val="0"/>
        <w:snapToGrid w:val="0"/>
        <w:spacing w:line="360" w:lineRule="auto"/>
        <w:ind w:firstLine="849" w:firstLineChars="354"/>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．本合同空白处应填写完整，保证所有空格均填写入准确的内容， 如果确实没有必要填写的，请在空格处填入“×”。如非</w:t>
      </w:r>
      <w:r>
        <w:rPr>
          <w:rFonts w:ascii="宋体" w:hAnsi="宋体" w:eastAsia="宋体"/>
          <w:sz w:val="24"/>
          <w:szCs w:val="24"/>
        </w:rPr>
        <w:t>打印填写</w:t>
      </w:r>
      <w:r>
        <w:rPr>
          <w:rFonts w:hint="eastAsia" w:ascii="宋体" w:hAnsi="宋体" w:eastAsia="宋体"/>
          <w:sz w:val="24"/>
          <w:szCs w:val="24"/>
        </w:rPr>
        <w:t>，应使用蓝黑色或黑色签字笔或钢笔填写，</w:t>
      </w:r>
      <w:r>
        <w:rPr>
          <w:rFonts w:ascii="宋体" w:hAnsi="宋体" w:eastAsia="宋体"/>
          <w:sz w:val="24"/>
          <w:szCs w:val="24"/>
        </w:rPr>
        <w:t>保持</w:t>
      </w:r>
      <w:r>
        <w:rPr>
          <w:rFonts w:hint="eastAsia" w:ascii="宋体" w:hAnsi="宋体" w:eastAsia="宋体"/>
          <w:sz w:val="24"/>
          <w:szCs w:val="24"/>
        </w:rPr>
        <w:t>字迹清楚、工整。</w:t>
      </w:r>
    </w:p>
    <w:p w14:paraId="5CC7882A">
      <w:pPr>
        <w:pStyle w:val="14"/>
        <w:adjustRightInd w:val="0"/>
        <w:snapToGrid w:val="0"/>
        <w:spacing w:line="360" w:lineRule="auto"/>
        <w:ind w:firstLine="849" w:firstLineChars="354"/>
        <w:jc w:val="left"/>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 xml:space="preserve">. </w:t>
      </w:r>
      <w:r>
        <w:rPr>
          <w:rFonts w:hint="eastAsia" w:ascii="宋体" w:hAnsi="宋体" w:eastAsia="宋体"/>
          <w:sz w:val="24"/>
          <w:szCs w:val="24"/>
        </w:rPr>
        <w:t>本部分（“</w:t>
      </w:r>
      <w:r>
        <w:rPr>
          <w:rFonts w:ascii="宋体" w:hAnsi="宋体" w:eastAsia="宋体"/>
          <w:sz w:val="24"/>
          <w:szCs w:val="24"/>
        </w:rPr>
        <w:t>填写</w:t>
      </w:r>
      <w:r>
        <w:rPr>
          <w:rFonts w:hint="eastAsia" w:ascii="宋体" w:hAnsi="宋体" w:eastAsia="宋体"/>
          <w:sz w:val="24"/>
          <w:szCs w:val="24"/>
        </w:rPr>
        <w:t>说明</w:t>
      </w:r>
      <w:r>
        <w:rPr>
          <w:rFonts w:ascii="宋体" w:hAnsi="宋体" w:eastAsia="宋体"/>
          <w:sz w:val="24"/>
          <w:szCs w:val="24"/>
        </w:rPr>
        <w:t>及提示</w:t>
      </w:r>
      <w:r>
        <w:rPr>
          <w:rFonts w:hint="eastAsia" w:ascii="宋体" w:hAnsi="宋体" w:eastAsia="宋体"/>
          <w:sz w:val="24"/>
          <w:szCs w:val="24"/>
        </w:rPr>
        <w:t>”）及</w:t>
      </w:r>
      <w:r>
        <w:rPr>
          <w:rFonts w:ascii="宋体" w:hAnsi="宋体" w:eastAsia="宋体"/>
          <w:sz w:val="24"/>
          <w:szCs w:val="24"/>
        </w:rPr>
        <w:t>合同正文</w:t>
      </w:r>
      <w:r>
        <w:rPr>
          <w:rFonts w:hint="eastAsia" w:ascii="宋体" w:hAnsi="宋体" w:eastAsia="宋体"/>
          <w:sz w:val="24"/>
          <w:szCs w:val="24"/>
        </w:rPr>
        <w:t>中相关</w:t>
      </w:r>
      <w:r>
        <w:rPr>
          <w:rFonts w:ascii="宋体" w:hAnsi="宋体" w:eastAsia="宋体"/>
          <w:sz w:val="24"/>
          <w:szCs w:val="24"/>
        </w:rPr>
        <w:t>注释</w:t>
      </w:r>
      <w:r>
        <w:rPr>
          <w:rFonts w:hint="eastAsia" w:ascii="宋体" w:hAnsi="宋体" w:eastAsia="宋体"/>
          <w:sz w:val="24"/>
          <w:szCs w:val="24"/>
        </w:rPr>
        <w:t>目的</w:t>
      </w:r>
      <w:r>
        <w:rPr>
          <w:rFonts w:ascii="宋体" w:hAnsi="宋体" w:eastAsia="宋体"/>
          <w:sz w:val="24"/>
          <w:szCs w:val="24"/>
        </w:rPr>
        <w:t>是提示</w:t>
      </w:r>
      <w:r>
        <w:rPr>
          <w:rFonts w:hint="eastAsia" w:ascii="宋体" w:hAnsi="宋体" w:eastAsia="宋体"/>
          <w:sz w:val="24"/>
          <w:szCs w:val="24"/>
        </w:rPr>
        <w:t>合同</w:t>
      </w:r>
      <w:r>
        <w:rPr>
          <w:rFonts w:ascii="宋体" w:hAnsi="宋体" w:eastAsia="宋体"/>
          <w:sz w:val="24"/>
          <w:szCs w:val="24"/>
        </w:rPr>
        <w:t>使用</w:t>
      </w:r>
      <w:r>
        <w:rPr>
          <w:rFonts w:hint="eastAsia" w:ascii="宋体" w:hAnsi="宋体" w:eastAsia="宋体"/>
          <w:sz w:val="24"/>
          <w:szCs w:val="24"/>
        </w:rPr>
        <w:t>人员</w:t>
      </w:r>
      <w:r>
        <w:rPr>
          <w:rFonts w:ascii="宋体" w:hAnsi="宋体" w:eastAsia="宋体"/>
          <w:sz w:val="24"/>
          <w:szCs w:val="24"/>
        </w:rPr>
        <w:t>相关注意事项</w:t>
      </w:r>
      <w:r>
        <w:rPr>
          <w:rFonts w:hint="eastAsia" w:ascii="宋体" w:hAnsi="宋体" w:eastAsia="宋体"/>
          <w:sz w:val="24"/>
          <w:szCs w:val="24"/>
        </w:rPr>
        <w:t>，</w:t>
      </w:r>
      <w:r>
        <w:rPr>
          <w:rFonts w:ascii="宋体" w:hAnsi="宋体" w:eastAsia="宋体"/>
          <w:sz w:val="24"/>
          <w:szCs w:val="24"/>
        </w:rPr>
        <w:t>在正式签署文本中应删除。</w:t>
      </w:r>
    </w:p>
    <w:p w14:paraId="104B6E7E">
      <w:pPr>
        <w:pStyle w:val="14"/>
        <w:adjustRightInd w:val="0"/>
        <w:snapToGrid w:val="0"/>
        <w:spacing w:line="360" w:lineRule="auto"/>
        <w:ind w:firstLine="849" w:firstLineChars="354"/>
        <w:jc w:val="left"/>
        <w:rPr>
          <w:rFonts w:ascii="宋体" w:hAnsi="宋体" w:eastAsia="宋体"/>
          <w:b/>
          <w:bCs/>
          <w:sz w:val="24"/>
          <w:szCs w:val="24"/>
        </w:rPr>
      </w:pPr>
      <w:r>
        <w:rPr>
          <w:rFonts w:hint="eastAsia" w:ascii="宋体" w:hAnsi="宋体" w:eastAsia="宋体"/>
          <w:sz w:val="24"/>
          <w:szCs w:val="24"/>
        </w:rPr>
        <w:t>4</w:t>
      </w:r>
      <w:r>
        <w:rPr>
          <w:rFonts w:ascii="宋体" w:hAnsi="宋体" w:eastAsia="宋体"/>
          <w:sz w:val="24"/>
          <w:szCs w:val="24"/>
        </w:rPr>
        <w:t>. 本合同中</w:t>
      </w:r>
      <w:r>
        <w:rPr>
          <w:rFonts w:hint="eastAsia" w:ascii="宋体" w:hAnsi="宋体" w:eastAsia="宋体"/>
          <w:sz w:val="24"/>
          <w:szCs w:val="24"/>
        </w:rPr>
        <w:t>商务</w:t>
      </w:r>
      <w:r>
        <w:rPr>
          <w:rFonts w:ascii="宋体" w:hAnsi="宋体" w:eastAsia="宋体"/>
          <w:sz w:val="24"/>
          <w:szCs w:val="24"/>
        </w:rPr>
        <w:t>要素</w:t>
      </w:r>
      <w:r>
        <w:rPr>
          <w:rFonts w:hint="eastAsia" w:ascii="宋体" w:hAnsi="宋体" w:eastAsia="宋体"/>
          <w:sz w:val="24"/>
          <w:szCs w:val="24"/>
        </w:rPr>
        <w:t>如</w:t>
      </w:r>
      <w:r>
        <w:rPr>
          <w:rFonts w:ascii="宋体" w:hAnsi="宋体" w:eastAsia="宋体"/>
          <w:sz w:val="24"/>
          <w:szCs w:val="24"/>
        </w:rPr>
        <w:t>与实际业务情况不符，请据实修改。</w:t>
      </w:r>
    </w:p>
    <w:p w14:paraId="6D940BEB">
      <w:pPr>
        <w:widowControl/>
        <w:jc w:val="left"/>
        <w:rPr>
          <w:rFonts w:ascii="黑体" w:eastAsia="黑体"/>
          <w:sz w:val="28"/>
          <w:szCs w:val="28"/>
        </w:rPr>
      </w:pPr>
      <w:r>
        <w:rPr>
          <w:rFonts w:ascii="黑体" w:eastAsia="黑体"/>
          <w:sz w:val="28"/>
          <w:szCs w:val="28"/>
        </w:rPr>
        <w:br w:type="page"/>
      </w:r>
    </w:p>
    <w:p w14:paraId="23C74666">
      <w:pPr>
        <w:snapToGrid w:val="0"/>
        <w:spacing w:line="360" w:lineRule="auto"/>
        <w:rPr>
          <w:b/>
          <w:sz w:val="24"/>
          <w:szCs w:val="28"/>
        </w:rPr>
      </w:pPr>
    </w:p>
    <w:p w14:paraId="0ABE3191">
      <w:pPr>
        <w:tabs>
          <w:tab w:val="left" w:pos="6237"/>
        </w:tabs>
        <w:snapToGrid w:val="0"/>
        <w:spacing w:line="360" w:lineRule="auto"/>
        <w:rPr>
          <w:rFonts w:ascii="黑体" w:eastAsia="黑体"/>
          <w:b/>
          <w:sz w:val="24"/>
          <w:szCs w:val="28"/>
        </w:rPr>
      </w:pPr>
      <w:r>
        <w:rPr>
          <w:rFonts w:hint="eastAsia" w:ascii="黑体" w:eastAsia="黑体"/>
          <w:b/>
          <w:sz w:val="24"/>
          <w:szCs w:val="28"/>
        </w:rPr>
        <w:t xml:space="preserve">投资者：                                    </w:t>
      </w:r>
    </w:p>
    <w:p w14:paraId="763F5CC2">
      <w:pPr>
        <w:snapToGrid w:val="0"/>
        <w:spacing w:line="360" w:lineRule="auto"/>
        <w:rPr>
          <w:rFonts w:ascii="楷体_GB2312" w:eastAsia="楷体_GB2312"/>
          <w:sz w:val="24"/>
          <w:szCs w:val="28"/>
        </w:rPr>
      </w:pPr>
      <w:r>
        <w:rPr>
          <w:rFonts w:hint="eastAsia" w:ascii="楷体_GB2312" w:eastAsia="楷体_GB2312"/>
          <w:sz w:val="24"/>
          <w:szCs w:val="28"/>
        </w:rPr>
        <w:t>住所：                                       邮政编码：</w:t>
      </w:r>
    </w:p>
    <w:p w14:paraId="01975B03">
      <w:pPr>
        <w:snapToGrid w:val="0"/>
        <w:spacing w:line="360" w:lineRule="auto"/>
        <w:rPr>
          <w:rFonts w:ascii="楷体_GB2312" w:eastAsia="楷体_GB2312"/>
          <w:sz w:val="24"/>
          <w:szCs w:val="28"/>
        </w:rPr>
      </w:pPr>
      <w:r>
        <w:rPr>
          <w:rFonts w:hint="eastAsia" w:ascii="楷体_GB2312" w:eastAsia="楷体_GB2312"/>
          <w:sz w:val="24"/>
          <w:szCs w:val="28"/>
        </w:rPr>
        <w:t xml:space="preserve">电话：           </w:t>
      </w:r>
      <w:r>
        <w:rPr>
          <w:rFonts w:ascii="楷体_GB2312" w:eastAsia="楷体_GB2312"/>
          <w:sz w:val="24"/>
          <w:szCs w:val="28"/>
        </w:rPr>
        <w:t xml:space="preserve">                            </w:t>
      </w:r>
      <w:r>
        <w:rPr>
          <w:rFonts w:hint="eastAsia" w:ascii="楷体_GB2312" w:eastAsia="楷体_GB2312"/>
          <w:sz w:val="24"/>
          <w:szCs w:val="28"/>
        </w:rPr>
        <w:t>传真：</w:t>
      </w:r>
    </w:p>
    <w:p w14:paraId="267B3B2B">
      <w:pPr>
        <w:snapToGrid w:val="0"/>
        <w:spacing w:line="360" w:lineRule="auto"/>
        <w:rPr>
          <w:rFonts w:ascii="楷体_GB2312" w:eastAsia="楷体_GB2312"/>
          <w:sz w:val="24"/>
          <w:szCs w:val="28"/>
        </w:rPr>
      </w:pPr>
      <w:r>
        <w:rPr>
          <w:rFonts w:hint="eastAsia" w:ascii="楷体_GB2312" w:eastAsia="楷体_GB2312"/>
          <w:sz w:val="24"/>
          <w:szCs w:val="28"/>
        </w:rPr>
        <w:t>法定代表人：</w:t>
      </w:r>
    </w:p>
    <w:p w14:paraId="1ADAF881">
      <w:pPr>
        <w:snapToGrid w:val="0"/>
        <w:spacing w:line="360" w:lineRule="auto"/>
        <w:rPr>
          <w:rFonts w:ascii="楷体_GB2312" w:eastAsia="楷体_GB2312"/>
          <w:sz w:val="24"/>
          <w:szCs w:val="28"/>
        </w:rPr>
      </w:pPr>
      <w:r>
        <w:rPr>
          <w:rFonts w:hint="eastAsia" w:ascii="楷体_GB2312" w:eastAsia="楷体_GB2312"/>
          <w:sz w:val="24"/>
          <w:szCs w:val="28"/>
        </w:rPr>
        <w:t>开户行及账户：</w:t>
      </w:r>
    </w:p>
    <w:p w14:paraId="6E295257">
      <w:pPr>
        <w:snapToGrid w:val="0"/>
        <w:spacing w:line="360" w:lineRule="auto"/>
        <w:rPr>
          <w:sz w:val="24"/>
          <w:szCs w:val="28"/>
        </w:rPr>
      </w:pPr>
    </w:p>
    <w:p w14:paraId="61FE8044">
      <w:pPr>
        <w:snapToGrid w:val="0"/>
        <w:spacing w:line="360" w:lineRule="auto"/>
        <w:rPr>
          <w:rFonts w:ascii="黑体" w:eastAsia="黑体"/>
          <w:b/>
          <w:sz w:val="24"/>
          <w:szCs w:val="28"/>
        </w:rPr>
      </w:pPr>
      <w:r>
        <w:rPr>
          <w:rFonts w:hint="eastAsia" w:ascii="黑体" w:eastAsia="黑体"/>
          <w:b/>
          <w:sz w:val="24"/>
          <w:szCs w:val="28"/>
        </w:rPr>
        <w:t>销售机构： 信银理财有限责任公司     （以下简称</w:t>
      </w:r>
      <w:r>
        <w:rPr>
          <w:rFonts w:ascii="黑体" w:eastAsia="黑体"/>
          <w:b/>
          <w:sz w:val="24"/>
          <w:szCs w:val="28"/>
        </w:rPr>
        <w:t>信银理财</w:t>
      </w:r>
      <w:r>
        <w:rPr>
          <w:rFonts w:hint="eastAsia" w:ascii="黑体" w:eastAsia="黑体"/>
          <w:b/>
          <w:sz w:val="24"/>
          <w:szCs w:val="28"/>
        </w:rPr>
        <w:t>）</w:t>
      </w:r>
    </w:p>
    <w:p w14:paraId="7E619165">
      <w:pPr>
        <w:snapToGrid w:val="0"/>
        <w:spacing w:line="360" w:lineRule="auto"/>
        <w:rPr>
          <w:rFonts w:ascii="楷体_GB2312" w:eastAsia="楷体_GB2312"/>
          <w:sz w:val="24"/>
          <w:szCs w:val="28"/>
        </w:rPr>
      </w:pPr>
      <w:r>
        <w:rPr>
          <w:rFonts w:hint="eastAsia" w:ascii="楷体_GB2312" w:eastAsia="楷体_GB2312"/>
          <w:sz w:val="24"/>
          <w:szCs w:val="28"/>
        </w:rPr>
        <w:t>住所：                                        邮政编码：</w:t>
      </w:r>
    </w:p>
    <w:p w14:paraId="0A0999A5">
      <w:pPr>
        <w:snapToGrid w:val="0"/>
        <w:spacing w:line="360" w:lineRule="auto"/>
        <w:rPr>
          <w:rFonts w:ascii="楷体_GB2312" w:eastAsia="楷体_GB2312"/>
          <w:sz w:val="24"/>
          <w:szCs w:val="28"/>
        </w:rPr>
      </w:pPr>
      <w:r>
        <w:rPr>
          <w:rFonts w:hint="eastAsia" w:ascii="楷体_GB2312" w:eastAsia="楷体_GB2312"/>
          <w:sz w:val="24"/>
          <w:szCs w:val="28"/>
        </w:rPr>
        <w:t>电话：                                        传真：</w:t>
      </w:r>
    </w:p>
    <w:p w14:paraId="75BFFEB4">
      <w:pPr>
        <w:snapToGrid w:val="0"/>
        <w:spacing w:line="360" w:lineRule="auto"/>
        <w:rPr>
          <w:rFonts w:ascii="楷体_GB2312" w:eastAsia="楷体_GB2312"/>
          <w:sz w:val="24"/>
          <w:szCs w:val="28"/>
        </w:rPr>
      </w:pPr>
      <w:r>
        <w:rPr>
          <w:rFonts w:hint="eastAsia" w:ascii="楷体_GB2312" w:eastAsia="楷体_GB2312"/>
          <w:sz w:val="24"/>
          <w:szCs w:val="28"/>
        </w:rPr>
        <w:t>负责人：</w:t>
      </w:r>
    </w:p>
    <w:p w14:paraId="6CC2E2F4">
      <w:pPr>
        <w:snapToGrid w:val="0"/>
        <w:spacing w:line="360" w:lineRule="auto"/>
        <w:rPr>
          <w:rFonts w:ascii="楷体_GB2312" w:eastAsia="楷体_GB2312"/>
          <w:sz w:val="24"/>
          <w:szCs w:val="28"/>
        </w:rPr>
      </w:pPr>
    </w:p>
    <w:p w14:paraId="7360E47D">
      <w:pPr>
        <w:snapToGrid w:val="0"/>
        <w:spacing w:line="360" w:lineRule="auto"/>
        <w:rPr>
          <w:rFonts w:ascii="黑体" w:eastAsia="黑体"/>
          <w:bCs/>
          <w:sz w:val="24"/>
          <w:szCs w:val="28"/>
          <w:u w:val="single"/>
        </w:rPr>
      </w:pPr>
      <w:r>
        <w:rPr>
          <w:rFonts w:hint="eastAsia" w:ascii="黑体" w:eastAsia="黑体"/>
          <w:bCs/>
          <w:sz w:val="24"/>
          <w:szCs w:val="28"/>
        </w:rPr>
        <w:t>合同签订地点：</w:t>
      </w:r>
      <w:r>
        <w:rPr>
          <w:rFonts w:hint="eastAsia" w:ascii="黑体" w:eastAsia="黑体"/>
          <w:bCs/>
          <w:sz w:val="24"/>
          <w:szCs w:val="28"/>
          <w:u w:val="single"/>
        </w:rPr>
        <w:t xml:space="preserve">                           </w:t>
      </w:r>
    </w:p>
    <w:p w14:paraId="5D4F20AD">
      <w:pPr>
        <w:snapToGrid w:val="0"/>
        <w:spacing w:line="360" w:lineRule="auto"/>
        <w:rPr>
          <w:rFonts w:ascii="黑体" w:eastAsia="黑体"/>
          <w:bCs/>
          <w:sz w:val="24"/>
          <w:szCs w:val="28"/>
        </w:rPr>
      </w:pPr>
      <w:r>
        <w:rPr>
          <w:rFonts w:hint="eastAsia" w:ascii="黑体" w:eastAsia="黑体"/>
          <w:bCs/>
          <w:sz w:val="24"/>
          <w:szCs w:val="28"/>
        </w:rPr>
        <w:t>合同签订日期：</w:t>
      </w:r>
      <w:r>
        <w:rPr>
          <w:rFonts w:hint="eastAsia" w:ascii="黑体" w:eastAsia="黑体"/>
          <w:bCs/>
          <w:sz w:val="24"/>
          <w:szCs w:val="28"/>
          <w:u w:val="single"/>
        </w:rPr>
        <w:t xml:space="preserve">       </w:t>
      </w:r>
      <w:r>
        <w:rPr>
          <w:rFonts w:hint="eastAsia" w:ascii="黑体" w:eastAsia="黑体"/>
          <w:bCs/>
          <w:sz w:val="24"/>
          <w:szCs w:val="28"/>
        </w:rPr>
        <w:t>年</w:t>
      </w:r>
      <w:r>
        <w:rPr>
          <w:rFonts w:hint="eastAsia" w:ascii="黑体" w:eastAsia="黑体"/>
          <w:bCs/>
          <w:sz w:val="24"/>
          <w:szCs w:val="28"/>
          <w:u w:val="single"/>
        </w:rPr>
        <w:t xml:space="preserve">       </w:t>
      </w:r>
      <w:r>
        <w:rPr>
          <w:rFonts w:hint="eastAsia" w:ascii="黑体" w:eastAsia="黑体"/>
          <w:bCs/>
          <w:sz w:val="24"/>
          <w:szCs w:val="28"/>
        </w:rPr>
        <w:t>月</w:t>
      </w:r>
      <w:r>
        <w:rPr>
          <w:rFonts w:hint="eastAsia" w:ascii="黑体" w:eastAsia="黑体"/>
          <w:bCs/>
          <w:sz w:val="24"/>
          <w:szCs w:val="28"/>
          <w:u w:val="single"/>
        </w:rPr>
        <w:t xml:space="preserve">       </w:t>
      </w:r>
      <w:r>
        <w:rPr>
          <w:rFonts w:hint="eastAsia" w:ascii="黑体" w:eastAsia="黑体"/>
          <w:bCs/>
          <w:sz w:val="24"/>
          <w:szCs w:val="28"/>
        </w:rPr>
        <w:t>日</w:t>
      </w:r>
    </w:p>
    <w:p w14:paraId="7477188B">
      <w:pPr>
        <w:snapToGrid w:val="0"/>
        <w:spacing w:line="360" w:lineRule="auto"/>
        <w:rPr>
          <w:b/>
          <w:sz w:val="24"/>
          <w:szCs w:val="28"/>
        </w:rPr>
      </w:pPr>
    </w:p>
    <w:p w14:paraId="3299EAD5">
      <w:pPr>
        <w:snapToGrid w:val="0"/>
        <w:spacing w:line="360" w:lineRule="auto"/>
        <w:ind w:firstLine="480" w:firstLineChars="200"/>
        <w:rPr>
          <w:rFonts w:ascii="楷体_GB2312" w:eastAsia="楷体_GB2312"/>
          <w:sz w:val="24"/>
          <w:szCs w:val="28"/>
        </w:rPr>
      </w:pPr>
      <w:r>
        <w:rPr>
          <w:rFonts w:hint="eastAsia" w:ascii="楷体_GB2312" w:eastAsia="楷体_GB2312"/>
          <w:sz w:val="24"/>
          <w:szCs w:val="28"/>
        </w:rPr>
        <w:t>为满足投资者对投资理财的需求，经双方协商一致，就投资者向信银理财购买理财产品相关事宜，双方在自愿、平等和诚实信用的基础上签署本协议。</w:t>
      </w:r>
    </w:p>
    <w:p w14:paraId="2D1303AE">
      <w:pPr>
        <w:snapToGrid w:val="0"/>
        <w:spacing w:line="360" w:lineRule="auto"/>
        <w:ind w:firstLine="480" w:firstLineChars="200"/>
        <w:rPr>
          <w:sz w:val="24"/>
          <w:szCs w:val="28"/>
        </w:rPr>
      </w:pPr>
    </w:p>
    <w:p w14:paraId="03CE075F">
      <w:pPr>
        <w:pStyle w:val="17"/>
        <w:numPr>
          <w:ilvl w:val="0"/>
          <w:numId w:val="2"/>
        </w:numPr>
        <w:snapToGrid w:val="0"/>
        <w:spacing w:line="360" w:lineRule="auto"/>
        <w:ind w:firstLineChars="0"/>
        <w:rPr>
          <w:rFonts w:ascii="黑体" w:eastAsia="黑体"/>
          <w:b/>
          <w:bCs/>
          <w:sz w:val="24"/>
          <w:szCs w:val="28"/>
        </w:rPr>
      </w:pPr>
      <w:r>
        <w:rPr>
          <w:rFonts w:hint="eastAsia" w:ascii="黑体" w:eastAsia="黑体"/>
          <w:b/>
          <w:bCs/>
          <w:sz w:val="24"/>
          <w:szCs w:val="28"/>
        </w:rPr>
        <w:t>理财账户管理</w:t>
      </w:r>
    </w:p>
    <w:p w14:paraId="016C3AAB">
      <w:pPr>
        <w:snapToGrid w:val="0"/>
        <w:spacing w:line="360" w:lineRule="auto"/>
        <w:rPr>
          <w:rFonts w:ascii="楷体" w:hAnsi="楷体" w:eastAsia="楷体"/>
          <w:sz w:val="24"/>
          <w:szCs w:val="28"/>
        </w:rPr>
      </w:pPr>
      <w:r>
        <w:rPr>
          <w:rFonts w:hint="eastAsia" w:ascii="楷体" w:hAnsi="楷体" w:eastAsia="楷体"/>
          <w:sz w:val="24"/>
          <w:szCs w:val="28"/>
        </w:rPr>
        <w:t>1</w:t>
      </w:r>
      <w:r>
        <w:rPr>
          <w:rFonts w:ascii="楷体" w:hAnsi="楷体" w:eastAsia="楷体"/>
          <w:sz w:val="24"/>
          <w:szCs w:val="28"/>
        </w:rPr>
        <w:t>.1</w:t>
      </w:r>
      <w:r>
        <w:rPr>
          <w:rFonts w:hint="eastAsia" w:ascii="楷体_GB2312" w:eastAsia="楷体_GB2312"/>
          <w:sz w:val="24"/>
          <w:szCs w:val="28"/>
        </w:rPr>
        <w:t>投资者在购买信银理财理财产品前</w:t>
      </w:r>
      <w:r>
        <w:rPr>
          <w:rFonts w:hint="eastAsia" w:ascii="楷体" w:hAnsi="楷体" w:eastAsia="楷体"/>
          <w:sz w:val="24"/>
          <w:szCs w:val="28"/>
        </w:rPr>
        <w:t>，须先在</w:t>
      </w:r>
      <w:r>
        <w:rPr>
          <w:rFonts w:ascii="楷体" w:hAnsi="楷体" w:eastAsia="楷体"/>
          <w:sz w:val="24"/>
          <w:szCs w:val="28"/>
        </w:rPr>
        <w:t>信银理财</w:t>
      </w:r>
      <w:r>
        <w:rPr>
          <w:rFonts w:hint="eastAsia" w:ascii="楷体" w:hAnsi="楷体" w:eastAsia="楷体"/>
          <w:sz w:val="24"/>
          <w:szCs w:val="28"/>
        </w:rPr>
        <w:t>开立理财账户，开立理财账户的同时将获得理财交易账户。</w:t>
      </w:r>
    </w:p>
    <w:p w14:paraId="172CACD1">
      <w:pPr>
        <w:snapToGrid w:val="0"/>
        <w:spacing w:line="360" w:lineRule="auto"/>
        <w:rPr>
          <w:rFonts w:ascii="楷体" w:hAnsi="楷体" w:eastAsia="楷体"/>
          <w:sz w:val="24"/>
          <w:szCs w:val="28"/>
        </w:rPr>
      </w:pPr>
      <w:r>
        <w:rPr>
          <w:rFonts w:ascii="楷体" w:hAnsi="楷体" w:eastAsia="楷体"/>
          <w:sz w:val="24"/>
          <w:szCs w:val="28"/>
        </w:rPr>
        <w:t>1.2</w:t>
      </w:r>
      <w:r>
        <w:rPr>
          <w:rFonts w:hint="eastAsia" w:ascii="楷体" w:hAnsi="楷体" w:eastAsia="楷体"/>
          <w:sz w:val="24"/>
          <w:szCs w:val="28"/>
        </w:rPr>
        <w:t>投资者须按信银理财要求填写《信银理财理财账户业务申请及服务综合协议（适用于机构及产品）》以及</w:t>
      </w:r>
      <w:r>
        <w:rPr>
          <w:rFonts w:ascii="楷体" w:hAnsi="楷体" w:eastAsia="楷体"/>
          <w:sz w:val="24"/>
          <w:szCs w:val="28"/>
        </w:rPr>
        <w:t>其他必要业务表单，</w:t>
      </w:r>
      <w:r>
        <w:rPr>
          <w:rFonts w:hint="eastAsia" w:ascii="楷体" w:hAnsi="楷体" w:eastAsia="楷体"/>
          <w:sz w:val="24"/>
          <w:szCs w:val="28"/>
        </w:rPr>
        <w:t>并</w:t>
      </w:r>
      <w:r>
        <w:rPr>
          <w:rFonts w:ascii="楷体" w:hAnsi="楷体" w:eastAsia="楷体"/>
          <w:sz w:val="24"/>
          <w:szCs w:val="28"/>
        </w:rPr>
        <w:t>保证填写信息真实、准确、完整。</w:t>
      </w:r>
      <w:r>
        <w:rPr>
          <w:rFonts w:hint="eastAsia" w:ascii="楷体" w:hAnsi="楷体" w:eastAsia="楷体"/>
          <w:sz w:val="24"/>
          <w:szCs w:val="28"/>
        </w:rPr>
        <w:t>如投资者未按照信银理财要求提供相关信息，或提供的信息不真实、不准确、不完整，</w:t>
      </w:r>
      <w:r>
        <w:rPr>
          <w:rFonts w:ascii="楷体" w:hAnsi="楷体" w:eastAsia="楷体"/>
          <w:sz w:val="24"/>
          <w:szCs w:val="28"/>
        </w:rPr>
        <w:t>导致投资者无法成功</w:t>
      </w:r>
      <w:r>
        <w:rPr>
          <w:rFonts w:hint="eastAsia" w:ascii="楷体" w:hAnsi="楷体" w:eastAsia="楷体"/>
          <w:sz w:val="24"/>
          <w:szCs w:val="28"/>
        </w:rPr>
        <w:t>购买</w:t>
      </w:r>
      <w:r>
        <w:rPr>
          <w:rFonts w:ascii="楷体" w:hAnsi="楷体" w:eastAsia="楷体"/>
          <w:sz w:val="24"/>
          <w:szCs w:val="28"/>
        </w:rPr>
        <w:t>理财产品</w:t>
      </w:r>
      <w:r>
        <w:rPr>
          <w:rFonts w:hint="eastAsia" w:ascii="楷体" w:hAnsi="楷体" w:eastAsia="楷体"/>
          <w:sz w:val="24"/>
          <w:szCs w:val="28"/>
        </w:rPr>
        <w:t>、</w:t>
      </w:r>
      <w:r>
        <w:rPr>
          <w:rFonts w:ascii="楷体" w:hAnsi="楷体" w:eastAsia="楷体"/>
          <w:sz w:val="24"/>
          <w:szCs w:val="28"/>
        </w:rPr>
        <w:t>获得分配资金</w:t>
      </w:r>
      <w:r>
        <w:rPr>
          <w:rFonts w:hint="eastAsia" w:ascii="楷体" w:hAnsi="楷体" w:eastAsia="楷体"/>
          <w:sz w:val="24"/>
          <w:szCs w:val="28"/>
        </w:rPr>
        <w:t>或</w:t>
      </w:r>
      <w:r>
        <w:rPr>
          <w:rFonts w:ascii="楷体" w:hAnsi="楷体" w:eastAsia="楷体"/>
          <w:sz w:val="24"/>
          <w:szCs w:val="28"/>
        </w:rPr>
        <w:t>其他后果</w:t>
      </w:r>
      <w:r>
        <w:rPr>
          <w:rFonts w:hint="eastAsia" w:ascii="楷体" w:hAnsi="楷体" w:eastAsia="楷体"/>
          <w:sz w:val="24"/>
          <w:szCs w:val="28"/>
        </w:rPr>
        <w:t>和</w:t>
      </w:r>
      <w:r>
        <w:rPr>
          <w:rFonts w:ascii="楷体" w:hAnsi="楷体" w:eastAsia="楷体"/>
          <w:sz w:val="24"/>
          <w:szCs w:val="28"/>
        </w:rPr>
        <w:t>损失的，信银理财不承担责任</w:t>
      </w:r>
      <w:r>
        <w:rPr>
          <w:rFonts w:hint="eastAsia" w:ascii="楷体" w:hAnsi="楷体" w:eastAsia="楷体"/>
          <w:sz w:val="24"/>
          <w:szCs w:val="28"/>
        </w:rPr>
        <w:t>，投资者将依法承担相应法律责任。</w:t>
      </w:r>
    </w:p>
    <w:p w14:paraId="089BDF12">
      <w:pPr>
        <w:snapToGrid w:val="0"/>
        <w:spacing w:line="360" w:lineRule="auto"/>
        <w:rPr>
          <w:rFonts w:ascii="楷体_GB2312" w:eastAsia="楷体_GB2312"/>
          <w:sz w:val="24"/>
          <w:szCs w:val="28"/>
        </w:rPr>
      </w:pPr>
      <w:r>
        <w:rPr>
          <w:rFonts w:hint="eastAsia" w:ascii="楷体" w:hAnsi="楷体" w:eastAsia="楷体"/>
          <w:sz w:val="24"/>
          <w:szCs w:val="28"/>
        </w:rPr>
        <w:t>1</w:t>
      </w:r>
      <w:r>
        <w:rPr>
          <w:rFonts w:ascii="楷体" w:hAnsi="楷体" w:eastAsia="楷体"/>
          <w:sz w:val="24"/>
          <w:szCs w:val="28"/>
        </w:rPr>
        <w:t>.3</w:t>
      </w:r>
      <w:r>
        <w:rPr>
          <w:rFonts w:hint="eastAsia" w:ascii="楷体" w:hAnsi="楷体" w:eastAsia="楷体"/>
          <w:sz w:val="24"/>
          <w:szCs w:val="28"/>
        </w:rPr>
        <w:t>投资者所</w:t>
      </w:r>
      <w:r>
        <w:rPr>
          <w:rFonts w:ascii="楷体" w:hAnsi="楷体" w:eastAsia="楷体"/>
          <w:sz w:val="24"/>
          <w:szCs w:val="28"/>
        </w:rPr>
        <w:t>提供信息如发生变更，应及时办理信息变更</w:t>
      </w:r>
      <w:r>
        <w:rPr>
          <w:rFonts w:hint="eastAsia" w:ascii="楷体" w:hAnsi="楷体" w:eastAsia="楷体"/>
          <w:sz w:val="24"/>
          <w:szCs w:val="28"/>
        </w:rPr>
        <w:t>确认</w:t>
      </w:r>
      <w:r>
        <w:rPr>
          <w:rFonts w:ascii="楷体" w:hAnsi="楷体" w:eastAsia="楷体"/>
          <w:sz w:val="24"/>
          <w:szCs w:val="28"/>
        </w:rPr>
        <w:t>手续。</w:t>
      </w:r>
      <w:r>
        <w:rPr>
          <w:rFonts w:hint="eastAsia" w:ascii="楷体_GB2312" w:eastAsia="楷体_GB2312"/>
          <w:sz w:val="24"/>
          <w:szCs w:val="28"/>
        </w:rPr>
        <w:t>投资者</w:t>
      </w:r>
      <w:r>
        <w:rPr>
          <w:rFonts w:hint="eastAsia" w:ascii="楷体_GB2312" w:hAnsi="楷体" w:eastAsia="楷体_GB2312"/>
          <w:sz w:val="24"/>
          <w:szCs w:val="28"/>
        </w:rPr>
        <w:t>在申请变更机构名称</w:t>
      </w:r>
      <w:r>
        <w:rPr>
          <w:rFonts w:hint="eastAsia" w:ascii="楷体" w:hAnsi="楷体" w:eastAsia="楷体"/>
          <w:sz w:val="24"/>
          <w:szCs w:val="28"/>
        </w:rPr>
        <w:t>等关键信息时，需根据</w:t>
      </w:r>
      <w:r>
        <w:rPr>
          <w:rFonts w:ascii="楷体" w:hAnsi="楷体" w:eastAsia="楷体"/>
          <w:sz w:val="24"/>
          <w:szCs w:val="28"/>
        </w:rPr>
        <w:t>信银理财要求</w:t>
      </w:r>
      <w:r>
        <w:rPr>
          <w:rFonts w:hint="eastAsia" w:ascii="楷体" w:hAnsi="楷体" w:eastAsia="楷体"/>
          <w:sz w:val="24"/>
          <w:szCs w:val="28"/>
        </w:rPr>
        <w:t>提供变更证明文件，到信银理财处办理。投资者</w:t>
      </w:r>
      <w:r>
        <w:rPr>
          <w:rFonts w:hint="eastAsia" w:ascii="楷体_GB2312" w:eastAsia="楷体_GB2312"/>
          <w:sz w:val="24"/>
          <w:szCs w:val="28"/>
        </w:rPr>
        <w:t>至迟应在所投资理财产品期限届满的1</w:t>
      </w:r>
      <w:r>
        <w:rPr>
          <w:rFonts w:ascii="楷体_GB2312" w:eastAsia="楷体_GB2312"/>
          <w:sz w:val="24"/>
          <w:szCs w:val="28"/>
        </w:rPr>
        <w:t>5</w:t>
      </w:r>
      <w:r>
        <w:rPr>
          <w:rFonts w:hint="eastAsia" w:ascii="楷体_GB2312" w:eastAsia="楷体_GB2312"/>
          <w:sz w:val="24"/>
          <w:szCs w:val="28"/>
        </w:rPr>
        <w:t>个工作日前至信银理财处办理变更确认手续，否则，因投资者信息未及时更新导致的后果（如分配资金无法及时到账等），信银理财不承担任何责任。信息变更于信银理财为投资者办理变更确认手续之日生效。</w:t>
      </w:r>
    </w:p>
    <w:p w14:paraId="28794383">
      <w:pPr>
        <w:spacing w:line="360" w:lineRule="auto"/>
        <w:rPr>
          <w:rFonts w:ascii="楷体" w:hAnsi="楷体" w:eastAsia="楷体"/>
          <w:sz w:val="24"/>
          <w:szCs w:val="28"/>
        </w:rPr>
      </w:pPr>
      <w:r>
        <w:rPr>
          <w:rFonts w:hint="eastAsia" w:ascii="楷体" w:hAnsi="楷体" w:eastAsia="楷体"/>
          <w:sz w:val="24"/>
          <w:szCs w:val="28"/>
        </w:rPr>
        <w:t>1</w:t>
      </w:r>
      <w:r>
        <w:rPr>
          <w:rFonts w:ascii="楷体" w:hAnsi="楷体" w:eastAsia="楷体"/>
          <w:sz w:val="24"/>
          <w:szCs w:val="28"/>
        </w:rPr>
        <w:t xml:space="preserve">.4 </w:t>
      </w:r>
      <w:r>
        <w:rPr>
          <w:rFonts w:hint="eastAsia" w:ascii="楷体_GB2312" w:eastAsia="楷体_GB2312"/>
          <w:sz w:val="24"/>
          <w:szCs w:val="28"/>
        </w:rPr>
        <w:t>投资者申请销户时，应</w:t>
      </w:r>
      <w:r>
        <w:rPr>
          <w:rFonts w:ascii="楷体_GB2312" w:eastAsia="楷体_GB2312"/>
          <w:sz w:val="24"/>
          <w:szCs w:val="28"/>
        </w:rPr>
        <w:t>确保</w:t>
      </w:r>
      <w:r>
        <w:rPr>
          <w:rFonts w:hint="eastAsia" w:ascii="楷体_GB2312" w:eastAsia="楷体_GB2312"/>
          <w:sz w:val="24"/>
          <w:szCs w:val="28"/>
        </w:rPr>
        <w:t>理财账户内已无理财份额、未完成交易及相关权益，</w:t>
      </w:r>
      <w:r>
        <w:rPr>
          <w:rFonts w:ascii="楷体_GB2312" w:eastAsia="楷体_GB2312"/>
          <w:sz w:val="24"/>
          <w:szCs w:val="28"/>
        </w:rPr>
        <w:t>否则信银理财有权</w:t>
      </w:r>
      <w:r>
        <w:rPr>
          <w:rFonts w:hint="eastAsia" w:ascii="楷体_GB2312" w:eastAsia="楷体_GB2312"/>
          <w:sz w:val="24"/>
          <w:szCs w:val="28"/>
        </w:rPr>
        <w:t>拒绝</w:t>
      </w:r>
      <w:r>
        <w:rPr>
          <w:rFonts w:ascii="楷体_GB2312" w:eastAsia="楷体_GB2312"/>
          <w:sz w:val="24"/>
          <w:szCs w:val="28"/>
        </w:rPr>
        <w:t>办理</w:t>
      </w:r>
      <w:r>
        <w:rPr>
          <w:rFonts w:hint="eastAsia" w:ascii="楷体_GB2312" w:eastAsia="楷体_GB2312"/>
          <w:sz w:val="24"/>
          <w:szCs w:val="28"/>
        </w:rPr>
        <w:t>。</w:t>
      </w:r>
    </w:p>
    <w:p w14:paraId="0FEBB4DD">
      <w:pPr>
        <w:pStyle w:val="17"/>
        <w:numPr>
          <w:ilvl w:val="0"/>
          <w:numId w:val="2"/>
        </w:numPr>
        <w:snapToGrid w:val="0"/>
        <w:spacing w:line="360" w:lineRule="auto"/>
        <w:ind w:firstLineChars="0"/>
        <w:rPr>
          <w:rFonts w:ascii="黑体" w:eastAsia="黑体"/>
          <w:b/>
          <w:bCs/>
          <w:sz w:val="24"/>
          <w:szCs w:val="28"/>
        </w:rPr>
      </w:pPr>
      <w:r>
        <w:rPr>
          <w:rFonts w:hint="eastAsia" w:ascii="黑体" w:eastAsia="黑体"/>
          <w:b/>
          <w:bCs/>
          <w:sz w:val="24"/>
          <w:szCs w:val="28"/>
        </w:rPr>
        <w:t>购买理财产品</w:t>
      </w:r>
    </w:p>
    <w:p w14:paraId="70B6BD80">
      <w:pPr>
        <w:snapToGrid w:val="0"/>
        <w:spacing w:line="360" w:lineRule="auto"/>
        <w:rPr>
          <w:rFonts w:ascii="楷体_GB2312" w:eastAsia="楷体_GB2312"/>
          <w:sz w:val="24"/>
          <w:szCs w:val="28"/>
        </w:rPr>
      </w:pPr>
      <w:r>
        <w:rPr>
          <w:rFonts w:hint="eastAsia" w:ascii="楷体_GB2312" w:eastAsia="楷体_GB2312"/>
          <w:sz w:val="24"/>
          <w:szCs w:val="28"/>
        </w:rPr>
        <w:t>2</w:t>
      </w:r>
      <w:r>
        <w:rPr>
          <w:rFonts w:ascii="楷体_GB2312" w:eastAsia="楷体_GB2312"/>
          <w:sz w:val="24"/>
          <w:szCs w:val="28"/>
        </w:rPr>
        <w:t>.1</w:t>
      </w:r>
      <w:r>
        <w:rPr>
          <w:rFonts w:hint="eastAsia" w:ascii="楷体_GB2312" w:eastAsia="楷体_GB2312"/>
          <w:sz w:val="24"/>
          <w:szCs w:val="28"/>
        </w:rPr>
        <w:t>投资者基于自身投资理财的需求，向信银理财购买信银理财理财产品，由信银理财按照投资者认可的《信银理财理财产品说明书》（以下简称《产品说明书》）的规定将理财资金进行投资运用。</w:t>
      </w:r>
    </w:p>
    <w:p w14:paraId="7DAC5C65">
      <w:pPr>
        <w:snapToGrid w:val="0"/>
        <w:spacing w:line="360" w:lineRule="auto"/>
        <w:rPr>
          <w:rFonts w:ascii="楷体_GB2312" w:eastAsia="楷体_GB2312"/>
          <w:sz w:val="24"/>
          <w:szCs w:val="28"/>
        </w:rPr>
      </w:pPr>
      <w:r>
        <w:rPr>
          <w:rFonts w:ascii="楷体_GB2312" w:eastAsia="楷体_GB2312"/>
          <w:sz w:val="24"/>
          <w:szCs w:val="28"/>
        </w:rPr>
        <w:t>2.2</w:t>
      </w:r>
      <w:r>
        <w:rPr>
          <w:rFonts w:hint="eastAsia" w:ascii="楷体_GB2312" w:eastAsia="楷体_GB2312"/>
          <w:sz w:val="24"/>
          <w:szCs w:val="28"/>
        </w:rPr>
        <w:t>理财资金的投资用途、投资范围、投资对象、投资期限、委托期限的起始日、申购与赎回、收益的分配与支付等理财产品之产品要素详见《产品说明书》。</w:t>
      </w:r>
    </w:p>
    <w:p w14:paraId="2239C52F">
      <w:pPr>
        <w:snapToGrid w:val="0"/>
        <w:spacing w:line="360" w:lineRule="auto"/>
        <w:rPr>
          <w:rFonts w:ascii="黑体" w:eastAsia="黑体"/>
          <w:b/>
          <w:bCs/>
          <w:sz w:val="24"/>
          <w:szCs w:val="28"/>
        </w:rPr>
      </w:pPr>
      <w:r>
        <w:rPr>
          <w:rFonts w:ascii="黑体" w:eastAsia="黑体"/>
          <w:b/>
          <w:bCs/>
          <w:sz w:val="24"/>
          <w:szCs w:val="28"/>
        </w:rPr>
        <w:t>第</w:t>
      </w:r>
      <w:r>
        <w:rPr>
          <w:rFonts w:hint="eastAsia" w:ascii="黑体" w:eastAsia="黑体"/>
          <w:b/>
          <w:bCs/>
          <w:sz w:val="24"/>
          <w:szCs w:val="28"/>
        </w:rPr>
        <w:t>三</w:t>
      </w:r>
      <w:r>
        <w:rPr>
          <w:rFonts w:ascii="黑体" w:eastAsia="黑体"/>
          <w:b/>
          <w:bCs/>
          <w:sz w:val="24"/>
          <w:szCs w:val="28"/>
        </w:rPr>
        <w:t xml:space="preserve">条  </w:t>
      </w:r>
      <w:r>
        <w:rPr>
          <w:rFonts w:hint="eastAsia" w:ascii="黑体" w:eastAsia="黑体"/>
          <w:b/>
          <w:bCs/>
          <w:sz w:val="24"/>
          <w:szCs w:val="28"/>
        </w:rPr>
        <w:t>理财交易申请及资金划付</w:t>
      </w:r>
    </w:p>
    <w:p w14:paraId="4B21A370">
      <w:pPr>
        <w:snapToGrid w:val="0"/>
        <w:spacing w:line="360" w:lineRule="auto"/>
        <w:rPr>
          <w:rFonts w:ascii="楷体_GB2312" w:eastAsia="楷体_GB2312"/>
          <w:sz w:val="24"/>
          <w:szCs w:val="28"/>
        </w:rPr>
      </w:pPr>
      <w:r>
        <w:rPr>
          <w:rFonts w:ascii="楷体_GB2312" w:eastAsia="楷体_GB2312"/>
          <w:sz w:val="24"/>
          <w:szCs w:val="28"/>
        </w:rPr>
        <w:t>3.1</w:t>
      </w:r>
      <w:r>
        <w:rPr>
          <w:rFonts w:hint="eastAsia" w:ascii="楷体_GB2312" w:eastAsia="楷体_GB2312"/>
          <w:sz w:val="24"/>
          <w:szCs w:val="28"/>
        </w:rPr>
        <w:t>投资者申请认</w:t>
      </w:r>
      <w:r>
        <w:rPr>
          <w:rFonts w:ascii="楷体_GB2312" w:eastAsia="楷体_GB2312"/>
          <w:sz w:val="24"/>
          <w:szCs w:val="28"/>
        </w:rPr>
        <w:t>/</w:t>
      </w:r>
      <w:r>
        <w:rPr>
          <w:rFonts w:hint="eastAsia" w:ascii="楷体_GB2312" w:eastAsia="楷体_GB2312"/>
          <w:sz w:val="24"/>
          <w:szCs w:val="28"/>
        </w:rPr>
        <w:t>申购业务时，应在该交易申请日信银理财交易时间内提交《理财业务交易申请表》，并将足额认</w:t>
      </w:r>
      <w:r>
        <w:rPr>
          <w:rFonts w:ascii="楷体_GB2312" w:eastAsia="楷体_GB2312"/>
          <w:sz w:val="24"/>
          <w:szCs w:val="28"/>
        </w:rPr>
        <w:t>/</w:t>
      </w:r>
      <w:r>
        <w:rPr>
          <w:rFonts w:hint="eastAsia" w:ascii="楷体_GB2312" w:eastAsia="楷体_GB2312"/>
          <w:sz w:val="24"/>
          <w:szCs w:val="28"/>
        </w:rPr>
        <w:t>申购资金划入信银理财指定银行账户，否则视同无效申请。交易时间以《产品说明书》约定为准。如因投资者汇划资金不足或迟于规定时间到达信银理财指定银行账户的，信银理财不承担任何责任。投资者应就前述情况给信银理财造成的损失承担责任。</w:t>
      </w:r>
    </w:p>
    <w:p w14:paraId="4E94DAD0">
      <w:pPr>
        <w:snapToGrid w:val="0"/>
        <w:spacing w:line="360" w:lineRule="auto"/>
        <w:rPr>
          <w:rFonts w:ascii="楷体_GB2312" w:eastAsia="楷体_GB2312"/>
          <w:sz w:val="24"/>
          <w:szCs w:val="28"/>
        </w:rPr>
      </w:pPr>
      <w:r>
        <w:rPr>
          <w:rFonts w:ascii="楷体_GB2312" w:eastAsia="楷体_GB2312"/>
          <w:sz w:val="24"/>
          <w:szCs w:val="28"/>
        </w:rPr>
        <w:t xml:space="preserve">3.2 </w:t>
      </w:r>
      <w:r>
        <w:rPr>
          <w:rFonts w:hint="eastAsia" w:ascii="楷体_GB2312" w:eastAsia="楷体_GB2312"/>
          <w:sz w:val="24"/>
          <w:szCs w:val="28"/>
        </w:rPr>
        <w:t>投资者在《</w:t>
      </w:r>
      <w:r>
        <w:rPr>
          <w:rFonts w:hint="eastAsia" w:ascii="楷体" w:hAnsi="楷体" w:eastAsia="楷体"/>
          <w:sz w:val="24"/>
          <w:szCs w:val="28"/>
        </w:rPr>
        <w:t>信银理财理财账户业务申请及服务综合协议（适用于机构及产品）</w:t>
      </w:r>
      <w:r>
        <w:rPr>
          <w:rFonts w:hint="eastAsia" w:ascii="楷体_GB2312" w:eastAsia="楷体_GB2312"/>
          <w:sz w:val="24"/>
          <w:szCs w:val="28"/>
        </w:rPr>
        <w:t>》上预留的银行账户为其指定资金</w:t>
      </w:r>
      <w:r>
        <w:rPr>
          <w:rFonts w:ascii="楷体_GB2312" w:eastAsia="楷体_GB2312"/>
          <w:sz w:val="24"/>
          <w:szCs w:val="28"/>
        </w:rPr>
        <w:t>回款</w:t>
      </w:r>
      <w:r>
        <w:rPr>
          <w:rFonts w:hint="eastAsia" w:ascii="楷体_GB2312" w:eastAsia="楷体_GB2312"/>
          <w:sz w:val="24"/>
          <w:szCs w:val="28"/>
        </w:rPr>
        <w:t>账户。产品不成立、交易失败、部分交易成功、投资者撤单时信银理财向投资者退还的款项以及理财产品赎回、分配资金等将汇划至该账户。</w:t>
      </w:r>
    </w:p>
    <w:p w14:paraId="1DB6B048">
      <w:pPr>
        <w:snapToGrid w:val="0"/>
        <w:spacing w:line="360" w:lineRule="auto"/>
        <w:rPr>
          <w:rFonts w:ascii="楷体_GB2312" w:eastAsia="楷体_GB2312"/>
          <w:sz w:val="24"/>
          <w:szCs w:val="28"/>
        </w:rPr>
      </w:pPr>
      <w:r>
        <w:rPr>
          <w:rFonts w:hint="eastAsia" w:ascii="楷体_GB2312" w:eastAsia="楷体_GB2312"/>
          <w:sz w:val="24"/>
          <w:szCs w:val="28"/>
        </w:rPr>
        <w:t>3.3投资者应保证指定资金</w:t>
      </w:r>
      <w:r>
        <w:rPr>
          <w:rFonts w:ascii="楷体_GB2312" w:eastAsia="楷体_GB2312"/>
          <w:sz w:val="24"/>
          <w:szCs w:val="28"/>
        </w:rPr>
        <w:t>回款</w:t>
      </w:r>
      <w:r>
        <w:rPr>
          <w:rFonts w:hint="eastAsia" w:ascii="楷体_GB2312" w:eastAsia="楷体_GB2312"/>
          <w:sz w:val="24"/>
          <w:szCs w:val="28"/>
        </w:rPr>
        <w:t>账户在本协议有效期内状态正常。若因任何原因造成该账户销户或状态不正常，投资者有义务向信银理财作出合理说明，并书面申请变更。若由于投资者原因导致理财本金和/或理财收益不能及时入账，投资者应自行承担由此造成的任何损失。</w:t>
      </w:r>
    </w:p>
    <w:p w14:paraId="403FE1FA">
      <w:pPr>
        <w:snapToGrid w:val="0"/>
        <w:spacing w:line="360" w:lineRule="auto"/>
        <w:rPr>
          <w:rFonts w:ascii="黑体" w:eastAsia="黑体"/>
          <w:b/>
          <w:bCs/>
          <w:sz w:val="24"/>
          <w:szCs w:val="28"/>
        </w:rPr>
      </w:pPr>
      <w:r>
        <w:rPr>
          <w:rFonts w:ascii="黑体" w:eastAsia="黑体"/>
          <w:b/>
          <w:bCs/>
          <w:sz w:val="24"/>
          <w:szCs w:val="28"/>
        </w:rPr>
        <w:t>第</w:t>
      </w:r>
      <w:r>
        <w:rPr>
          <w:rFonts w:hint="eastAsia" w:ascii="黑体" w:eastAsia="黑体"/>
          <w:b/>
          <w:bCs/>
          <w:sz w:val="24"/>
          <w:szCs w:val="28"/>
        </w:rPr>
        <w:t>四</w:t>
      </w:r>
      <w:r>
        <w:rPr>
          <w:rFonts w:ascii="黑体" w:eastAsia="黑体"/>
          <w:b/>
          <w:bCs/>
          <w:sz w:val="24"/>
          <w:szCs w:val="28"/>
        </w:rPr>
        <w:t>条  理财资金的使用和管理</w:t>
      </w:r>
    </w:p>
    <w:p w14:paraId="3633BC3A">
      <w:pPr>
        <w:snapToGrid w:val="0"/>
        <w:spacing w:line="360" w:lineRule="auto"/>
        <w:rPr>
          <w:rFonts w:ascii="楷体_GB2312" w:eastAsia="楷体_GB2312"/>
          <w:sz w:val="24"/>
          <w:szCs w:val="28"/>
        </w:rPr>
      </w:pPr>
      <w:r>
        <w:rPr>
          <w:rFonts w:hint="eastAsia" w:ascii="楷体_GB2312" w:eastAsia="楷体_GB2312"/>
          <w:sz w:val="24"/>
          <w:szCs w:val="28"/>
        </w:rPr>
        <w:t>投资者在此同意并授权信银理财按照《产品说明书》的约定使用理财资金进行投资。</w:t>
      </w:r>
      <w:r>
        <w:rPr>
          <w:rFonts w:hint="eastAsia" w:ascii="楷体_GB2312" w:eastAsia="楷体_GB2312"/>
          <w:b/>
          <w:sz w:val="24"/>
          <w:szCs w:val="28"/>
        </w:rPr>
        <w:t>投资者在此承诺，对于信银理财按照《产品说明书》的约定对理财资金进行投资而产生的损失，由投资者自行承担，信银理财无须就此承担任何赔偿责任。</w:t>
      </w:r>
    </w:p>
    <w:p w14:paraId="20320B9A">
      <w:pPr>
        <w:snapToGrid w:val="0"/>
        <w:spacing w:line="360" w:lineRule="auto"/>
        <w:rPr>
          <w:rFonts w:ascii="黑体" w:eastAsia="黑体"/>
          <w:b/>
          <w:bCs/>
          <w:sz w:val="24"/>
          <w:szCs w:val="28"/>
        </w:rPr>
      </w:pPr>
      <w:r>
        <w:rPr>
          <w:rFonts w:ascii="黑体" w:eastAsia="黑体"/>
          <w:b/>
          <w:bCs/>
          <w:sz w:val="24"/>
          <w:szCs w:val="28"/>
        </w:rPr>
        <w:t>第</w:t>
      </w:r>
      <w:r>
        <w:rPr>
          <w:rFonts w:hint="eastAsia" w:ascii="黑体" w:eastAsia="黑体"/>
          <w:b/>
          <w:bCs/>
          <w:sz w:val="24"/>
          <w:szCs w:val="28"/>
        </w:rPr>
        <w:t>五</w:t>
      </w:r>
      <w:r>
        <w:rPr>
          <w:rFonts w:ascii="黑体" w:eastAsia="黑体"/>
          <w:b/>
          <w:bCs/>
          <w:sz w:val="24"/>
          <w:szCs w:val="28"/>
        </w:rPr>
        <w:t>条  投资者的权利与义务</w:t>
      </w:r>
    </w:p>
    <w:p w14:paraId="2910CFC0">
      <w:pPr>
        <w:numPr>
          <w:ilvl w:val="1"/>
          <w:numId w:val="3"/>
        </w:numPr>
        <w:snapToGrid w:val="0"/>
        <w:spacing w:line="360" w:lineRule="auto"/>
        <w:ind w:left="0" w:firstLine="0"/>
        <w:rPr>
          <w:rFonts w:ascii="楷体_GB2312" w:eastAsia="楷体_GB2312"/>
          <w:sz w:val="24"/>
          <w:szCs w:val="28"/>
        </w:rPr>
      </w:pPr>
      <w:r>
        <w:rPr>
          <w:rFonts w:hint="eastAsia" w:ascii="楷体_GB2312" w:eastAsia="楷体_GB2312"/>
          <w:sz w:val="24"/>
          <w:szCs w:val="28"/>
        </w:rPr>
        <w:t>投资者的权利</w:t>
      </w:r>
    </w:p>
    <w:p w14:paraId="5924F841">
      <w:pPr>
        <w:snapToGrid w:val="0"/>
        <w:spacing w:line="360" w:lineRule="auto"/>
        <w:ind w:left="-23" w:leftChars="-11" w:firstLine="120" w:firstLineChars="50"/>
        <w:rPr>
          <w:rFonts w:ascii="楷体_GB2312" w:eastAsia="楷体_GB2312"/>
          <w:sz w:val="24"/>
          <w:szCs w:val="28"/>
        </w:rPr>
      </w:pPr>
      <w:r>
        <w:rPr>
          <w:rFonts w:hint="eastAsia" w:ascii="楷体_GB2312" w:eastAsia="楷体_GB2312"/>
          <w:sz w:val="24"/>
          <w:szCs w:val="28"/>
        </w:rPr>
        <w:t xml:space="preserve">除本协议另有约定外，投资者享有如下权利: </w:t>
      </w:r>
    </w:p>
    <w:p w14:paraId="09E65330">
      <w:pPr>
        <w:numPr>
          <w:ilvl w:val="0"/>
          <w:numId w:val="4"/>
        </w:numPr>
        <w:tabs>
          <w:tab w:val="left" w:pos="709"/>
        </w:tabs>
        <w:snapToGrid w:val="0"/>
        <w:spacing w:line="360" w:lineRule="auto"/>
        <w:ind w:left="0" w:firstLine="0"/>
        <w:rPr>
          <w:rFonts w:ascii="楷体_GB2312" w:eastAsia="楷体_GB2312"/>
          <w:sz w:val="24"/>
          <w:szCs w:val="28"/>
        </w:rPr>
      </w:pPr>
      <w:r>
        <w:rPr>
          <w:rFonts w:hint="eastAsia" w:ascii="楷体_GB2312" w:eastAsia="楷体_GB2312"/>
          <w:sz w:val="24"/>
          <w:szCs w:val="28"/>
        </w:rPr>
        <w:t>有权根据本协议的规定知悉、了解有关理财资金的管理、运用、处分情况；</w:t>
      </w:r>
    </w:p>
    <w:p w14:paraId="4498089B">
      <w:pPr>
        <w:numPr>
          <w:ilvl w:val="0"/>
          <w:numId w:val="4"/>
        </w:numPr>
        <w:tabs>
          <w:tab w:val="left" w:pos="709"/>
        </w:tabs>
        <w:snapToGrid w:val="0"/>
        <w:spacing w:line="360" w:lineRule="auto"/>
        <w:ind w:left="0" w:firstLine="0"/>
        <w:rPr>
          <w:rFonts w:ascii="楷体_GB2312" w:eastAsia="楷体_GB2312"/>
          <w:sz w:val="24"/>
          <w:szCs w:val="28"/>
        </w:rPr>
      </w:pPr>
      <w:r>
        <w:rPr>
          <w:rFonts w:hint="eastAsia" w:ascii="楷体_GB2312" w:eastAsia="楷体_GB2312"/>
          <w:sz w:val="24"/>
          <w:szCs w:val="28"/>
        </w:rPr>
        <w:t>有权对信银理财从事的与本投资理财产品有关的事务进行监督；</w:t>
      </w:r>
    </w:p>
    <w:p w14:paraId="2566F809">
      <w:pPr>
        <w:numPr>
          <w:ilvl w:val="0"/>
          <w:numId w:val="4"/>
        </w:numPr>
        <w:tabs>
          <w:tab w:val="left" w:pos="709"/>
        </w:tabs>
        <w:snapToGrid w:val="0"/>
        <w:spacing w:line="360" w:lineRule="auto"/>
        <w:ind w:left="0" w:firstLine="0"/>
        <w:rPr>
          <w:rFonts w:ascii="楷体_GB2312" w:eastAsia="楷体_GB2312"/>
          <w:sz w:val="24"/>
          <w:szCs w:val="28"/>
        </w:rPr>
      </w:pPr>
      <w:r>
        <w:rPr>
          <w:rFonts w:hint="eastAsia" w:ascii="楷体_GB2312" w:eastAsia="楷体_GB2312"/>
          <w:sz w:val="24"/>
          <w:szCs w:val="28"/>
        </w:rPr>
        <w:t>有权要求信银理财按照本协议规定承担应尽的义务；</w:t>
      </w:r>
    </w:p>
    <w:p w14:paraId="5854F63C">
      <w:pPr>
        <w:numPr>
          <w:ilvl w:val="0"/>
          <w:numId w:val="4"/>
        </w:numPr>
        <w:tabs>
          <w:tab w:val="left" w:pos="709"/>
        </w:tabs>
        <w:snapToGrid w:val="0"/>
        <w:spacing w:line="360" w:lineRule="auto"/>
        <w:ind w:left="0" w:firstLine="0"/>
        <w:rPr>
          <w:rFonts w:ascii="楷体_GB2312" w:eastAsia="楷体_GB2312"/>
          <w:sz w:val="24"/>
          <w:szCs w:val="28"/>
        </w:rPr>
      </w:pPr>
      <w:r>
        <w:rPr>
          <w:rFonts w:hint="eastAsia" w:ascii="楷体_GB2312" w:eastAsia="楷体_GB2312"/>
          <w:sz w:val="24"/>
          <w:szCs w:val="28"/>
        </w:rPr>
        <w:t>《产品说明书》或法律法规以及监管机关规定的其他权利。</w:t>
      </w:r>
    </w:p>
    <w:p w14:paraId="073E8A73">
      <w:pPr>
        <w:numPr>
          <w:ilvl w:val="1"/>
          <w:numId w:val="3"/>
        </w:numPr>
        <w:snapToGrid w:val="0"/>
        <w:spacing w:line="360" w:lineRule="auto"/>
        <w:ind w:left="0" w:firstLine="0"/>
        <w:rPr>
          <w:rFonts w:ascii="楷体_GB2312" w:eastAsia="楷体_GB2312"/>
          <w:sz w:val="24"/>
          <w:szCs w:val="28"/>
        </w:rPr>
      </w:pPr>
      <w:r>
        <w:rPr>
          <w:rFonts w:hint="eastAsia" w:ascii="楷体_GB2312" w:eastAsia="楷体_GB2312"/>
          <w:sz w:val="24"/>
          <w:szCs w:val="28"/>
        </w:rPr>
        <w:t>投资者的义务</w:t>
      </w:r>
    </w:p>
    <w:p w14:paraId="7D4FAD40">
      <w:pPr>
        <w:snapToGrid w:val="0"/>
        <w:spacing w:line="360" w:lineRule="auto"/>
        <w:ind w:left="2" w:leftChars="1" w:firstLine="120" w:firstLineChars="50"/>
        <w:rPr>
          <w:rFonts w:ascii="楷体_GB2312" w:eastAsia="楷体_GB2312"/>
          <w:sz w:val="24"/>
          <w:szCs w:val="28"/>
        </w:rPr>
      </w:pPr>
      <w:r>
        <w:rPr>
          <w:rFonts w:hint="eastAsia" w:ascii="楷体_GB2312" w:eastAsia="楷体_GB2312"/>
          <w:sz w:val="24"/>
          <w:szCs w:val="28"/>
        </w:rPr>
        <w:t>除本协议另有约定外，投资者应承担如下义务:</w:t>
      </w:r>
    </w:p>
    <w:p w14:paraId="0BE33EF1">
      <w:pPr>
        <w:numPr>
          <w:ilvl w:val="0"/>
          <w:numId w:val="5"/>
        </w:numPr>
        <w:tabs>
          <w:tab w:val="left" w:pos="709"/>
        </w:tabs>
        <w:snapToGrid w:val="0"/>
        <w:spacing w:line="360" w:lineRule="auto"/>
        <w:ind w:hanging="2000"/>
        <w:rPr>
          <w:rFonts w:ascii="楷体_GB2312" w:eastAsia="楷体_GB2312"/>
          <w:sz w:val="24"/>
          <w:szCs w:val="28"/>
        </w:rPr>
      </w:pPr>
      <w:r>
        <w:rPr>
          <w:rFonts w:hint="eastAsia" w:ascii="楷体_GB2312" w:eastAsia="楷体_GB2312"/>
          <w:sz w:val="24"/>
          <w:szCs w:val="28"/>
        </w:rPr>
        <w:t>投资者应按照法律</w:t>
      </w:r>
      <w:r>
        <w:rPr>
          <w:rFonts w:ascii="楷体_GB2312" w:eastAsia="楷体_GB2312"/>
          <w:sz w:val="24"/>
          <w:szCs w:val="28"/>
        </w:rPr>
        <w:t>法规规定及</w:t>
      </w:r>
      <w:r>
        <w:rPr>
          <w:rFonts w:hint="eastAsia" w:ascii="楷体_GB2312" w:eastAsia="楷体_GB2312"/>
          <w:sz w:val="24"/>
          <w:szCs w:val="28"/>
        </w:rPr>
        <w:t>本协议约定缴纳相关税费；</w:t>
      </w:r>
    </w:p>
    <w:p w14:paraId="019D91BD">
      <w:pPr>
        <w:numPr>
          <w:ilvl w:val="0"/>
          <w:numId w:val="5"/>
        </w:numPr>
        <w:tabs>
          <w:tab w:val="left" w:pos="709"/>
        </w:tabs>
        <w:snapToGrid w:val="0"/>
        <w:spacing w:line="360" w:lineRule="auto"/>
        <w:ind w:hanging="2000"/>
        <w:rPr>
          <w:rFonts w:ascii="楷体_GB2312" w:eastAsia="楷体_GB2312"/>
          <w:sz w:val="24"/>
          <w:szCs w:val="28"/>
        </w:rPr>
      </w:pPr>
      <w:r>
        <w:rPr>
          <w:rFonts w:hint="eastAsia" w:ascii="楷体_GB2312" w:eastAsia="楷体_GB2312"/>
          <w:sz w:val="24"/>
          <w:szCs w:val="28"/>
        </w:rPr>
        <w:t>《产品说明书》或法律法规以及监管机关规定的其他义务。</w:t>
      </w:r>
    </w:p>
    <w:p w14:paraId="2723DD01">
      <w:pPr>
        <w:snapToGrid w:val="0"/>
        <w:spacing w:line="360" w:lineRule="auto"/>
        <w:rPr>
          <w:rFonts w:ascii="黑体" w:eastAsia="黑体"/>
          <w:b/>
          <w:bCs/>
          <w:sz w:val="24"/>
          <w:szCs w:val="28"/>
        </w:rPr>
      </w:pPr>
      <w:r>
        <w:rPr>
          <w:rFonts w:ascii="黑体" w:eastAsia="黑体"/>
          <w:b/>
          <w:bCs/>
          <w:sz w:val="24"/>
          <w:szCs w:val="28"/>
        </w:rPr>
        <w:t>第</w:t>
      </w:r>
      <w:r>
        <w:rPr>
          <w:rFonts w:hint="eastAsia" w:ascii="黑体" w:eastAsia="黑体"/>
          <w:b/>
          <w:bCs/>
          <w:sz w:val="24"/>
          <w:szCs w:val="28"/>
        </w:rPr>
        <w:t>六</w:t>
      </w:r>
      <w:r>
        <w:rPr>
          <w:rFonts w:ascii="黑体" w:eastAsia="黑体"/>
          <w:b/>
          <w:bCs/>
          <w:sz w:val="24"/>
          <w:szCs w:val="28"/>
        </w:rPr>
        <w:t>条  信银理财的权利和义务</w:t>
      </w:r>
    </w:p>
    <w:p w14:paraId="5057C5C7">
      <w:pPr>
        <w:numPr>
          <w:ilvl w:val="1"/>
          <w:numId w:val="6"/>
        </w:numPr>
        <w:snapToGrid w:val="0"/>
        <w:spacing w:line="360" w:lineRule="auto"/>
        <w:ind w:left="0" w:firstLine="0"/>
        <w:rPr>
          <w:rFonts w:ascii="楷体_GB2312" w:eastAsia="楷体_GB2312"/>
          <w:sz w:val="24"/>
          <w:szCs w:val="28"/>
        </w:rPr>
      </w:pPr>
      <w:r>
        <w:rPr>
          <w:rFonts w:hint="eastAsia" w:ascii="楷体_GB2312" w:eastAsia="楷体_GB2312"/>
          <w:sz w:val="24"/>
          <w:szCs w:val="28"/>
        </w:rPr>
        <w:t>信银理财的权利</w:t>
      </w:r>
    </w:p>
    <w:p w14:paraId="25E1D5A9">
      <w:pPr>
        <w:snapToGrid w:val="0"/>
        <w:spacing w:line="360" w:lineRule="auto"/>
        <w:ind w:left="-23" w:leftChars="-11" w:firstLine="240" w:firstLineChars="100"/>
        <w:rPr>
          <w:rFonts w:ascii="楷体_GB2312" w:eastAsia="楷体_GB2312"/>
          <w:sz w:val="24"/>
          <w:szCs w:val="28"/>
        </w:rPr>
      </w:pPr>
      <w:r>
        <w:rPr>
          <w:rFonts w:hint="eastAsia" w:ascii="楷体_GB2312" w:eastAsia="楷体_GB2312"/>
          <w:sz w:val="24"/>
          <w:szCs w:val="28"/>
        </w:rPr>
        <w:t>除本协议另有约定外，信银理财享有如下权利:</w:t>
      </w:r>
    </w:p>
    <w:p w14:paraId="58FE898E">
      <w:pPr>
        <w:tabs>
          <w:tab w:val="left" w:pos="709"/>
        </w:tabs>
        <w:snapToGrid w:val="0"/>
        <w:spacing w:line="360" w:lineRule="auto"/>
        <w:rPr>
          <w:rFonts w:ascii="楷体_GB2312" w:eastAsia="楷体_GB2312"/>
          <w:sz w:val="24"/>
          <w:szCs w:val="28"/>
        </w:rPr>
      </w:pPr>
      <w:r>
        <w:rPr>
          <w:rFonts w:hint="eastAsia" w:ascii="楷体_GB2312" w:eastAsia="楷体_GB2312"/>
          <w:sz w:val="24"/>
          <w:szCs w:val="28"/>
        </w:rPr>
        <w:t>（1） 信银理财有权依照本协议和《产品说明书》约定管理、运用、处分理财资金；</w:t>
      </w:r>
    </w:p>
    <w:p w14:paraId="2F7CF029">
      <w:pPr>
        <w:tabs>
          <w:tab w:val="left" w:pos="709"/>
        </w:tabs>
        <w:snapToGrid w:val="0"/>
        <w:spacing w:line="360" w:lineRule="auto"/>
        <w:rPr>
          <w:rFonts w:ascii="楷体_GB2312" w:eastAsia="楷体_GB2312"/>
          <w:sz w:val="24"/>
          <w:szCs w:val="28"/>
        </w:rPr>
      </w:pPr>
      <w:r>
        <w:rPr>
          <w:rFonts w:hint="eastAsia" w:ascii="楷体_GB2312" w:eastAsia="楷体_GB2312"/>
          <w:sz w:val="24"/>
          <w:szCs w:val="28"/>
        </w:rPr>
        <w:t>（</w:t>
      </w:r>
      <w:r>
        <w:rPr>
          <w:rFonts w:ascii="楷体_GB2312" w:eastAsia="楷体_GB2312"/>
          <w:sz w:val="24"/>
          <w:szCs w:val="28"/>
        </w:rPr>
        <w:t>2</w:t>
      </w:r>
      <w:r>
        <w:rPr>
          <w:rFonts w:hint="eastAsia" w:ascii="楷体_GB2312" w:eastAsia="楷体_GB2312"/>
          <w:sz w:val="24"/>
          <w:szCs w:val="28"/>
        </w:rPr>
        <w:t>） 信银理财有权依照本协议和《</w:t>
      </w:r>
      <w:r>
        <w:rPr>
          <w:rFonts w:ascii="楷体_GB2312" w:eastAsia="楷体_GB2312"/>
          <w:sz w:val="24"/>
          <w:szCs w:val="28"/>
        </w:rPr>
        <w:t>产品说明书</w:t>
      </w:r>
      <w:r>
        <w:rPr>
          <w:rFonts w:hint="eastAsia" w:ascii="楷体_GB2312" w:eastAsia="楷体_GB2312"/>
          <w:sz w:val="24"/>
          <w:szCs w:val="28"/>
        </w:rPr>
        <w:t>》约定终止理财产品的运作和实施；</w:t>
      </w:r>
    </w:p>
    <w:p w14:paraId="52099424">
      <w:pPr>
        <w:tabs>
          <w:tab w:val="left" w:pos="709"/>
        </w:tabs>
        <w:snapToGrid w:val="0"/>
        <w:spacing w:line="360" w:lineRule="auto"/>
        <w:rPr>
          <w:rFonts w:ascii="楷体_GB2312" w:eastAsia="楷体_GB2312"/>
          <w:sz w:val="24"/>
          <w:szCs w:val="28"/>
        </w:rPr>
      </w:pPr>
      <w:r>
        <w:rPr>
          <w:rFonts w:hint="eastAsia" w:ascii="楷体_GB2312" w:eastAsia="楷体_GB2312"/>
          <w:sz w:val="24"/>
          <w:szCs w:val="28"/>
        </w:rPr>
        <w:t>（</w:t>
      </w:r>
      <w:r>
        <w:rPr>
          <w:rFonts w:ascii="楷体_GB2312" w:eastAsia="楷体_GB2312"/>
          <w:sz w:val="24"/>
          <w:szCs w:val="28"/>
        </w:rPr>
        <w:t>3</w:t>
      </w:r>
      <w:r>
        <w:rPr>
          <w:rFonts w:hint="eastAsia" w:ascii="楷体_GB2312" w:eastAsia="楷体_GB2312"/>
          <w:sz w:val="24"/>
          <w:szCs w:val="28"/>
        </w:rPr>
        <w:t>） 因投资、运用和管理理财资金所发生的合理费用，包括但不限于信银理财收取的管理费等，由投资者承担，信银理财有权从理财资金中扣划。具体</w:t>
      </w:r>
      <w:r>
        <w:rPr>
          <w:rFonts w:ascii="楷体_GB2312" w:eastAsia="楷体_GB2312"/>
          <w:sz w:val="24"/>
          <w:szCs w:val="28"/>
        </w:rPr>
        <w:t>收费项目将在</w:t>
      </w:r>
      <w:r>
        <w:rPr>
          <w:rFonts w:hint="eastAsia" w:ascii="楷体_GB2312" w:eastAsia="楷体_GB2312"/>
          <w:sz w:val="24"/>
          <w:szCs w:val="28"/>
        </w:rPr>
        <w:t>《</w:t>
      </w:r>
      <w:r>
        <w:rPr>
          <w:rFonts w:ascii="楷体_GB2312" w:eastAsia="楷体_GB2312"/>
          <w:sz w:val="24"/>
          <w:szCs w:val="28"/>
        </w:rPr>
        <w:t>产品说明书</w:t>
      </w:r>
      <w:r>
        <w:rPr>
          <w:rFonts w:hint="eastAsia" w:ascii="楷体_GB2312" w:eastAsia="楷体_GB2312"/>
          <w:sz w:val="24"/>
          <w:szCs w:val="28"/>
        </w:rPr>
        <w:t>》</w:t>
      </w:r>
      <w:r>
        <w:rPr>
          <w:rFonts w:ascii="楷体_GB2312" w:eastAsia="楷体_GB2312"/>
          <w:sz w:val="24"/>
          <w:szCs w:val="28"/>
        </w:rPr>
        <w:t>中详细列示。</w:t>
      </w:r>
    </w:p>
    <w:p w14:paraId="284AF985">
      <w:pPr>
        <w:tabs>
          <w:tab w:val="left" w:pos="709"/>
        </w:tabs>
        <w:snapToGrid w:val="0"/>
        <w:spacing w:line="360" w:lineRule="auto"/>
        <w:rPr>
          <w:rFonts w:ascii="楷体_GB2312" w:eastAsia="楷体_GB2312"/>
          <w:sz w:val="24"/>
          <w:szCs w:val="28"/>
        </w:rPr>
      </w:pPr>
      <w:r>
        <w:rPr>
          <w:rFonts w:hint="eastAsia" w:ascii="楷体_GB2312" w:eastAsia="楷体_GB2312"/>
          <w:sz w:val="24"/>
          <w:szCs w:val="28"/>
        </w:rPr>
        <w:t>（</w:t>
      </w:r>
      <w:r>
        <w:rPr>
          <w:rFonts w:ascii="楷体_GB2312" w:eastAsia="楷体_GB2312"/>
          <w:sz w:val="24"/>
          <w:szCs w:val="28"/>
        </w:rPr>
        <w:t>4</w:t>
      </w:r>
      <w:r>
        <w:rPr>
          <w:rFonts w:hint="eastAsia" w:ascii="楷体_GB2312" w:eastAsia="楷体_GB2312"/>
          <w:sz w:val="24"/>
          <w:szCs w:val="28"/>
        </w:rPr>
        <w:t>） 《产品说明书》或法律法规以及监管机关规定的其他权利。</w:t>
      </w:r>
    </w:p>
    <w:p w14:paraId="239D4638">
      <w:pPr>
        <w:numPr>
          <w:ilvl w:val="1"/>
          <w:numId w:val="6"/>
        </w:numPr>
        <w:snapToGrid w:val="0"/>
        <w:spacing w:line="360" w:lineRule="auto"/>
        <w:ind w:left="0" w:firstLine="0"/>
        <w:rPr>
          <w:rFonts w:ascii="楷体_GB2312" w:eastAsia="楷体_GB2312"/>
          <w:sz w:val="24"/>
          <w:szCs w:val="28"/>
        </w:rPr>
      </w:pPr>
      <w:r>
        <w:rPr>
          <w:rFonts w:hint="eastAsia" w:ascii="楷体_GB2312" w:eastAsia="楷体_GB2312"/>
          <w:sz w:val="24"/>
          <w:szCs w:val="28"/>
        </w:rPr>
        <w:t>信银理财的义务</w:t>
      </w:r>
    </w:p>
    <w:p w14:paraId="3974B98A">
      <w:pPr>
        <w:tabs>
          <w:tab w:val="left" w:pos="709"/>
        </w:tabs>
        <w:snapToGrid w:val="0"/>
        <w:spacing w:line="360" w:lineRule="auto"/>
        <w:rPr>
          <w:rFonts w:ascii="楷体_GB2312" w:eastAsia="楷体_GB2312"/>
          <w:sz w:val="24"/>
          <w:szCs w:val="28"/>
        </w:rPr>
      </w:pPr>
      <w:r>
        <w:rPr>
          <w:rFonts w:hint="eastAsia" w:ascii="楷体_GB2312" w:eastAsia="楷体_GB2312"/>
          <w:sz w:val="24"/>
          <w:szCs w:val="28"/>
        </w:rPr>
        <w:t>（1） 信银理财应恪尽职守的管理、运作理财资金，以维护投资者和其他投资者的最大利益为宗旨，谨慎管理、保护投资者的财产权益；</w:t>
      </w:r>
    </w:p>
    <w:p w14:paraId="1D4E131D">
      <w:pPr>
        <w:tabs>
          <w:tab w:val="left" w:pos="709"/>
        </w:tabs>
        <w:snapToGrid w:val="0"/>
        <w:spacing w:line="360" w:lineRule="auto"/>
        <w:rPr>
          <w:rFonts w:ascii="楷体_GB2312" w:eastAsia="楷体_GB2312"/>
          <w:sz w:val="24"/>
          <w:szCs w:val="28"/>
        </w:rPr>
      </w:pPr>
      <w:r>
        <w:rPr>
          <w:rFonts w:hint="eastAsia" w:ascii="楷体_GB2312" w:eastAsia="楷体_GB2312"/>
          <w:sz w:val="24"/>
          <w:szCs w:val="28"/>
        </w:rPr>
        <w:t>（2） 按照本协议的约定向投资者分配理财本金和/或理财收益；</w:t>
      </w:r>
    </w:p>
    <w:p w14:paraId="4D22F5B0">
      <w:pPr>
        <w:tabs>
          <w:tab w:val="left" w:pos="709"/>
        </w:tabs>
        <w:snapToGrid w:val="0"/>
        <w:spacing w:line="360" w:lineRule="auto"/>
        <w:rPr>
          <w:rFonts w:ascii="楷体_GB2312" w:eastAsia="楷体_GB2312"/>
          <w:sz w:val="24"/>
          <w:szCs w:val="28"/>
        </w:rPr>
      </w:pPr>
      <w:r>
        <w:rPr>
          <w:rFonts w:hint="eastAsia" w:ascii="楷体_GB2312" w:eastAsia="楷体_GB2312"/>
          <w:sz w:val="24"/>
          <w:szCs w:val="28"/>
        </w:rPr>
        <w:t>（3） 信银理财应对本投资理财产品的相关文件进行归档和保存，各项凭证的保存期限应符合监管机构和信银理财内部规章的有关规定；</w:t>
      </w:r>
    </w:p>
    <w:p w14:paraId="232D03ED">
      <w:pPr>
        <w:tabs>
          <w:tab w:val="left" w:pos="709"/>
        </w:tabs>
        <w:snapToGrid w:val="0"/>
        <w:spacing w:line="360" w:lineRule="auto"/>
        <w:rPr>
          <w:rFonts w:ascii="楷体_GB2312" w:eastAsia="楷体_GB2312"/>
          <w:sz w:val="24"/>
          <w:szCs w:val="28"/>
        </w:rPr>
      </w:pPr>
      <w:r>
        <w:rPr>
          <w:rFonts w:hint="eastAsia" w:ascii="楷体_GB2312" w:eastAsia="楷体_GB2312"/>
          <w:sz w:val="24"/>
          <w:szCs w:val="28"/>
        </w:rPr>
        <w:t>（4） 监督《产品说明书》中列明的资金运作投资情况；</w:t>
      </w:r>
    </w:p>
    <w:p w14:paraId="7D3BBED5">
      <w:pPr>
        <w:tabs>
          <w:tab w:val="left" w:pos="709"/>
        </w:tabs>
        <w:snapToGrid w:val="0"/>
        <w:spacing w:line="360" w:lineRule="auto"/>
        <w:rPr>
          <w:rFonts w:ascii="楷体_GB2312" w:eastAsia="楷体_GB2312"/>
          <w:sz w:val="24"/>
          <w:szCs w:val="28"/>
        </w:rPr>
      </w:pPr>
      <w:r>
        <w:rPr>
          <w:rFonts w:hint="eastAsia" w:ascii="楷体_GB2312" w:eastAsia="楷体_GB2312"/>
          <w:sz w:val="24"/>
          <w:szCs w:val="28"/>
        </w:rPr>
        <w:t>（5） 《产品说明书》或法律法规以及监管机关规定的其他义务。</w:t>
      </w:r>
    </w:p>
    <w:p w14:paraId="65911C10">
      <w:pPr>
        <w:snapToGrid w:val="0"/>
        <w:spacing w:line="360" w:lineRule="auto"/>
        <w:rPr>
          <w:rFonts w:ascii="黑体" w:eastAsia="黑体"/>
          <w:b/>
          <w:bCs/>
          <w:sz w:val="24"/>
          <w:szCs w:val="28"/>
        </w:rPr>
      </w:pPr>
      <w:r>
        <w:rPr>
          <w:rFonts w:ascii="黑体" w:eastAsia="黑体"/>
          <w:b/>
          <w:bCs/>
          <w:sz w:val="24"/>
          <w:szCs w:val="28"/>
        </w:rPr>
        <w:t>第</w:t>
      </w:r>
      <w:r>
        <w:rPr>
          <w:rFonts w:hint="eastAsia" w:ascii="黑体" w:eastAsia="黑体"/>
          <w:b/>
          <w:bCs/>
          <w:sz w:val="24"/>
          <w:szCs w:val="28"/>
        </w:rPr>
        <w:t>七</w:t>
      </w:r>
      <w:r>
        <w:rPr>
          <w:rFonts w:ascii="黑体" w:eastAsia="黑体"/>
          <w:b/>
          <w:bCs/>
          <w:sz w:val="24"/>
          <w:szCs w:val="28"/>
        </w:rPr>
        <w:t>条  承诺和保证</w:t>
      </w:r>
    </w:p>
    <w:p w14:paraId="73C57247">
      <w:pPr>
        <w:numPr>
          <w:ilvl w:val="1"/>
          <w:numId w:val="7"/>
        </w:numPr>
        <w:snapToGrid w:val="0"/>
        <w:spacing w:line="360" w:lineRule="auto"/>
        <w:ind w:left="0" w:firstLine="0"/>
        <w:rPr>
          <w:rFonts w:ascii="楷体_GB2312" w:eastAsia="楷体_GB2312"/>
          <w:sz w:val="24"/>
          <w:szCs w:val="28"/>
        </w:rPr>
      </w:pPr>
      <w:r>
        <w:rPr>
          <w:rFonts w:hint="eastAsia" w:ascii="楷体_GB2312" w:eastAsia="楷体_GB2312"/>
          <w:sz w:val="24"/>
          <w:szCs w:val="28"/>
        </w:rPr>
        <w:t>双方在此承诺和保证，其在本协议项下的承诺和保证为真实、准确的；</w:t>
      </w:r>
    </w:p>
    <w:p w14:paraId="61B03172">
      <w:pPr>
        <w:numPr>
          <w:ilvl w:val="1"/>
          <w:numId w:val="7"/>
        </w:numPr>
        <w:snapToGrid w:val="0"/>
        <w:spacing w:line="360" w:lineRule="auto"/>
        <w:ind w:left="0" w:firstLine="0"/>
        <w:rPr>
          <w:rFonts w:ascii="楷体_GB2312" w:eastAsia="楷体_GB2312"/>
          <w:sz w:val="24"/>
          <w:szCs w:val="28"/>
        </w:rPr>
      </w:pPr>
      <w:r>
        <w:rPr>
          <w:rFonts w:hint="eastAsia" w:ascii="楷体_GB2312" w:eastAsia="楷体_GB2312"/>
          <w:sz w:val="24"/>
          <w:szCs w:val="28"/>
        </w:rPr>
        <w:t>投资者在此承诺和保证，其系依据中国法律组建和有效存续的法人或其他组织，具有相应的风险承受能力，投资者已通过必要的行动，获得签署和履行本协议的充分授权；其签署本协议不会违反任何内部规章，或此前其签署的任何协议的约定，亦不会损害任何其他人的合法权益；</w:t>
      </w:r>
    </w:p>
    <w:p w14:paraId="204EFF00">
      <w:pPr>
        <w:numPr>
          <w:ilvl w:val="1"/>
          <w:numId w:val="7"/>
        </w:numPr>
        <w:snapToGrid w:val="0"/>
        <w:spacing w:line="360" w:lineRule="auto"/>
        <w:ind w:left="0" w:firstLine="0"/>
        <w:rPr>
          <w:rFonts w:ascii="楷体_GB2312" w:eastAsia="楷体_GB2312"/>
          <w:sz w:val="24"/>
          <w:szCs w:val="28"/>
        </w:rPr>
      </w:pPr>
      <w:r>
        <w:rPr>
          <w:rFonts w:hint="eastAsia" w:ascii="楷体_GB2312" w:eastAsia="楷体_GB2312"/>
          <w:sz w:val="24"/>
          <w:szCs w:val="28"/>
        </w:rPr>
        <w:t>投资者在此承诺和保证其理财本金为其依法享有处分权的资金；</w:t>
      </w:r>
    </w:p>
    <w:p w14:paraId="782CC962">
      <w:pPr>
        <w:numPr>
          <w:ilvl w:val="1"/>
          <w:numId w:val="7"/>
        </w:numPr>
        <w:snapToGrid w:val="0"/>
        <w:spacing w:line="360" w:lineRule="auto"/>
        <w:ind w:left="0" w:firstLine="0"/>
        <w:rPr>
          <w:rFonts w:ascii="楷体_GB2312" w:eastAsia="楷体_GB2312"/>
          <w:sz w:val="24"/>
          <w:szCs w:val="28"/>
        </w:rPr>
      </w:pPr>
      <w:r>
        <w:rPr>
          <w:rFonts w:hint="eastAsia" w:ascii="楷体_GB2312" w:eastAsia="楷体_GB2312"/>
          <w:sz w:val="24"/>
          <w:szCs w:val="28"/>
        </w:rPr>
        <w:t>投资者承诺和保证其已完全理解和接受本协议和《产品说明书》的约定，不会对本协议及《产品说明书》的条款提出异议，充分了解和接受本投资理财产品的风险，有能力承担本投资理财产品的风险带来的损失，并自愿委托信银理财代理投资理财；</w:t>
      </w:r>
    </w:p>
    <w:p w14:paraId="2113F399">
      <w:pPr>
        <w:numPr>
          <w:ilvl w:val="1"/>
          <w:numId w:val="7"/>
        </w:numPr>
        <w:snapToGrid w:val="0"/>
        <w:spacing w:line="360" w:lineRule="auto"/>
        <w:ind w:left="0" w:firstLine="0"/>
        <w:rPr>
          <w:rFonts w:ascii="楷体_GB2312" w:eastAsia="楷体_GB2312"/>
          <w:sz w:val="24"/>
          <w:szCs w:val="28"/>
        </w:rPr>
      </w:pPr>
      <w:r>
        <w:rPr>
          <w:rFonts w:hint="eastAsia" w:ascii="楷体_GB2312" w:eastAsia="楷体_GB2312"/>
          <w:sz w:val="24"/>
          <w:szCs w:val="28"/>
        </w:rPr>
        <w:t>投资者之授权签字人已得到签署理财产品文件的充分有效授权，投资者的法定代表人或授权签字人具有完全的民事行为能力并已详细阅读本协议和《产品说明书》等理财产品销售文件。</w:t>
      </w:r>
    </w:p>
    <w:p w14:paraId="02A62525">
      <w:pPr>
        <w:numPr>
          <w:ilvl w:val="1"/>
          <w:numId w:val="7"/>
        </w:numPr>
        <w:snapToGrid w:val="0"/>
        <w:spacing w:line="360" w:lineRule="auto"/>
        <w:ind w:left="0" w:firstLine="0"/>
        <w:rPr>
          <w:rFonts w:ascii="楷体_GB2312" w:eastAsia="楷体_GB2312"/>
          <w:sz w:val="24"/>
          <w:szCs w:val="28"/>
        </w:rPr>
      </w:pPr>
      <w:r>
        <w:rPr>
          <w:rFonts w:hint="eastAsia" w:ascii="楷体_GB2312" w:eastAsia="楷体_GB2312"/>
          <w:sz w:val="24"/>
          <w:szCs w:val="28"/>
        </w:rPr>
        <w:t>投资者确认，其应向信银理财真实提供信息，自主作出认（申）购/和赎回等决定，独立对销售文件进行签字/盖章确认，自主承担投资风险。投资者拒绝向信银理财提供或者未按照要求提供信息的，信银理财有权告知投资者相应的后果和责任，并有权拒绝向其提供销售服务。</w:t>
      </w:r>
    </w:p>
    <w:p w14:paraId="092EC89F">
      <w:pPr>
        <w:numPr>
          <w:ilvl w:val="1"/>
          <w:numId w:val="7"/>
        </w:numPr>
        <w:snapToGrid w:val="0"/>
        <w:spacing w:line="360" w:lineRule="auto"/>
        <w:ind w:left="0" w:firstLine="0"/>
        <w:rPr>
          <w:rFonts w:ascii="楷体_GB2312" w:eastAsia="楷体_GB2312"/>
          <w:sz w:val="24"/>
          <w:szCs w:val="28"/>
        </w:rPr>
      </w:pPr>
      <w:r>
        <w:rPr>
          <w:rFonts w:ascii="楷体_GB2312" w:hAnsi="宋体" w:eastAsia="楷体_GB2312"/>
          <w:color w:val="000000"/>
          <w:sz w:val="24"/>
          <w:szCs w:val="24"/>
        </w:rPr>
        <w:t>信银理财销售人员均为与信银理财签订劳动合同并经信银理财进行了上岗资格认定的人员。投资者可要求销售人员在向投资者宣传销售理财产品前进行自我介绍并告知投资者关于销售人员的信息查询和核实渠道。</w:t>
      </w:r>
    </w:p>
    <w:p w14:paraId="3A9BB3BB">
      <w:pPr>
        <w:snapToGrid w:val="0"/>
        <w:spacing w:line="360" w:lineRule="auto"/>
        <w:rPr>
          <w:rFonts w:ascii="黑体" w:eastAsia="黑体"/>
          <w:b/>
          <w:bCs/>
          <w:sz w:val="24"/>
          <w:szCs w:val="28"/>
        </w:rPr>
      </w:pPr>
      <w:r>
        <w:rPr>
          <w:rFonts w:ascii="黑体" w:eastAsia="黑体"/>
          <w:b/>
          <w:bCs/>
          <w:sz w:val="24"/>
          <w:szCs w:val="28"/>
        </w:rPr>
        <w:t>第</w:t>
      </w:r>
      <w:r>
        <w:rPr>
          <w:rFonts w:hint="eastAsia" w:ascii="黑体" w:eastAsia="黑体"/>
          <w:b/>
          <w:bCs/>
          <w:sz w:val="24"/>
          <w:szCs w:val="28"/>
        </w:rPr>
        <w:t>八</w:t>
      </w:r>
      <w:r>
        <w:rPr>
          <w:rFonts w:ascii="黑体" w:eastAsia="黑体"/>
          <w:b/>
          <w:bCs/>
          <w:sz w:val="24"/>
          <w:szCs w:val="28"/>
        </w:rPr>
        <w:t>条  信息披露</w:t>
      </w:r>
      <w:r>
        <w:rPr>
          <w:rFonts w:hint="eastAsia" w:ascii="黑体" w:eastAsia="黑体"/>
          <w:b/>
          <w:bCs/>
          <w:sz w:val="24"/>
          <w:szCs w:val="28"/>
        </w:rPr>
        <w:t>及风险提示</w:t>
      </w:r>
    </w:p>
    <w:p w14:paraId="797CD8EE">
      <w:pPr>
        <w:tabs>
          <w:tab w:val="left" w:pos="709"/>
        </w:tabs>
        <w:snapToGrid w:val="0"/>
        <w:spacing w:line="360" w:lineRule="auto"/>
        <w:rPr>
          <w:rFonts w:ascii="楷体_GB2312" w:eastAsia="楷体_GB2312"/>
          <w:bCs/>
          <w:sz w:val="24"/>
          <w:szCs w:val="28"/>
        </w:rPr>
      </w:pPr>
      <w:r>
        <w:rPr>
          <w:rFonts w:hint="eastAsia" w:ascii="楷体_GB2312" w:eastAsia="楷体_GB2312"/>
          <w:bCs/>
          <w:sz w:val="24"/>
          <w:szCs w:val="28"/>
        </w:rPr>
        <w:t>信银理财将按照《产品说明书》中的约定向投资者进行信息披露。投资理财产品可能面临包括但不限于信用风险、市场风险、流动性风险、提前终止风险、政策风险、信息传递风险、管理风险、延期清算风险、理财产品不成立风险、不可抗力及意外事件风险、理财本金全部损失风险、合作销售机构（代销机构）风险、操作风险、关联交易风险等风险，具体风险由信银理财在《产品说明书》中揭示。</w:t>
      </w:r>
    </w:p>
    <w:p w14:paraId="1AB4CDC9">
      <w:pPr>
        <w:snapToGrid w:val="0"/>
        <w:spacing w:line="360" w:lineRule="auto"/>
        <w:rPr>
          <w:rFonts w:ascii="黑体" w:eastAsia="黑体"/>
          <w:b/>
          <w:bCs/>
          <w:sz w:val="24"/>
          <w:szCs w:val="28"/>
        </w:rPr>
      </w:pPr>
      <w:r>
        <w:rPr>
          <w:rFonts w:ascii="黑体" w:eastAsia="黑体"/>
          <w:b/>
          <w:bCs/>
          <w:sz w:val="24"/>
          <w:szCs w:val="28"/>
        </w:rPr>
        <w:t>第</w:t>
      </w:r>
      <w:r>
        <w:rPr>
          <w:rFonts w:hint="eastAsia" w:ascii="黑体" w:eastAsia="黑体"/>
          <w:b/>
          <w:bCs/>
          <w:sz w:val="24"/>
          <w:szCs w:val="28"/>
        </w:rPr>
        <w:t>九</w:t>
      </w:r>
      <w:r>
        <w:rPr>
          <w:rFonts w:ascii="黑体" w:eastAsia="黑体"/>
          <w:b/>
          <w:bCs/>
          <w:sz w:val="24"/>
          <w:szCs w:val="28"/>
        </w:rPr>
        <w:t>条  保密条款</w:t>
      </w:r>
    </w:p>
    <w:p w14:paraId="5151326F">
      <w:pPr>
        <w:snapToGrid w:val="0"/>
        <w:spacing w:line="360" w:lineRule="auto"/>
        <w:rPr>
          <w:rFonts w:ascii="楷体_GB2312" w:eastAsia="楷体_GB2312"/>
          <w:bCs/>
          <w:sz w:val="24"/>
          <w:szCs w:val="28"/>
        </w:rPr>
      </w:pPr>
      <w:r>
        <w:rPr>
          <w:rFonts w:hint="eastAsia" w:ascii="楷体_GB2312" w:eastAsia="楷体_GB2312"/>
          <w:bCs/>
          <w:sz w:val="24"/>
          <w:szCs w:val="28"/>
        </w:rPr>
        <w:t>双方应对其在订立及执行本协议的过程中知悉的对方的商业秘密予以保密，除非任一方依照法律、法规的规定或者司法机关和／或行政机关要求予以披露。</w:t>
      </w:r>
    </w:p>
    <w:p w14:paraId="5CB5B250">
      <w:pPr>
        <w:snapToGrid w:val="0"/>
        <w:spacing w:line="360" w:lineRule="auto"/>
        <w:rPr>
          <w:rFonts w:ascii="楷体_GB2312" w:eastAsia="楷体_GB2312"/>
          <w:bCs/>
          <w:sz w:val="24"/>
          <w:szCs w:val="28"/>
        </w:rPr>
      </w:pPr>
      <w:r>
        <w:rPr>
          <w:rFonts w:hint="eastAsia" w:ascii="楷体_GB2312" w:eastAsia="楷体_GB2312"/>
          <w:bCs/>
          <w:sz w:val="24"/>
          <w:szCs w:val="28"/>
        </w:rPr>
        <w:t>信银</w:t>
      </w:r>
      <w:bookmarkStart w:id="1" w:name="_Hlk153268249"/>
      <w:r>
        <w:rPr>
          <w:rFonts w:hint="eastAsia" w:ascii="楷体_GB2312" w:eastAsia="楷体_GB2312"/>
          <w:bCs/>
          <w:sz w:val="24"/>
          <w:szCs w:val="28"/>
        </w:rPr>
        <w:t>理财将加强信息安全管理，根据法律法规</w:t>
      </w:r>
      <w:bookmarkEnd w:id="1"/>
      <w:r>
        <w:rPr>
          <w:rFonts w:hint="eastAsia" w:ascii="楷体_GB2312" w:eastAsia="楷体_GB2312"/>
          <w:bCs/>
          <w:sz w:val="24"/>
          <w:szCs w:val="28"/>
        </w:rPr>
        <w:t>及监管要求，对在产品销售过程中获取的投资者信息履行保密义务，除非依照法律法规之规定，或应监管机构及其他有权机关的要求，或与投资者另有约定外，不向第三方披露。</w:t>
      </w:r>
    </w:p>
    <w:p w14:paraId="19248B91">
      <w:pPr>
        <w:snapToGrid w:val="0"/>
        <w:spacing w:line="360" w:lineRule="auto"/>
        <w:rPr>
          <w:rFonts w:ascii="黑体" w:eastAsia="黑体"/>
          <w:b/>
          <w:bCs/>
          <w:sz w:val="24"/>
          <w:szCs w:val="28"/>
        </w:rPr>
      </w:pPr>
      <w:r>
        <w:rPr>
          <w:rFonts w:ascii="黑体" w:eastAsia="黑体"/>
          <w:b/>
          <w:bCs/>
          <w:sz w:val="24"/>
          <w:szCs w:val="28"/>
        </w:rPr>
        <w:t>第十条　违约</w:t>
      </w:r>
      <w:r>
        <w:rPr>
          <w:rFonts w:hint="eastAsia" w:ascii="黑体" w:eastAsia="黑体"/>
          <w:b/>
          <w:bCs/>
          <w:sz w:val="24"/>
          <w:szCs w:val="28"/>
        </w:rPr>
        <w:t>及争议解决</w:t>
      </w:r>
    </w:p>
    <w:p w14:paraId="0D1D519A">
      <w:pPr>
        <w:snapToGrid w:val="0"/>
        <w:spacing w:line="360" w:lineRule="auto"/>
        <w:rPr>
          <w:rFonts w:ascii="楷体_GB2312" w:eastAsia="楷体_GB2312"/>
          <w:bCs/>
          <w:sz w:val="24"/>
          <w:szCs w:val="28"/>
        </w:rPr>
      </w:pPr>
      <w:r>
        <w:rPr>
          <w:rFonts w:hint="eastAsia" w:ascii="楷体_GB2312" w:eastAsia="楷体_GB2312"/>
          <w:bCs/>
          <w:sz w:val="24"/>
          <w:szCs w:val="28"/>
        </w:rPr>
        <w:t>10.1双方因违反本协议约定而给对方造成损失的，违约方应赔偿因此给对方造成的直接损失。</w:t>
      </w:r>
    </w:p>
    <w:p w14:paraId="2AC80A3A">
      <w:pPr>
        <w:snapToGrid w:val="0"/>
        <w:spacing w:line="360" w:lineRule="auto"/>
        <w:rPr>
          <w:rFonts w:ascii="楷体_GB2312" w:eastAsia="楷体_GB2312"/>
          <w:bCs/>
          <w:sz w:val="24"/>
          <w:szCs w:val="28"/>
        </w:rPr>
      </w:pPr>
      <w:r>
        <w:rPr>
          <w:rFonts w:hint="eastAsia" w:ascii="楷体_GB2312" w:eastAsia="楷体_GB2312"/>
          <w:bCs/>
          <w:sz w:val="24"/>
          <w:szCs w:val="28"/>
        </w:rPr>
        <w:t>10.2因不可抗力导致的交易中断、延误等风险及损失，遭遇不可抗力的一方不承担责任，但应在条件允许的情况下通知另一方，并采取一切必要的补救措施以减小不可抗力造成的损失。</w:t>
      </w:r>
    </w:p>
    <w:p w14:paraId="318745DD">
      <w:pPr>
        <w:snapToGrid w:val="0"/>
        <w:spacing w:line="360" w:lineRule="auto"/>
        <w:rPr>
          <w:rFonts w:ascii="楷体_GB2312" w:eastAsia="楷体_GB2312"/>
          <w:bCs/>
          <w:sz w:val="24"/>
          <w:szCs w:val="28"/>
        </w:rPr>
      </w:pPr>
      <w:r>
        <w:rPr>
          <w:rFonts w:hint="eastAsia" w:ascii="楷体_GB2312" w:eastAsia="楷体_GB2312"/>
          <w:bCs/>
          <w:sz w:val="24"/>
          <w:szCs w:val="28"/>
        </w:rPr>
        <w:t>10.3协议项下投资者的理财账户被司法机关或政府部门冻结，信银理财不承担任何责任，因此给信银理财或其他方造成的损失应由投资者承担。</w:t>
      </w:r>
    </w:p>
    <w:p w14:paraId="09A8D686">
      <w:pPr>
        <w:snapToGrid w:val="0"/>
        <w:spacing w:line="360" w:lineRule="auto"/>
        <w:rPr>
          <w:rFonts w:ascii="楷体_GB2312" w:eastAsia="楷体_GB2312"/>
          <w:sz w:val="24"/>
          <w:szCs w:val="28"/>
        </w:rPr>
      </w:pPr>
      <w:r>
        <w:rPr>
          <w:rFonts w:hint="eastAsia" w:ascii="楷体_GB2312" w:eastAsia="楷体_GB2312"/>
          <w:sz w:val="24"/>
          <w:szCs w:val="28"/>
        </w:rPr>
        <w:t>10.4本协议及理财销售文件均适用中华人民共和国法律（为履行本协议之目的，不包括中国香港特别行政区、澳门特别行政区及台湾地区法律）。凡因本协议发生的及与本协议有关的任何争议，双方可协商解决；协商不成的，双方应将该等争议提交上海仲裁委员会仲裁，仲裁地在上海。仲裁裁决是终局性的，对双方均有约束力。除非仲裁裁决另有规定，双方为仲裁而实际支付的费用（包括但不限于仲裁费和律师费）由败诉方承担。在协商或仲裁期间，对于本协议不涉及争议部分的条款，双方仍须履行。</w:t>
      </w:r>
    </w:p>
    <w:p w14:paraId="2CCF6CC5">
      <w:pPr>
        <w:snapToGrid w:val="0"/>
        <w:spacing w:line="360" w:lineRule="auto"/>
        <w:rPr>
          <w:rFonts w:ascii="黑体" w:eastAsia="黑体"/>
          <w:b/>
          <w:bCs/>
          <w:sz w:val="24"/>
          <w:szCs w:val="28"/>
        </w:rPr>
      </w:pPr>
      <w:r>
        <w:rPr>
          <w:rFonts w:ascii="黑体" w:eastAsia="黑体"/>
          <w:b/>
          <w:bCs/>
          <w:sz w:val="24"/>
          <w:szCs w:val="28"/>
        </w:rPr>
        <w:t>第十</w:t>
      </w:r>
      <w:r>
        <w:rPr>
          <w:rFonts w:hint="eastAsia" w:ascii="黑体" w:eastAsia="黑体"/>
          <w:b/>
          <w:bCs/>
          <w:sz w:val="24"/>
          <w:szCs w:val="28"/>
        </w:rPr>
        <w:t>一</w:t>
      </w:r>
      <w:r>
        <w:rPr>
          <w:rFonts w:ascii="黑体" w:eastAsia="黑体"/>
          <w:b/>
          <w:bCs/>
          <w:sz w:val="24"/>
          <w:szCs w:val="28"/>
        </w:rPr>
        <w:t>条  本协议的效力</w:t>
      </w:r>
      <w:r>
        <w:rPr>
          <w:rFonts w:hint="eastAsia" w:ascii="黑体" w:eastAsia="黑体"/>
          <w:b/>
          <w:bCs/>
          <w:sz w:val="24"/>
          <w:szCs w:val="28"/>
        </w:rPr>
        <w:t>及终止</w:t>
      </w:r>
    </w:p>
    <w:p w14:paraId="1F58AD6D">
      <w:pPr>
        <w:snapToGrid w:val="0"/>
        <w:spacing w:line="360" w:lineRule="auto"/>
        <w:rPr>
          <w:rFonts w:ascii="楷体_GB2312" w:eastAsia="楷体_GB2312"/>
          <w:sz w:val="24"/>
          <w:szCs w:val="28"/>
        </w:rPr>
      </w:pPr>
      <w:r>
        <w:rPr>
          <w:rFonts w:hint="eastAsia" w:ascii="楷体_GB2312" w:eastAsia="楷体_GB2312"/>
          <w:sz w:val="24"/>
          <w:szCs w:val="28"/>
        </w:rPr>
        <w:t>11.1本协议一经签署即长期有效，除非双方书面签订了新的替代协议。投资者认购信银理财任意一款理财产品的，还需另行填写并签署与该款理财产品相关的《产品说明书》、《</w:t>
      </w:r>
      <w:r>
        <w:rPr>
          <w:rFonts w:hint="eastAsia" w:ascii="楷体_GB2312" w:eastAsia="楷体_GB2312"/>
          <w:bCs/>
          <w:sz w:val="24"/>
          <w:szCs w:val="28"/>
        </w:rPr>
        <w:t>理财业务交易</w:t>
      </w:r>
      <w:r>
        <w:rPr>
          <w:rFonts w:hint="eastAsia" w:ascii="楷体_GB2312" w:eastAsia="楷体_GB2312"/>
          <w:sz w:val="24"/>
          <w:szCs w:val="28"/>
        </w:rPr>
        <w:t>申请表》、《理财产品风险揭示书》等其他销售文件。本协议与其他销售文件构成完整不可分割的整体，且每一款理财产品的《产品说明书》、《</w:t>
      </w:r>
      <w:r>
        <w:rPr>
          <w:rFonts w:hint="eastAsia" w:ascii="楷体_GB2312" w:eastAsia="楷体_GB2312"/>
          <w:bCs/>
          <w:sz w:val="24"/>
          <w:szCs w:val="28"/>
        </w:rPr>
        <w:t>理财业务交易</w:t>
      </w:r>
      <w:r>
        <w:rPr>
          <w:rFonts w:hint="eastAsia" w:ascii="楷体_GB2312" w:eastAsia="楷体_GB2312"/>
          <w:sz w:val="24"/>
          <w:szCs w:val="28"/>
        </w:rPr>
        <w:t>申请表》、《理财产品风险揭示书》等与本协议构成一份独立的销售文件，该理财产品的销售文件的效力和履行情况均独立于其他理财产品的销售文件。</w:t>
      </w:r>
    </w:p>
    <w:p w14:paraId="7E9EBE50">
      <w:pPr>
        <w:snapToGrid w:val="0"/>
        <w:spacing w:line="360" w:lineRule="auto"/>
        <w:rPr>
          <w:rFonts w:ascii="楷体_GB2312" w:eastAsia="楷体_GB2312"/>
          <w:sz w:val="24"/>
          <w:szCs w:val="28"/>
        </w:rPr>
      </w:pPr>
      <w:r>
        <w:rPr>
          <w:rFonts w:hint="eastAsia" w:ascii="楷体_GB2312" w:eastAsia="楷体_GB2312"/>
          <w:sz w:val="24"/>
          <w:szCs w:val="28"/>
        </w:rPr>
        <w:t>11.2如投资者于本协议生效前自信银理财购买理财产品的，双方应受该理财产品相关销售文件的约束，该理财产品不适用于本协议。</w:t>
      </w:r>
    </w:p>
    <w:p w14:paraId="0BDFC94F">
      <w:pPr>
        <w:tabs>
          <w:tab w:val="left" w:pos="709"/>
        </w:tabs>
        <w:snapToGrid w:val="0"/>
        <w:spacing w:line="360" w:lineRule="auto"/>
        <w:rPr>
          <w:rFonts w:ascii="楷体_GB2312" w:eastAsia="楷体_GB2312"/>
          <w:sz w:val="24"/>
          <w:szCs w:val="28"/>
        </w:rPr>
      </w:pPr>
      <w:r>
        <w:rPr>
          <w:rFonts w:hint="eastAsia" w:ascii="楷体_GB2312" w:eastAsia="楷体_GB2312"/>
          <w:sz w:val="24"/>
          <w:szCs w:val="28"/>
        </w:rPr>
        <w:t>11.3本协议未规定的，以《产品说明书》为准；如果本协议与《产品说明书》所规定的内容冲突，优先适用《产品说明书》。</w:t>
      </w:r>
    </w:p>
    <w:p w14:paraId="553F1CE5">
      <w:pPr>
        <w:tabs>
          <w:tab w:val="left" w:pos="709"/>
        </w:tabs>
        <w:snapToGrid w:val="0"/>
        <w:spacing w:line="360" w:lineRule="auto"/>
        <w:rPr>
          <w:rFonts w:ascii="楷体_GB2312" w:eastAsia="楷体_GB2312"/>
          <w:sz w:val="24"/>
          <w:szCs w:val="28"/>
        </w:rPr>
      </w:pPr>
      <w:r>
        <w:rPr>
          <w:rFonts w:hint="eastAsia" w:ascii="楷体_GB2312" w:eastAsia="楷体_GB2312"/>
          <w:sz w:val="24"/>
          <w:szCs w:val="28"/>
        </w:rPr>
        <w:t>11.4如本协议的某条款或某条款的部分内容现在是或将来成为无效，该无效条款或该无效部分并不影响本协议及本协议其它条款或该条款其它内容的有效性。</w:t>
      </w:r>
    </w:p>
    <w:p w14:paraId="1CEBE4A3">
      <w:pPr>
        <w:tabs>
          <w:tab w:val="left" w:pos="709"/>
        </w:tabs>
        <w:snapToGrid w:val="0"/>
        <w:spacing w:line="360" w:lineRule="auto"/>
        <w:rPr>
          <w:rFonts w:ascii="楷体_GB2312" w:eastAsia="楷体_GB2312"/>
          <w:sz w:val="24"/>
          <w:szCs w:val="28"/>
        </w:rPr>
      </w:pPr>
      <w:r>
        <w:rPr>
          <w:rFonts w:hint="eastAsia" w:ascii="楷体_GB2312" w:eastAsia="楷体_GB2312"/>
          <w:bCs/>
          <w:sz w:val="24"/>
          <w:szCs w:val="28"/>
        </w:rPr>
        <w:t>11.5除《产品说明书》约定的提前终止情形外，投资者有违约行为或投资者理财账户被有权机关冻结时，信银理财有权提前终止本协议。</w:t>
      </w:r>
    </w:p>
    <w:p w14:paraId="5B2F67A0">
      <w:pPr>
        <w:snapToGrid w:val="0"/>
        <w:spacing w:line="360" w:lineRule="auto"/>
        <w:rPr>
          <w:rFonts w:ascii="黑体" w:eastAsia="黑体"/>
          <w:b/>
          <w:bCs/>
          <w:sz w:val="24"/>
          <w:szCs w:val="28"/>
        </w:rPr>
      </w:pPr>
      <w:r>
        <w:rPr>
          <w:rFonts w:ascii="黑体" w:eastAsia="黑体"/>
          <w:b/>
          <w:bCs/>
          <w:sz w:val="24"/>
          <w:szCs w:val="28"/>
        </w:rPr>
        <w:t>第十</w:t>
      </w:r>
      <w:r>
        <w:rPr>
          <w:rFonts w:hint="eastAsia" w:ascii="黑体" w:eastAsia="黑体"/>
          <w:b/>
          <w:bCs/>
          <w:sz w:val="24"/>
          <w:szCs w:val="28"/>
        </w:rPr>
        <w:t>二</w:t>
      </w:r>
      <w:r>
        <w:rPr>
          <w:rFonts w:ascii="黑体" w:eastAsia="黑体"/>
          <w:b/>
          <w:bCs/>
          <w:sz w:val="24"/>
          <w:szCs w:val="28"/>
        </w:rPr>
        <w:t>条  合同的生效、变更与解除</w:t>
      </w:r>
    </w:p>
    <w:p w14:paraId="5EDB2A7C">
      <w:pPr>
        <w:tabs>
          <w:tab w:val="left" w:pos="709"/>
        </w:tabs>
        <w:snapToGrid w:val="0"/>
        <w:spacing w:line="360" w:lineRule="auto"/>
        <w:rPr>
          <w:rFonts w:ascii="楷体_GB2312" w:eastAsia="楷体_GB2312"/>
          <w:sz w:val="24"/>
          <w:szCs w:val="28"/>
        </w:rPr>
      </w:pPr>
      <w:r>
        <w:rPr>
          <w:rFonts w:hint="eastAsia" w:ascii="楷体_GB2312" w:eastAsia="楷体_GB2312"/>
          <w:sz w:val="24"/>
          <w:szCs w:val="28"/>
        </w:rPr>
        <w:t>12.1本协议通过纸质形式签署的，自甲方签署（甲方为自然人的，应签字；甲方为机构或产品的，应加盖机构或产品管理人公章且其法定代表人或授权代表签章）且甲方产品认购/申购份额经乙方确认后生效。本协议通过电子形式签署的，自甲方通过乙方产品的电子销售渠道在线点击确认或勾选且甲方产品认购/申购份额经乙方确认后生效。甲方知悉并确认，乙方对于甲方认购/申购份额的确认即视为乙方对于本协议的签署和认可，甲方不得以乙方未在本协议上盖章为由主张本协议无效。</w:t>
      </w:r>
    </w:p>
    <w:p w14:paraId="545F30BB">
      <w:pPr>
        <w:tabs>
          <w:tab w:val="left" w:pos="709"/>
        </w:tabs>
        <w:snapToGrid w:val="0"/>
        <w:spacing w:line="360" w:lineRule="auto"/>
        <w:rPr>
          <w:rFonts w:ascii="楷体_GB2312" w:eastAsia="楷体_GB2312"/>
          <w:sz w:val="24"/>
        </w:rPr>
      </w:pPr>
      <w:r>
        <w:rPr>
          <w:rFonts w:hint="eastAsia" w:ascii="楷体_GB2312" w:eastAsia="楷体_GB2312"/>
          <w:sz w:val="24"/>
          <w:szCs w:val="28"/>
        </w:rPr>
        <w:t>12.2本协议生效后，除本协议已有约定的外，任何一方均不得擅自变更或解除本协议；如确需变更或解除本协议，应经双方协商一致，并达成书面协议。</w:t>
      </w:r>
    </w:p>
    <w:p w14:paraId="0DFC012E">
      <w:pPr>
        <w:snapToGrid w:val="0"/>
        <w:spacing w:line="360" w:lineRule="auto"/>
        <w:rPr>
          <w:rFonts w:ascii="黑体" w:eastAsia="黑体"/>
          <w:b/>
          <w:bCs/>
          <w:sz w:val="24"/>
          <w:szCs w:val="28"/>
        </w:rPr>
      </w:pPr>
      <w:r>
        <w:rPr>
          <w:rFonts w:ascii="黑体" w:eastAsia="黑体"/>
          <w:b/>
          <w:bCs/>
          <w:sz w:val="24"/>
          <w:szCs w:val="28"/>
        </w:rPr>
        <w:t>第</w:t>
      </w:r>
      <w:r>
        <w:rPr>
          <w:rFonts w:hint="eastAsia" w:ascii="黑体" w:eastAsia="黑体"/>
          <w:b/>
          <w:bCs/>
          <w:sz w:val="24"/>
          <w:szCs w:val="28"/>
        </w:rPr>
        <w:t>十三</w:t>
      </w:r>
      <w:r>
        <w:rPr>
          <w:rFonts w:ascii="黑体" w:eastAsia="黑体"/>
          <w:b/>
          <w:bCs/>
          <w:sz w:val="24"/>
          <w:szCs w:val="28"/>
        </w:rPr>
        <w:t>条  其</w:t>
      </w:r>
      <w:r>
        <w:rPr>
          <w:rFonts w:hint="eastAsia" w:ascii="黑体" w:eastAsia="黑体"/>
          <w:b/>
          <w:bCs/>
          <w:sz w:val="24"/>
          <w:szCs w:val="28"/>
        </w:rPr>
        <w:t>他</w:t>
      </w:r>
    </w:p>
    <w:p w14:paraId="1BE0E1D5">
      <w:pPr>
        <w:snapToGrid w:val="0"/>
        <w:spacing w:line="360" w:lineRule="auto"/>
        <w:rPr>
          <w:rFonts w:ascii="楷体_GB2312" w:eastAsia="楷体_GB2312"/>
          <w:sz w:val="24"/>
          <w:szCs w:val="28"/>
        </w:rPr>
      </w:pPr>
      <w:r>
        <w:rPr>
          <w:rFonts w:hint="eastAsia" w:ascii="楷体_GB2312" w:eastAsia="楷体_GB2312"/>
          <w:sz w:val="24"/>
          <w:szCs w:val="28"/>
        </w:rPr>
        <w:t>13.1本协议未尽事宜，双方可另行达成书面协议，作为本协议附件。本协议的任何附件、修改或补充均构成本协议不可分割的组成部分，与本协议具有同等法律效力。</w:t>
      </w:r>
    </w:p>
    <w:p w14:paraId="131A2822">
      <w:pPr>
        <w:snapToGrid w:val="0"/>
        <w:spacing w:line="360" w:lineRule="auto"/>
        <w:rPr>
          <w:rFonts w:ascii="楷体_GB2312" w:eastAsia="楷体_GB2312"/>
          <w:sz w:val="24"/>
          <w:szCs w:val="28"/>
        </w:rPr>
      </w:pPr>
      <w:r>
        <w:rPr>
          <w:rFonts w:hint="eastAsia" w:ascii="楷体_GB2312" w:eastAsia="楷体_GB2312"/>
          <w:sz w:val="24"/>
          <w:szCs w:val="28"/>
        </w:rPr>
        <w:t>13.2本协议正本一式</w:t>
      </w:r>
      <w:r>
        <w:rPr>
          <w:rFonts w:hint="eastAsia" w:ascii="楷体_GB2312" w:eastAsia="楷体_GB2312"/>
          <w:sz w:val="24"/>
          <w:szCs w:val="28"/>
          <w:u w:val="single"/>
        </w:rPr>
        <w:t xml:space="preserve"> 贰  </w:t>
      </w:r>
      <w:r>
        <w:rPr>
          <w:rFonts w:hint="eastAsia" w:ascii="楷体_GB2312" w:eastAsia="楷体_GB2312"/>
          <w:sz w:val="24"/>
          <w:szCs w:val="28"/>
        </w:rPr>
        <w:t>份，投资者</w:t>
      </w:r>
      <w:r>
        <w:rPr>
          <w:rFonts w:hint="eastAsia" w:ascii="楷体_GB2312" w:eastAsia="楷体_GB2312"/>
          <w:sz w:val="24"/>
          <w:szCs w:val="28"/>
          <w:u w:val="single"/>
        </w:rPr>
        <w:t xml:space="preserve">  </w:t>
      </w:r>
      <w:r>
        <w:rPr>
          <w:rFonts w:hint="eastAsia" w:ascii="楷体_GB2312" w:eastAsia="楷体_GB2312"/>
          <w:bCs/>
          <w:sz w:val="24"/>
          <w:szCs w:val="28"/>
          <w:u w:val="single"/>
        </w:rPr>
        <w:t>壹</w:t>
      </w:r>
      <w:r>
        <w:rPr>
          <w:rFonts w:hint="eastAsia" w:ascii="楷体_GB2312" w:eastAsia="楷体_GB2312"/>
          <w:sz w:val="24"/>
          <w:szCs w:val="28"/>
          <w:u w:val="single"/>
        </w:rPr>
        <w:t xml:space="preserve"> </w:t>
      </w:r>
      <w:r>
        <w:rPr>
          <w:rFonts w:hint="eastAsia" w:ascii="楷体_GB2312" w:eastAsia="楷体_GB2312"/>
          <w:sz w:val="24"/>
          <w:szCs w:val="28"/>
        </w:rPr>
        <w:t>份，信银理财</w:t>
      </w:r>
      <w:r>
        <w:rPr>
          <w:rFonts w:hint="eastAsia" w:ascii="楷体_GB2312" w:eastAsia="楷体_GB2312"/>
          <w:sz w:val="24"/>
          <w:szCs w:val="28"/>
          <w:u w:val="single"/>
        </w:rPr>
        <w:t xml:space="preserve">  </w:t>
      </w:r>
      <w:r>
        <w:rPr>
          <w:rFonts w:hint="eastAsia" w:ascii="楷体_GB2312" w:eastAsia="楷体_GB2312"/>
          <w:bCs/>
          <w:sz w:val="24"/>
          <w:szCs w:val="28"/>
          <w:u w:val="single"/>
        </w:rPr>
        <w:t>壹</w:t>
      </w:r>
      <w:r>
        <w:rPr>
          <w:rFonts w:hint="eastAsia" w:ascii="楷体_GB2312" w:eastAsia="楷体_GB2312"/>
          <w:sz w:val="24"/>
          <w:szCs w:val="28"/>
          <w:u w:val="single"/>
        </w:rPr>
        <w:t xml:space="preserve"> </w:t>
      </w:r>
      <w:r>
        <w:rPr>
          <w:rFonts w:hint="eastAsia" w:ascii="楷体_GB2312" w:eastAsia="楷体_GB2312"/>
          <w:sz w:val="24"/>
          <w:szCs w:val="28"/>
        </w:rPr>
        <w:t>份，具有同等法律效力，双方遵照执行。</w:t>
      </w:r>
    </w:p>
    <w:p w14:paraId="29E2BB81">
      <w:pPr>
        <w:snapToGrid w:val="0"/>
        <w:spacing w:line="360" w:lineRule="auto"/>
        <w:rPr>
          <w:rFonts w:ascii="楷体_GB2312" w:eastAsia="楷体_GB2312"/>
          <w:sz w:val="24"/>
          <w:szCs w:val="28"/>
        </w:rPr>
      </w:pPr>
      <w:r>
        <w:rPr>
          <w:rFonts w:hint="eastAsia" w:ascii="楷体_GB2312" w:eastAsia="楷体_GB2312"/>
          <w:sz w:val="24"/>
          <w:szCs w:val="28"/>
        </w:rPr>
        <w:t>13.3如因业务需要须由信银理财或信银理财其他机构履行理财产品项下的权利及义务的，投资者对此表示认可。</w:t>
      </w:r>
    </w:p>
    <w:p w14:paraId="3775007F">
      <w:pPr>
        <w:snapToGrid w:val="0"/>
        <w:spacing w:line="360" w:lineRule="auto"/>
        <w:rPr>
          <w:rFonts w:ascii="楷体_GB2312" w:eastAsia="楷体_GB2312"/>
          <w:sz w:val="24"/>
          <w:szCs w:val="28"/>
        </w:rPr>
      </w:pPr>
      <w:r>
        <w:rPr>
          <w:rFonts w:hint="eastAsia" w:ascii="楷体_GB2312" w:eastAsia="楷体_GB2312"/>
          <w:b/>
          <w:bCs/>
          <w:sz w:val="24"/>
          <w:szCs w:val="28"/>
        </w:rPr>
        <w:t>13.4信银理财已采取合理方式提请投资者注意本协议项下免除或限制其责任的条款，并按投资者要求对有关条款予以充分说明；双方对本协议所有条款内容的理解不存在异议。</w:t>
      </w:r>
    </w:p>
    <w:p w14:paraId="0680F374">
      <w:pPr>
        <w:snapToGrid w:val="0"/>
        <w:spacing w:line="360" w:lineRule="auto"/>
        <w:rPr>
          <w:rFonts w:ascii="楷体_GB2312" w:eastAsia="楷体_GB2312"/>
          <w:bCs/>
          <w:sz w:val="24"/>
          <w:szCs w:val="28"/>
        </w:rPr>
      </w:pPr>
      <w:r>
        <w:rPr>
          <w:rFonts w:hint="eastAsia" w:ascii="楷体_GB2312" w:eastAsia="楷体_GB2312"/>
          <w:bCs/>
          <w:sz w:val="24"/>
          <w:szCs w:val="28"/>
        </w:rPr>
        <w:t>13.5客户权益须知书为本协议附件，为本协议不可分割的部分。</w:t>
      </w:r>
    </w:p>
    <w:p w14:paraId="74ED4D78">
      <w:pPr>
        <w:snapToGrid w:val="0"/>
        <w:spacing w:line="360" w:lineRule="auto"/>
        <w:rPr>
          <w:rFonts w:ascii="楷体_GB2312" w:eastAsia="楷体_GB2312"/>
          <w:bCs/>
          <w:sz w:val="24"/>
          <w:szCs w:val="28"/>
        </w:rPr>
      </w:pPr>
      <w:r>
        <w:rPr>
          <w:rFonts w:hint="eastAsia" w:ascii="楷体_GB2312" w:eastAsia="楷体_GB2312"/>
          <w:bCs/>
          <w:sz w:val="24"/>
          <w:szCs w:val="28"/>
        </w:rPr>
        <w:t>13.6投资者应遵守中华人民共和国反洗钱法律法规，不参与涉嫌洗钱、恐怖融资、扩散融资等违法犯罪活动；主动配合信银理财客户身份识别与尽职调查，提供真实、准确、完整客户资料，遵守信银理财反洗钱与反恐怖融资相关管理规定。对具备合理理由怀疑涉嫌洗钱、恐怖融资的客户，信银理财将按照中国人民银行反洗钱监管规定采取必要管控措施。</w:t>
      </w:r>
    </w:p>
    <w:p w14:paraId="2537F411">
      <w:pPr>
        <w:snapToGrid w:val="0"/>
        <w:spacing w:line="360" w:lineRule="auto"/>
        <w:rPr>
          <w:rFonts w:ascii="楷体_GB2312" w:eastAsia="楷体_GB2312"/>
          <w:bCs/>
          <w:sz w:val="24"/>
          <w:szCs w:val="28"/>
        </w:rPr>
      </w:pPr>
      <w:r>
        <w:rPr>
          <w:rFonts w:hint="eastAsia" w:ascii="楷体_GB2312" w:eastAsia="楷体_GB2312"/>
          <w:bCs/>
          <w:sz w:val="24"/>
          <w:szCs w:val="28"/>
        </w:rPr>
        <w:t>（以下无正文）</w:t>
      </w:r>
    </w:p>
    <w:p w14:paraId="2C2CDAD8">
      <w:pPr>
        <w:widowControl/>
        <w:jc w:val="left"/>
        <w:rPr>
          <w:rFonts w:ascii="黑体" w:eastAsia="黑体"/>
          <w:color w:val="000000"/>
          <w:sz w:val="24"/>
          <w:szCs w:val="24"/>
        </w:rPr>
      </w:pPr>
      <w:r>
        <w:rPr>
          <w:rFonts w:ascii="黑体" w:eastAsia="黑体"/>
          <w:color w:val="000000"/>
          <w:sz w:val="24"/>
          <w:szCs w:val="24"/>
        </w:rPr>
        <w:br w:type="page"/>
      </w:r>
    </w:p>
    <w:p w14:paraId="68D2DCE7">
      <w:pPr>
        <w:rPr>
          <w:rFonts w:ascii="黑体" w:eastAsia="黑体"/>
          <w:color w:val="000000"/>
          <w:sz w:val="24"/>
          <w:szCs w:val="24"/>
        </w:rPr>
      </w:pPr>
    </w:p>
    <w:p w14:paraId="441DE446">
      <w:pPr>
        <w:snapToGrid w:val="0"/>
        <w:spacing w:line="360" w:lineRule="auto"/>
        <w:rPr>
          <w:rFonts w:ascii="楷体_GB2312" w:eastAsia="楷体_GB2312"/>
          <w:b/>
          <w:bCs/>
          <w:sz w:val="24"/>
          <w:szCs w:val="28"/>
        </w:rPr>
      </w:pPr>
      <w:r>
        <w:rPr>
          <w:rFonts w:hint="eastAsia" w:ascii="黑体" w:eastAsia="黑体"/>
          <w:color w:val="000000"/>
          <w:sz w:val="24"/>
          <w:szCs w:val="24"/>
        </w:rPr>
        <w:t>【</w:t>
      </w:r>
      <w:r>
        <w:rPr>
          <w:rFonts w:hint="eastAsia" w:ascii="楷体_GB2312" w:eastAsia="楷体_GB2312"/>
          <w:b/>
          <w:bCs/>
          <w:sz w:val="24"/>
          <w:szCs w:val="28"/>
        </w:rPr>
        <w:t>信银理财重要提示：贵方（投资者）在本协议上签字</w:t>
      </w:r>
      <w:r>
        <w:rPr>
          <w:rFonts w:ascii="楷体_GB2312" w:eastAsia="楷体_GB2312"/>
          <w:b/>
          <w:bCs/>
          <w:sz w:val="24"/>
          <w:szCs w:val="28"/>
        </w:rPr>
        <w:t>/</w:t>
      </w:r>
      <w:r>
        <w:rPr>
          <w:rFonts w:hint="eastAsia" w:ascii="楷体_GB2312" w:eastAsia="楷体_GB2312"/>
          <w:b/>
          <w:bCs/>
          <w:sz w:val="24"/>
          <w:szCs w:val="28"/>
        </w:rPr>
        <w:t>盖章即表示贵方已知晓并同意本协议及后附的《信银理财理财产品客户权益须知书》的全部内容，因此请贵方务必仔细阅读后再签署本协议】</w:t>
      </w:r>
    </w:p>
    <w:p w14:paraId="33801664">
      <w:pPr>
        <w:snapToGrid w:val="0"/>
        <w:spacing w:line="360" w:lineRule="auto"/>
        <w:rPr>
          <w:rFonts w:ascii="楷体_GB2312" w:eastAsia="楷体_GB2312"/>
          <w:b/>
          <w:bCs/>
          <w:sz w:val="24"/>
          <w:szCs w:val="28"/>
        </w:rPr>
      </w:pPr>
    </w:p>
    <w:p w14:paraId="0FCE7FD1">
      <w:pPr>
        <w:snapToGrid w:val="0"/>
        <w:spacing w:line="360" w:lineRule="auto"/>
        <w:rPr>
          <w:rFonts w:ascii="楷体_GB2312" w:eastAsia="楷体_GB2312"/>
          <w:b/>
          <w:bCs/>
          <w:sz w:val="24"/>
          <w:szCs w:val="28"/>
        </w:rPr>
      </w:pPr>
      <w:r>
        <w:rPr>
          <w:rFonts w:hint="eastAsia" w:ascii="楷体_GB2312" w:eastAsia="楷体_GB2312"/>
          <w:b/>
          <w:bCs/>
          <w:sz w:val="24"/>
          <w:szCs w:val="28"/>
        </w:rPr>
        <w:t>投资者（公章）</w:t>
      </w:r>
      <w:r>
        <w:rPr>
          <w:rFonts w:ascii="楷体_GB2312" w:eastAsia="楷体_GB2312"/>
          <w:b/>
          <w:bCs/>
          <w:sz w:val="24"/>
          <w:szCs w:val="28"/>
        </w:rPr>
        <w:t xml:space="preserve">                       </w:t>
      </w:r>
      <w:r>
        <w:rPr>
          <w:rFonts w:hint="eastAsia" w:ascii="楷体_GB2312" w:eastAsia="楷体_GB2312"/>
          <w:b/>
          <w:bCs/>
          <w:sz w:val="24"/>
          <w:szCs w:val="28"/>
        </w:rPr>
        <w:t>信银理财（公章）</w:t>
      </w:r>
    </w:p>
    <w:p w14:paraId="3D7AA0C3">
      <w:pPr>
        <w:snapToGrid w:val="0"/>
        <w:spacing w:line="360" w:lineRule="auto"/>
        <w:rPr>
          <w:rFonts w:ascii="楷体_GB2312" w:eastAsia="楷体_GB2312"/>
          <w:b/>
          <w:bCs/>
          <w:sz w:val="24"/>
          <w:szCs w:val="28"/>
        </w:rPr>
      </w:pPr>
      <w:r>
        <w:rPr>
          <w:rFonts w:hint="eastAsia" w:ascii="楷体_GB2312" w:eastAsia="楷体_GB2312"/>
          <w:b/>
          <w:bCs/>
          <w:sz w:val="24"/>
          <w:szCs w:val="28"/>
        </w:rPr>
        <w:t>法定代表人：</w:t>
      </w:r>
      <w:r>
        <w:rPr>
          <w:rFonts w:ascii="楷体_GB2312" w:eastAsia="楷体_GB2312"/>
          <w:b/>
          <w:bCs/>
          <w:sz w:val="24"/>
          <w:szCs w:val="28"/>
        </w:rPr>
        <w:t xml:space="preserve">                         </w:t>
      </w:r>
      <w:r>
        <w:rPr>
          <w:rFonts w:hint="eastAsia" w:ascii="楷体_GB2312" w:eastAsia="楷体_GB2312"/>
          <w:b/>
          <w:bCs/>
          <w:sz w:val="24"/>
          <w:szCs w:val="28"/>
        </w:rPr>
        <w:t>法定代表人</w:t>
      </w:r>
      <w:r>
        <w:rPr>
          <w:rFonts w:ascii="楷体_GB2312" w:eastAsia="楷体_GB2312"/>
          <w:b/>
          <w:bCs/>
          <w:sz w:val="24"/>
          <w:szCs w:val="28"/>
        </w:rPr>
        <w:t>/</w:t>
      </w:r>
      <w:r>
        <w:rPr>
          <w:rFonts w:hint="eastAsia" w:ascii="楷体_GB2312" w:eastAsia="楷体_GB2312"/>
          <w:b/>
          <w:bCs/>
          <w:sz w:val="24"/>
          <w:szCs w:val="28"/>
        </w:rPr>
        <w:t>负责人：</w:t>
      </w:r>
    </w:p>
    <w:p w14:paraId="3F0BB06F">
      <w:pPr>
        <w:snapToGrid w:val="0"/>
        <w:spacing w:line="360" w:lineRule="auto"/>
        <w:rPr>
          <w:rFonts w:ascii="楷体_GB2312" w:eastAsia="楷体_GB2312"/>
          <w:b/>
          <w:bCs/>
          <w:sz w:val="24"/>
          <w:szCs w:val="28"/>
        </w:rPr>
      </w:pPr>
      <w:r>
        <w:rPr>
          <w:rFonts w:hint="eastAsia" w:ascii="楷体_GB2312" w:eastAsia="楷体_GB2312"/>
          <w:b/>
          <w:bCs/>
          <w:sz w:val="24"/>
          <w:szCs w:val="28"/>
        </w:rPr>
        <w:t>（或授权代理人）</w:t>
      </w:r>
      <w:r>
        <w:rPr>
          <w:rFonts w:ascii="楷体_GB2312" w:eastAsia="楷体_GB2312"/>
          <w:b/>
          <w:bCs/>
          <w:sz w:val="24"/>
          <w:szCs w:val="28"/>
        </w:rPr>
        <w:t xml:space="preserve">                     (</w:t>
      </w:r>
      <w:r>
        <w:rPr>
          <w:rFonts w:hint="eastAsia" w:ascii="楷体_GB2312" w:eastAsia="楷体_GB2312"/>
          <w:b/>
          <w:bCs/>
          <w:sz w:val="24"/>
          <w:szCs w:val="28"/>
        </w:rPr>
        <w:t>或授权代理人</w:t>
      </w:r>
      <w:r>
        <w:rPr>
          <w:rFonts w:ascii="楷体_GB2312" w:eastAsia="楷体_GB2312"/>
          <w:b/>
          <w:bCs/>
          <w:sz w:val="24"/>
          <w:szCs w:val="28"/>
        </w:rPr>
        <w:t>)</w:t>
      </w:r>
    </w:p>
    <w:p w14:paraId="05D105DB">
      <w:pPr>
        <w:snapToGrid w:val="0"/>
        <w:spacing w:line="360" w:lineRule="auto"/>
        <w:rPr>
          <w:rFonts w:ascii="楷体_GB2312" w:eastAsia="楷体_GB2312"/>
          <w:b/>
          <w:bCs/>
          <w:sz w:val="24"/>
          <w:szCs w:val="28"/>
        </w:rPr>
      </w:pPr>
      <w:r>
        <w:rPr>
          <w:rFonts w:ascii="楷体_GB2312" w:eastAsia="楷体_GB2312"/>
          <w:b/>
          <w:bCs/>
          <w:sz w:val="24"/>
          <w:szCs w:val="28"/>
        </w:rPr>
        <w:br w:type="page"/>
      </w:r>
    </w:p>
    <w:p w14:paraId="743AB10C">
      <w:pPr>
        <w:snapToGrid w:val="0"/>
        <w:spacing w:line="360" w:lineRule="auto"/>
        <w:rPr>
          <w:rFonts w:ascii="楷体_GB2312" w:eastAsia="楷体_GB2312"/>
          <w:b/>
          <w:bCs/>
          <w:sz w:val="24"/>
          <w:szCs w:val="28"/>
        </w:rPr>
      </w:pPr>
      <w:r>
        <w:rPr>
          <w:rFonts w:hint="eastAsia" w:ascii="楷体_GB2312" w:eastAsia="楷体_GB2312"/>
          <w:b/>
          <w:bCs/>
          <w:sz w:val="24"/>
          <w:szCs w:val="28"/>
        </w:rPr>
        <w:t>附件：客户权益须知专页</w:t>
      </w:r>
    </w:p>
    <w:p w14:paraId="4E461387">
      <w:pPr>
        <w:snapToGrid w:val="0"/>
        <w:spacing w:line="360" w:lineRule="auto"/>
        <w:jc w:val="center"/>
        <w:rPr>
          <w:rFonts w:ascii="楷体_GB2312" w:eastAsia="楷体_GB2312"/>
          <w:b/>
          <w:bCs/>
          <w:sz w:val="24"/>
          <w:szCs w:val="28"/>
        </w:rPr>
      </w:pPr>
      <w:r>
        <w:rPr>
          <w:rFonts w:hint="eastAsia" w:ascii="楷体_GB2312" w:eastAsia="楷体_GB2312"/>
          <w:b/>
          <w:bCs/>
          <w:sz w:val="24"/>
          <w:szCs w:val="28"/>
        </w:rPr>
        <w:t>信银理财理财产品客户权益须知书</w:t>
      </w:r>
    </w:p>
    <w:p w14:paraId="44236FE3">
      <w:pPr>
        <w:spacing w:line="360" w:lineRule="auto"/>
        <w:rPr>
          <w:rFonts w:ascii="楷体_GB2312" w:hAnsi="宋体" w:eastAsia="楷体_GB2312" w:cs="宋体"/>
          <w:color w:val="000000"/>
          <w:sz w:val="24"/>
          <w:szCs w:val="24"/>
        </w:rPr>
      </w:pPr>
      <w:r>
        <w:rPr>
          <w:rFonts w:hint="eastAsia" w:ascii="楷体_GB2312" w:hAnsi="宋体" w:eastAsia="楷体_GB2312" w:cs="宋体"/>
          <w:color w:val="000000"/>
          <w:sz w:val="24"/>
          <w:szCs w:val="24"/>
        </w:rPr>
        <w:t>尊敬的客户：</w:t>
      </w:r>
    </w:p>
    <w:p w14:paraId="420A24AE">
      <w:pPr>
        <w:spacing w:line="360" w:lineRule="auto"/>
        <w:ind w:firstLine="480" w:firstLineChars="200"/>
        <w:rPr>
          <w:rFonts w:ascii="楷体_GB2312" w:hAnsi="宋体" w:eastAsia="楷体_GB2312" w:cs="宋体"/>
          <w:color w:val="000000"/>
          <w:sz w:val="24"/>
          <w:szCs w:val="24"/>
        </w:rPr>
      </w:pPr>
      <w:r>
        <w:rPr>
          <w:rFonts w:hint="eastAsia" w:ascii="楷体_GB2312" w:hAnsi="宋体" w:eastAsia="楷体_GB2312" w:cs="宋体"/>
          <w:color w:val="000000"/>
          <w:sz w:val="24"/>
          <w:szCs w:val="24"/>
        </w:rPr>
        <w:t>信银理财</w:t>
      </w:r>
      <w:r>
        <w:rPr>
          <w:rFonts w:ascii="楷体_GB2312" w:hAnsi="宋体" w:eastAsia="楷体_GB2312" w:cs="宋体"/>
          <w:color w:val="000000"/>
          <w:sz w:val="24"/>
          <w:szCs w:val="24"/>
        </w:rPr>
        <w:t>有限责任公司</w:t>
      </w:r>
      <w:r>
        <w:rPr>
          <w:rFonts w:hint="eastAsia" w:ascii="楷体_GB2312" w:hAnsi="宋体" w:eastAsia="楷体_GB2312" w:cs="宋体"/>
          <w:color w:val="000000"/>
          <w:sz w:val="24"/>
          <w:szCs w:val="24"/>
        </w:rPr>
        <w:t>（简称</w:t>
      </w:r>
      <w:r>
        <w:rPr>
          <w:rFonts w:ascii="楷体_GB2312" w:hAnsi="宋体" w:eastAsia="楷体_GB2312" w:cs="宋体"/>
          <w:color w:val="000000"/>
          <w:sz w:val="24"/>
          <w:szCs w:val="24"/>
        </w:rPr>
        <w:t>“</w:t>
      </w:r>
      <w:r>
        <w:rPr>
          <w:rFonts w:hint="eastAsia" w:ascii="楷体_GB2312" w:hAnsi="宋体" w:eastAsia="楷体_GB2312" w:cs="宋体"/>
          <w:color w:val="000000"/>
          <w:sz w:val="24"/>
          <w:szCs w:val="24"/>
        </w:rPr>
        <w:t>信银</w:t>
      </w:r>
      <w:r>
        <w:rPr>
          <w:rFonts w:ascii="楷体_GB2312" w:hAnsi="宋体" w:eastAsia="楷体_GB2312" w:cs="宋体"/>
          <w:color w:val="000000"/>
          <w:sz w:val="24"/>
          <w:szCs w:val="24"/>
        </w:rPr>
        <w:t>理财”）为</w:t>
      </w:r>
      <w:r>
        <w:rPr>
          <w:rFonts w:hint="eastAsia" w:ascii="楷体_GB2312" w:hAnsi="宋体" w:eastAsia="楷体_GB2312" w:cs="宋体"/>
          <w:color w:val="000000"/>
          <w:sz w:val="24"/>
          <w:szCs w:val="24"/>
        </w:rPr>
        <w:t>中信</w:t>
      </w:r>
      <w:r>
        <w:rPr>
          <w:rFonts w:ascii="楷体_GB2312" w:hAnsi="宋体" w:eastAsia="楷体_GB2312" w:cs="宋体"/>
          <w:color w:val="000000"/>
          <w:sz w:val="24"/>
          <w:szCs w:val="24"/>
        </w:rPr>
        <w:t>银行股份有限公司经</w:t>
      </w:r>
      <w:r>
        <w:rPr>
          <w:rFonts w:hint="eastAsia" w:ascii="楷体_GB2312" w:hAnsi="宋体" w:eastAsia="楷体_GB2312" w:cs="宋体"/>
          <w:color w:val="000000"/>
          <w:sz w:val="24"/>
          <w:szCs w:val="24"/>
        </w:rPr>
        <w:t>国务院银行业监督管理机构</w:t>
      </w:r>
      <w:r>
        <w:rPr>
          <w:rFonts w:ascii="楷体_GB2312" w:hAnsi="宋体" w:eastAsia="楷体_GB2312" w:cs="宋体"/>
          <w:color w:val="000000"/>
          <w:sz w:val="24"/>
          <w:szCs w:val="24"/>
        </w:rPr>
        <w:t>批准</w:t>
      </w:r>
      <w:r>
        <w:rPr>
          <w:rFonts w:hint="eastAsia" w:ascii="楷体_GB2312" w:hAnsi="宋体" w:eastAsia="楷体_GB2312" w:cs="宋体"/>
          <w:color w:val="000000"/>
          <w:sz w:val="24"/>
          <w:szCs w:val="24"/>
        </w:rPr>
        <w:t>设立</w:t>
      </w:r>
      <w:r>
        <w:rPr>
          <w:rFonts w:ascii="楷体_GB2312" w:hAnsi="宋体" w:eastAsia="楷体_GB2312" w:cs="宋体"/>
          <w:color w:val="000000"/>
          <w:sz w:val="24"/>
          <w:szCs w:val="24"/>
        </w:rPr>
        <w:t>的主要从事理财业务的金融机构。</w:t>
      </w:r>
      <w:r>
        <w:rPr>
          <w:rFonts w:hint="eastAsia" w:ascii="楷体_GB2312" w:hAnsi="宋体" w:eastAsia="楷体_GB2312" w:cs="宋体"/>
          <w:color w:val="000000"/>
          <w:sz w:val="24"/>
          <w:szCs w:val="24"/>
        </w:rPr>
        <w:t>信银</w:t>
      </w:r>
      <w:r>
        <w:rPr>
          <w:rFonts w:ascii="楷体_GB2312" w:hAnsi="宋体" w:eastAsia="楷体_GB2312" w:cs="宋体"/>
          <w:color w:val="000000"/>
          <w:sz w:val="24"/>
          <w:szCs w:val="24"/>
        </w:rPr>
        <w:t>理财开展的理财业务</w:t>
      </w:r>
      <w:r>
        <w:rPr>
          <w:rFonts w:hint="eastAsia" w:ascii="楷体_GB2312" w:hAnsi="宋体" w:eastAsia="楷体_GB2312" w:cs="宋体"/>
          <w:color w:val="000000"/>
          <w:sz w:val="24"/>
          <w:szCs w:val="24"/>
        </w:rPr>
        <w:t>指</w:t>
      </w:r>
      <w:r>
        <w:rPr>
          <w:rFonts w:ascii="楷体_GB2312" w:hAnsi="宋体" w:eastAsia="楷体_GB2312" w:cs="宋体"/>
          <w:color w:val="000000"/>
          <w:sz w:val="24"/>
          <w:szCs w:val="24"/>
        </w:rPr>
        <w:t>信银理财接受投资者委托，按照与投资者约定的投资策略、风险承担和收益分配方式，对受托的投资者财产进行投资和管理的金融服务。</w:t>
      </w:r>
      <w:r>
        <w:rPr>
          <w:rFonts w:hint="eastAsia" w:ascii="楷体_GB2312" w:hAnsi="宋体" w:eastAsia="楷体_GB2312" w:cs="宋体"/>
          <w:color w:val="000000"/>
          <w:sz w:val="24"/>
          <w:szCs w:val="24"/>
        </w:rPr>
        <w:t>信银</w:t>
      </w:r>
      <w:r>
        <w:rPr>
          <w:rFonts w:ascii="楷体_GB2312" w:hAnsi="宋体" w:eastAsia="楷体_GB2312" w:cs="宋体"/>
          <w:color w:val="000000"/>
          <w:sz w:val="24"/>
          <w:szCs w:val="24"/>
        </w:rPr>
        <w:t>理财</w:t>
      </w:r>
      <w:r>
        <w:rPr>
          <w:rFonts w:hint="eastAsia" w:ascii="楷体_GB2312" w:hAnsi="宋体" w:eastAsia="楷体_GB2312" w:cs="宋体"/>
          <w:color w:val="000000"/>
          <w:sz w:val="24"/>
          <w:szCs w:val="24"/>
        </w:rPr>
        <w:t>理财</w:t>
      </w:r>
      <w:r>
        <w:rPr>
          <w:rFonts w:ascii="楷体_GB2312" w:hAnsi="宋体" w:eastAsia="楷体_GB2312" w:cs="宋体"/>
          <w:color w:val="000000"/>
          <w:sz w:val="24"/>
          <w:szCs w:val="24"/>
        </w:rPr>
        <w:t>产品</w:t>
      </w:r>
      <w:r>
        <w:rPr>
          <w:rFonts w:hint="eastAsia" w:ascii="楷体_GB2312" w:hAnsi="宋体" w:eastAsia="楷体_GB2312" w:cs="宋体"/>
          <w:color w:val="000000"/>
          <w:sz w:val="24"/>
          <w:szCs w:val="24"/>
        </w:rPr>
        <w:t>是</w:t>
      </w:r>
      <w:r>
        <w:rPr>
          <w:rFonts w:ascii="楷体_GB2312" w:hAnsi="宋体" w:eastAsia="楷体_GB2312" w:cs="宋体"/>
          <w:color w:val="000000"/>
          <w:sz w:val="24"/>
          <w:szCs w:val="24"/>
        </w:rPr>
        <w:t>指信银理财</w:t>
      </w:r>
      <w:r>
        <w:rPr>
          <w:rFonts w:hint="eastAsia" w:ascii="楷体_GB2312" w:hAnsi="宋体" w:eastAsia="楷体_GB2312" w:cs="宋体"/>
          <w:color w:val="000000"/>
          <w:sz w:val="24"/>
          <w:szCs w:val="24"/>
        </w:rPr>
        <w:t>按照</w:t>
      </w:r>
      <w:r>
        <w:rPr>
          <w:rFonts w:ascii="楷体_GB2312" w:hAnsi="宋体" w:eastAsia="楷体_GB2312" w:cs="宋体"/>
          <w:color w:val="000000"/>
          <w:sz w:val="24"/>
          <w:szCs w:val="24"/>
        </w:rPr>
        <w:t>约定条件和实际投资收益情况向投资者支付收益、不保证本金支付和收益水平的非保本理财产品。</w:t>
      </w:r>
      <w:r>
        <w:rPr>
          <w:rFonts w:hint="eastAsia" w:ascii="楷体_GB2312" w:hAnsi="宋体" w:eastAsia="楷体_GB2312" w:cs="宋体"/>
          <w:color w:val="000000"/>
          <w:sz w:val="24"/>
          <w:szCs w:val="24"/>
        </w:rPr>
        <w:t>根据募集</w:t>
      </w:r>
      <w:r>
        <w:rPr>
          <w:rFonts w:ascii="楷体_GB2312" w:hAnsi="宋体" w:eastAsia="楷体_GB2312" w:cs="宋体"/>
          <w:color w:val="000000"/>
          <w:sz w:val="24"/>
          <w:szCs w:val="24"/>
        </w:rPr>
        <w:t>方式、</w:t>
      </w:r>
      <w:r>
        <w:rPr>
          <w:rFonts w:hint="eastAsia" w:ascii="楷体_GB2312" w:hAnsi="宋体" w:eastAsia="楷体_GB2312" w:cs="宋体"/>
          <w:color w:val="000000"/>
          <w:sz w:val="24"/>
          <w:szCs w:val="24"/>
        </w:rPr>
        <w:t>运作</w:t>
      </w:r>
      <w:r>
        <w:rPr>
          <w:rFonts w:ascii="楷体_GB2312" w:hAnsi="宋体" w:eastAsia="楷体_GB2312" w:cs="宋体"/>
          <w:color w:val="000000"/>
          <w:sz w:val="24"/>
          <w:szCs w:val="24"/>
        </w:rPr>
        <w:t>方式、投资</w:t>
      </w:r>
      <w:r>
        <w:rPr>
          <w:rFonts w:hint="eastAsia" w:ascii="楷体_GB2312" w:hAnsi="宋体" w:eastAsia="楷体_GB2312" w:cs="宋体"/>
          <w:color w:val="000000"/>
          <w:sz w:val="24"/>
          <w:szCs w:val="24"/>
        </w:rPr>
        <w:t>性质</w:t>
      </w:r>
      <w:r>
        <w:rPr>
          <w:rFonts w:ascii="楷体_GB2312" w:hAnsi="宋体" w:eastAsia="楷体_GB2312" w:cs="宋体"/>
          <w:color w:val="000000"/>
          <w:sz w:val="24"/>
          <w:szCs w:val="24"/>
        </w:rPr>
        <w:t>的不同，理财产品分为多种类型</w:t>
      </w:r>
      <w:r>
        <w:rPr>
          <w:rFonts w:hint="eastAsia" w:ascii="楷体_GB2312" w:hAnsi="宋体" w:eastAsia="楷体_GB2312" w:cs="宋体"/>
          <w:color w:val="000000"/>
          <w:sz w:val="24"/>
          <w:szCs w:val="24"/>
        </w:rPr>
        <w:t>（具体</w:t>
      </w:r>
      <w:r>
        <w:rPr>
          <w:rFonts w:ascii="楷体_GB2312" w:hAnsi="宋体" w:eastAsia="楷体_GB2312" w:cs="宋体"/>
          <w:color w:val="000000"/>
          <w:sz w:val="24"/>
          <w:szCs w:val="24"/>
        </w:rPr>
        <w:t>产品类型在</w:t>
      </w:r>
      <w:r>
        <w:rPr>
          <w:rFonts w:hint="eastAsia" w:ascii="楷体_GB2312" w:hAnsi="宋体" w:eastAsia="楷体_GB2312" w:cs="宋体"/>
          <w:color w:val="000000"/>
          <w:sz w:val="24"/>
          <w:szCs w:val="24"/>
        </w:rPr>
        <w:t>《产品</w:t>
      </w:r>
      <w:r>
        <w:rPr>
          <w:rFonts w:ascii="楷体_GB2312" w:hAnsi="宋体" w:eastAsia="楷体_GB2312" w:cs="宋体"/>
          <w:color w:val="000000"/>
          <w:sz w:val="24"/>
          <w:szCs w:val="24"/>
        </w:rPr>
        <w:t>说明书</w:t>
      </w:r>
      <w:r>
        <w:rPr>
          <w:rFonts w:hint="eastAsia" w:ascii="楷体_GB2312" w:hAnsi="宋体" w:eastAsia="楷体_GB2312" w:cs="宋体"/>
          <w:color w:val="000000"/>
          <w:sz w:val="24"/>
          <w:szCs w:val="24"/>
        </w:rPr>
        <w:t>》</w:t>
      </w:r>
      <w:r>
        <w:rPr>
          <w:rFonts w:ascii="楷体_GB2312" w:hAnsi="宋体" w:eastAsia="楷体_GB2312" w:cs="宋体"/>
          <w:color w:val="000000"/>
          <w:sz w:val="24"/>
          <w:szCs w:val="24"/>
        </w:rPr>
        <w:t>中列示）</w:t>
      </w:r>
      <w:r>
        <w:rPr>
          <w:rFonts w:hint="eastAsia" w:ascii="楷体_GB2312" w:hAnsi="宋体" w:eastAsia="楷体_GB2312" w:cs="宋体"/>
          <w:color w:val="000000"/>
          <w:sz w:val="24"/>
          <w:szCs w:val="24"/>
        </w:rPr>
        <w:t>，请贵方充分认识不同</w:t>
      </w:r>
      <w:bookmarkStart w:id="2" w:name="_GoBack"/>
      <w:bookmarkEnd w:id="2"/>
      <w:r>
        <w:rPr>
          <w:rFonts w:hint="eastAsia" w:ascii="楷体_GB2312" w:hAnsi="宋体" w:eastAsia="楷体_GB2312" w:cs="宋体"/>
          <w:color w:val="000000"/>
          <w:sz w:val="24"/>
          <w:szCs w:val="24"/>
        </w:rPr>
        <w:t>类型产品的投资风险，谨慎投资。</w:t>
      </w:r>
    </w:p>
    <w:p w14:paraId="53CB0C26">
      <w:pPr>
        <w:spacing w:line="360" w:lineRule="auto"/>
        <w:ind w:firstLine="480" w:firstLineChars="200"/>
        <w:rPr>
          <w:rFonts w:ascii="楷体" w:hAnsi="楷体" w:eastAsia="楷体" w:cs="楷体"/>
          <w:color w:val="000000"/>
          <w:sz w:val="24"/>
          <w:szCs w:val="24"/>
        </w:rPr>
      </w:pPr>
      <w:r>
        <w:rPr>
          <w:rFonts w:hint="eastAsia" w:ascii="楷体" w:hAnsi="楷体" w:eastAsia="楷体" w:cs="楷体"/>
          <w:color w:val="000000"/>
          <w:sz w:val="24"/>
          <w:szCs w:val="24"/>
        </w:rPr>
        <w:t>一、贵方认购理财产品流程如下：</w:t>
      </w:r>
    </w:p>
    <w:p w14:paraId="4911ED35">
      <w:pPr>
        <w:spacing w:line="360" w:lineRule="auto"/>
        <w:rPr>
          <w:rFonts w:ascii="楷体" w:hAnsi="楷体" w:eastAsia="楷体" w:cs="楷体"/>
          <w:color w:val="000000"/>
          <w:sz w:val="24"/>
          <w:szCs w:val="24"/>
        </w:rPr>
      </w:pPr>
      <w:r>
        <w:rPr>
          <w:rFonts w:ascii="楷体" w:hAnsi="楷体" w:eastAsia="楷体" w:cs="楷体"/>
          <w:color w:val="000000"/>
          <w:sz w:val="24"/>
          <w:szCs w:val="24"/>
        </w:rPr>
        <w:drawing>
          <wp:inline distT="0" distB="0" distL="0" distR="0">
            <wp:extent cx="5274310" cy="378460"/>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274310" cy="378460"/>
                    </a:xfrm>
                    <a:prstGeom prst="rect">
                      <a:avLst/>
                    </a:prstGeom>
                  </pic:spPr>
                </pic:pic>
              </a:graphicData>
            </a:graphic>
          </wp:inline>
        </w:drawing>
      </w:r>
    </w:p>
    <w:p w14:paraId="57DC2C8D">
      <w:pPr>
        <w:widowControl/>
        <w:spacing w:line="360" w:lineRule="auto"/>
        <w:ind w:firstLine="480" w:firstLineChars="200"/>
        <w:jc w:val="left"/>
        <w:rPr>
          <w:rFonts w:ascii="楷体" w:hAnsi="楷体" w:eastAsia="楷体" w:cs="楷体"/>
          <w:bCs/>
          <w:color w:val="2F2F2F"/>
          <w:kern w:val="0"/>
          <w:sz w:val="24"/>
        </w:rPr>
      </w:pPr>
      <w:r>
        <w:rPr>
          <w:rFonts w:ascii="楷体" w:hAnsi="楷体" w:eastAsia="楷体" w:cs="楷体"/>
          <w:bCs/>
          <w:color w:val="2F2F2F"/>
          <w:kern w:val="0"/>
          <w:sz w:val="24"/>
        </w:rPr>
        <w:t>说明：详细操作流程请</w:t>
      </w:r>
      <w:r>
        <w:rPr>
          <w:rFonts w:hint="eastAsia" w:ascii="楷体" w:hAnsi="楷体" w:eastAsia="楷体" w:cs="楷体"/>
          <w:bCs/>
          <w:color w:val="2F2F2F"/>
          <w:kern w:val="0"/>
          <w:sz w:val="24"/>
        </w:rPr>
        <w:t>通过客户服务热线（</w:t>
      </w:r>
      <w:r>
        <w:rPr>
          <w:rFonts w:hint="eastAsia" w:ascii="楷体_GB2312" w:hAnsi="宋体" w:eastAsia="楷体_GB2312" w:cs="宋体"/>
          <w:bCs/>
          <w:color w:val="2F2F2F"/>
          <w:kern w:val="0"/>
          <w:sz w:val="24"/>
        </w:rPr>
        <w:t>950950</w:t>
      </w:r>
      <w:r>
        <w:rPr>
          <w:rFonts w:hint="eastAsia" w:ascii="楷体" w:hAnsi="楷体" w:eastAsia="楷体" w:cs="楷体"/>
          <w:bCs/>
          <w:color w:val="2F2F2F"/>
          <w:kern w:val="0"/>
          <w:sz w:val="24"/>
        </w:rPr>
        <w:t>）、营业场所咨询信银理财</w:t>
      </w:r>
      <w:r>
        <w:rPr>
          <w:rFonts w:ascii="楷体" w:hAnsi="楷体" w:eastAsia="楷体" w:cs="楷体"/>
          <w:bCs/>
          <w:color w:val="2F2F2F"/>
          <w:kern w:val="0"/>
          <w:sz w:val="24"/>
        </w:rPr>
        <w:t>。</w:t>
      </w:r>
    </w:p>
    <w:p w14:paraId="4699D76C">
      <w:pPr>
        <w:spacing w:line="360" w:lineRule="auto"/>
        <w:ind w:firstLine="480" w:firstLineChars="200"/>
        <w:rPr>
          <w:rFonts w:ascii="楷体" w:hAnsi="楷体" w:eastAsia="楷体" w:cs="楷体"/>
          <w:color w:val="000000"/>
          <w:sz w:val="24"/>
          <w:szCs w:val="24"/>
        </w:rPr>
      </w:pPr>
      <w:r>
        <w:rPr>
          <w:rFonts w:hint="eastAsia" w:ascii="楷体" w:hAnsi="楷体" w:eastAsia="楷体" w:cs="楷体"/>
          <w:color w:val="000000"/>
          <w:sz w:val="24"/>
          <w:szCs w:val="24"/>
        </w:rPr>
        <w:t>二、信银理财理财产品风险评级具体含义及</w:t>
      </w:r>
      <w:r>
        <w:rPr>
          <w:rFonts w:ascii="楷体" w:hAnsi="楷体" w:eastAsia="楷体" w:cs="楷体"/>
          <w:color w:val="000000"/>
          <w:sz w:val="24"/>
          <w:szCs w:val="24"/>
        </w:rPr>
        <w:t>与投资者类型对应关系</w:t>
      </w:r>
    </w:p>
    <w:tbl>
      <w:tblPr>
        <w:tblStyle w:val="7"/>
        <w:tblW w:w="8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3578"/>
        <w:gridCol w:w="3398"/>
      </w:tblGrid>
      <w:tr w14:paraId="22C8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55" w:type="dxa"/>
          </w:tcPr>
          <w:p w14:paraId="754FDB6A">
            <w:pPr>
              <w:adjustRightInd w:val="0"/>
              <w:jc w:val="center"/>
              <w:textAlignment w:val="baseline"/>
              <w:outlineLvl w:val="0"/>
              <w:rPr>
                <w:rFonts w:ascii="楷体" w:hAnsi="楷体" w:eastAsia="楷体" w:cs="楷体"/>
                <w:b/>
                <w:color w:val="000000"/>
                <w:sz w:val="24"/>
                <w:szCs w:val="24"/>
              </w:rPr>
            </w:pPr>
            <w:r>
              <w:rPr>
                <w:rFonts w:hint="eastAsia" w:ascii="楷体" w:hAnsi="楷体" w:eastAsia="楷体" w:cs="楷体"/>
                <w:b/>
                <w:color w:val="000000"/>
                <w:sz w:val="24"/>
                <w:szCs w:val="24"/>
              </w:rPr>
              <w:t>产品</w:t>
            </w:r>
            <w:r>
              <w:rPr>
                <w:rFonts w:ascii="楷体" w:hAnsi="楷体" w:eastAsia="楷体" w:cs="楷体"/>
                <w:b/>
                <w:color w:val="000000"/>
                <w:sz w:val="24"/>
                <w:szCs w:val="24"/>
              </w:rPr>
              <w:t>风险评级</w:t>
            </w:r>
          </w:p>
        </w:tc>
        <w:tc>
          <w:tcPr>
            <w:tcW w:w="3578" w:type="dxa"/>
            <w:vAlign w:val="center"/>
          </w:tcPr>
          <w:p w14:paraId="048C0418">
            <w:pPr>
              <w:adjustRightInd w:val="0"/>
              <w:jc w:val="center"/>
              <w:textAlignment w:val="baseline"/>
              <w:outlineLvl w:val="0"/>
              <w:rPr>
                <w:rFonts w:ascii="楷体" w:hAnsi="楷体" w:eastAsia="楷体" w:cs="楷体"/>
                <w:b/>
                <w:color w:val="000000"/>
                <w:sz w:val="24"/>
                <w:szCs w:val="24"/>
              </w:rPr>
            </w:pPr>
            <w:r>
              <w:rPr>
                <w:rFonts w:ascii="楷体" w:hAnsi="楷体" w:eastAsia="楷体" w:cs="楷体"/>
                <w:b/>
                <w:color w:val="000000"/>
                <w:sz w:val="24"/>
                <w:szCs w:val="24"/>
              </w:rPr>
              <w:t>风险程度</w:t>
            </w:r>
          </w:p>
        </w:tc>
        <w:tc>
          <w:tcPr>
            <w:tcW w:w="3398" w:type="dxa"/>
            <w:vAlign w:val="center"/>
          </w:tcPr>
          <w:p w14:paraId="51BF7493">
            <w:pPr>
              <w:adjustRightInd w:val="0"/>
              <w:jc w:val="center"/>
              <w:textAlignment w:val="baseline"/>
              <w:outlineLvl w:val="0"/>
              <w:rPr>
                <w:rFonts w:ascii="楷体" w:hAnsi="楷体" w:eastAsia="楷体" w:cs="楷体"/>
                <w:b/>
                <w:color w:val="000000"/>
                <w:sz w:val="24"/>
                <w:szCs w:val="24"/>
              </w:rPr>
            </w:pPr>
            <w:r>
              <w:rPr>
                <w:rFonts w:hint="eastAsia" w:ascii="楷体" w:hAnsi="楷体" w:eastAsia="楷体" w:cs="楷体"/>
                <w:b/>
                <w:color w:val="000000"/>
                <w:sz w:val="24"/>
                <w:szCs w:val="24"/>
              </w:rPr>
              <w:t>适合投资者类型</w:t>
            </w:r>
          </w:p>
        </w:tc>
      </w:tr>
      <w:tr w14:paraId="1284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55" w:type="dxa"/>
          </w:tcPr>
          <w:p w14:paraId="2273B3DC">
            <w:pPr>
              <w:adjustRightInd w:val="0"/>
              <w:jc w:val="center"/>
              <w:textAlignment w:val="baseline"/>
              <w:outlineLvl w:val="0"/>
              <w:rPr>
                <w:rFonts w:ascii="楷体" w:hAnsi="楷体" w:eastAsia="楷体" w:cs="楷体"/>
                <w:color w:val="000000"/>
                <w:sz w:val="21"/>
                <w:szCs w:val="21"/>
              </w:rPr>
            </w:pPr>
            <w:r>
              <w:rPr>
                <w:rFonts w:ascii="楷体" w:hAnsi="楷体" w:eastAsia="楷体" w:cs="楷体"/>
                <w:color w:val="000000"/>
                <w:sz w:val="21"/>
                <w:szCs w:val="21"/>
              </w:rPr>
              <w:t>PR1级</w:t>
            </w:r>
          </w:p>
        </w:tc>
        <w:tc>
          <w:tcPr>
            <w:tcW w:w="3578" w:type="dxa"/>
          </w:tcPr>
          <w:p w14:paraId="4A34F54B">
            <w:pPr>
              <w:adjustRightInd w:val="0"/>
              <w:jc w:val="center"/>
              <w:textAlignment w:val="baseline"/>
              <w:outlineLvl w:val="0"/>
              <w:rPr>
                <w:rFonts w:ascii="楷体" w:hAnsi="楷体" w:eastAsia="楷体" w:cs="楷体"/>
                <w:color w:val="000000"/>
                <w:sz w:val="21"/>
                <w:szCs w:val="21"/>
              </w:rPr>
            </w:pPr>
            <w:r>
              <w:rPr>
                <w:rFonts w:ascii="楷体" w:hAnsi="楷体" w:eastAsia="楷体" w:cs="楷体"/>
                <w:color w:val="000000"/>
                <w:sz w:val="21"/>
                <w:szCs w:val="21"/>
              </w:rPr>
              <w:t>低</w:t>
            </w:r>
          </w:p>
        </w:tc>
        <w:tc>
          <w:tcPr>
            <w:tcW w:w="3398" w:type="dxa"/>
            <w:vAlign w:val="center"/>
          </w:tcPr>
          <w:p w14:paraId="4E06828C">
            <w:pPr>
              <w:adjustRightInd w:val="0"/>
              <w:jc w:val="center"/>
              <w:textAlignment w:val="baseline"/>
              <w:outlineLvl w:val="0"/>
              <w:rPr>
                <w:rFonts w:ascii="楷体" w:hAnsi="楷体" w:eastAsia="楷体" w:cs="楷体"/>
                <w:color w:val="000000"/>
                <w:sz w:val="21"/>
                <w:szCs w:val="21"/>
              </w:rPr>
            </w:pPr>
            <w:r>
              <w:rPr>
                <w:rFonts w:hint="eastAsia" w:ascii="楷体" w:hAnsi="楷体" w:eastAsia="楷体" w:cs="楷体"/>
                <w:color w:val="000000"/>
                <w:sz w:val="21"/>
                <w:szCs w:val="21"/>
              </w:rPr>
              <w:t>谨慎型、稳健型、平衡型、进取型、激进型</w:t>
            </w:r>
          </w:p>
        </w:tc>
      </w:tr>
      <w:tr w14:paraId="6BD6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55" w:type="dxa"/>
          </w:tcPr>
          <w:p w14:paraId="067B2DAE">
            <w:pPr>
              <w:adjustRightInd w:val="0"/>
              <w:jc w:val="center"/>
              <w:textAlignment w:val="baseline"/>
              <w:outlineLvl w:val="0"/>
              <w:rPr>
                <w:rFonts w:ascii="楷体" w:hAnsi="楷体" w:eastAsia="楷体" w:cs="楷体"/>
                <w:color w:val="000000"/>
                <w:sz w:val="21"/>
                <w:szCs w:val="21"/>
              </w:rPr>
            </w:pPr>
            <w:r>
              <w:rPr>
                <w:rFonts w:ascii="楷体" w:hAnsi="楷体" w:eastAsia="楷体" w:cs="楷体"/>
                <w:color w:val="000000"/>
                <w:sz w:val="21"/>
                <w:szCs w:val="21"/>
              </w:rPr>
              <w:t>PR2级</w:t>
            </w:r>
          </w:p>
        </w:tc>
        <w:tc>
          <w:tcPr>
            <w:tcW w:w="3578" w:type="dxa"/>
          </w:tcPr>
          <w:p w14:paraId="7CA1958D">
            <w:pPr>
              <w:adjustRightInd w:val="0"/>
              <w:jc w:val="center"/>
              <w:textAlignment w:val="baseline"/>
              <w:outlineLvl w:val="0"/>
              <w:rPr>
                <w:rFonts w:ascii="楷体" w:hAnsi="楷体" w:eastAsia="楷体" w:cs="楷体"/>
                <w:color w:val="000000"/>
                <w:sz w:val="21"/>
                <w:szCs w:val="21"/>
              </w:rPr>
            </w:pPr>
            <w:r>
              <w:rPr>
                <w:rFonts w:ascii="楷体" w:hAnsi="楷体" w:eastAsia="楷体" w:cs="楷体"/>
                <w:color w:val="000000"/>
                <w:sz w:val="21"/>
                <w:szCs w:val="21"/>
              </w:rPr>
              <w:t>中低</w:t>
            </w:r>
          </w:p>
        </w:tc>
        <w:tc>
          <w:tcPr>
            <w:tcW w:w="3398" w:type="dxa"/>
            <w:vAlign w:val="center"/>
          </w:tcPr>
          <w:p w14:paraId="1AD910AC">
            <w:pPr>
              <w:adjustRightInd w:val="0"/>
              <w:jc w:val="center"/>
              <w:textAlignment w:val="baseline"/>
              <w:outlineLvl w:val="0"/>
              <w:rPr>
                <w:rFonts w:ascii="楷体" w:hAnsi="楷体" w:eastAsia="楷体" w:cs="楷体"/>
                <w:color w:val="000000"/>
                <w:sz w:val="21"/>
                <w:szCs w:val="21"/>
              </w:rPr>
            </w:pPr>
            <w:r>
              <w:rPr>
                <w:rFonts w:hint="eastAsia" w:ascii="楷体" w:hAnsi="楷体" w:eastAsia="楷体" w:cs="楷体"/>
                <w:color w:val="000000"/>
                <w:sz w:val="21"/>
                <w:szCs w:val="21"/>
              </w:rPr>
              <w:t>稳健型、平衡型、进取型、激进型</w:t>
            </w:r>
          </w:p>
        </w:tc>
      </w:tr>
      <w:tr w14:paraId="3AD0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55" w:type="dxa"/>
          </w:tcPr>
          <w:p w14:paraId="7564F747">
            <w:pPr>
              <w:adjustRightInd w:val="0"/>
              <w:jc w:val="center"/>
              <w:textAlignment w:val="baseline"/>
              <w:outlineLvl w:val="0"/>
              <w:rPr>
                <w:rFonts w:ascii="楷体" w:hAnsi="楷体" w:eastAsia="楷体" w:cs="楷体"/>
                <w:color w:val="000000"/>
                <w:sz w:val="21"/>
                <w:szCs w:val="21"/>
              </w:rPr>
            </w:pPr>
            <w:r>
              <w:rPr>
                <w:rFonts w:ascii="楷体" w:hAnsi="楷体" w:eastAsia="楷体" w:cs="楷体"/>
                <w:color w:val="000000"/>
                <w:sz w:val="21"/>
                <w:szCs w:val="21"/>
              </w:rPr>
              <w:t>PR3级</w:t>
            </w:r>
          </w:p>
        </w:tc>
        <w:tc>
          <w:tcPr>
            <w:tcW w:w="3578" w:type="dxa"/>
          </w:tcPr>
          <w:p w14:paraId="28164904">
            <w:pPr>
              <w:adjustRightInd w:val="0"/>
              <w:jc w:val="center"/>
              <w:textAlignment w:val="baseline"/>
              <w:outlineLvl w:val="0"/>
              <w:rPr>
                <w:rFonts w:ascii="楷体" w:hAnsi="楷体" w:eastAsia="楷体" w:cs="楷体"/>
                <w:color w:val="000000"/>
                <w:sz w:val="21"/>
                <w:szCs w:val="21"/>
              </w:rPr>
            </w:pPr>
            <w:r>
              <w:rPr>
                <w:rFonts w:hint="eastAsia" w:ascii="楷体" w:hAnsi="楷体" w:eastAsia="楷体" w:cs="楷体"/>
                <w:color w:val="000000"/>
                <w:sz w:val="21"/>
                <w:szCs w:val="21"/>
              </w:rPr>
              <w:t>中等</w:t>
            </w:r>
          </w:p>
        </w:tc>
        <w:tc>
          <w:tcPr>
            <w:tcW w:w="3398" w:type="dxa"/>
            <w:vAlign w:val="center"/>
          </w:tcPr>
          <w:p w14:paraId="3666D670">
            <w:pPr>
              <w:adjustRightInd w:val="0"/>
              <w:jc w:val="center"/>
              <w:textAlignment w:val="baseline"/>
              <w:outlineLvl w:val="0"/>
              <w:rPr>
                <w:rFonts w:ascii="楷体" w:hAnsi="楷体" w:eastAsia="楷体" w:cs="楷体"/>
                <w:color w:val="000000"/>
                <w:sz w:val="21"/>
                <w:szCs w:val="21"/>
              </w:rPr>
            </w:pPr>
            <w:r>
              <w:rPr>
                <w:rFonts w:hint="eastAsia" w:ascii="楷体" w:hAnsi="楷体" w:eastAsia="楷体" w:cs="楷体"/>
                <w:color w:val="000000"/>
                <w:sz w:val="21"/>
                <w:szCs w:val="21"/>
              </w:rPr>
              <w:t>平衡型、进取型、激进型</w:t>
            </w:r>
          </w:p>
        </w:tc>
      </w:tr>
      <w:tr w14:paraId="297B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55" w:type="dxa"/>
          </w:tcPr>
          <w:p w14:paraId="62CD8C3A">
            <w:pPr>
              <w:adjustRightInd w:val="0"/>
              <w:jc w:val="center"/>
              <w:textAlignment w:val="baseline"/>
              <w:outlineLvl w:val="0"/>
              <w:rPr>
                <w:rFonts w:ascii="楷体" w:hAnsi="楷体" w:eastAsia="楷体" w:cs="楷体"/>
                <w:color w:val="000000"/>
                <w:sz w:val="21"/>
                <w:szCs w:val="21"/>
              </w:rPr>
            </w:pPr>
            <w:r>
              <w:rPr>
                <w:rFonts w:ascii="楷体" w:hAnsi="楷体" w:eastAsia="楷体" w:cs="楷体"/>
                <w:color w:val="000000"/>
                <w:sz w:val="21"/>
                <w:szCs w:val="21"/>
              </w:rPr>
              <w:t>PR4级</w:t>
            </w:r>
          </w:p>
        </w:tc>
        <w:tc>
          <w:tcPr>
            <w:tcW w:w="3578" w:type="dxa"/>
          </w:tcPr>
          <w:p w14:paraId="1381F2C0">
            <w:pPr>
              <w:adjustRightInd w:val="0"/>
              <w:jc w:val="center"/>
              <w:textAlignment w:val="baseline"/>
              <w:outlineLvl w:val="0"/>
              <w:rPr>
                <w:rFonts w:ascii="楷体" w:hAnsi="楷体" w:eastAsia="楷体" w:cs="楷体"/>
                <w:color w:val="000000"/>
                <w:sz w:val="21"/>
                <w:szCs w:val="21"/>
              </w:rPr>
            </w:pPr>
            <w:r>
              <w:rPr>
                <w:rFonts w:hint="eastAsia" w:ascii="楷体" w:hAnsi="楷体" w:eastAsia="楷体" w:cs="楷体"/>
                <w:color w:val="000000"/>
                <w:sz w:val="21"/>
                <w:szCs w:val="21"/>
              </w:rPr>
              <w:t>中高</w:t>
            </w:r>
          </w:p>
        </w:tc>
        <w:tc>
          <w:tcPr>
            <w:tcW w:w="3398" w:type="dxa"/>
            <w:vAlign w:val="center"/>
          </w:tcPr>
          <w:p w14:paraId="39217272">
            <w:pPr>
              <w:adjustRightInd w:val="0"/>
              <w:jc w:val="center"/>
              <w:textAlignment w:val="baseline"/>
              <w:outlineLvl w:val="0"/>
              <w:rPr>
                <w:rFonts w:ascii="楷体" w:hAnsi="楷体" w:eastAsia="楷体" w:cs="楷体"/>
                <w:color w:val="000000"/>
                <w:sz w:val="21"/>
                <w:szCs w:val="21"/>
              </w:rPr>
            </w:pPr>
            <w:r>
              <w:rPr>
                <w:rFonts w:hint="eastAsia" w:ascii="楷体" w:hAnsi="楷体" w:eastAsia="楷体" w:cs="楷体"/>
                <w:color w:val="000000"/>
                <w:sz w:val="21"/>
                <w:szCs w:val="21"/>
              </w:rPr>
              <w:t>进取型、激进型</w:t>
            </w:r>
          </w:p>
        </w:tc>
      </w:tr>
      <w:tr w14:paraId="5AB9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55" w:type="dxa"/>
          </w:tcPr>
          <w:p w14:paraId="4E44F680">
            <w:pPr>
              <w:adjustRightInd w:val="0"/>
              <w:jc w:val="center"/>
              <w:textAlignment w:val="baseline"/>
              <w:outlineLvl w:val="0"/>
              <w:rPr>
                <w:rFonts w:ascii="楷体" w:hAnsi="楷体" w:eastAsia="楷体" w:cs="楷体"/>
                <w:color w:val="000000"/>
                <w:sz w:val="21"/>
                <w:szCs w:val="21"/>
              </w:rPr>
            </w:pPr>
            <w:r>
              <w:rPr>
                <w:rFonts w:ascii="楷体" w:hAnsi="楷体" w:eastAsia="楷体" w:cs="楷体"/>
                <w:color w:val="000000"/>
                <w:sz w:val="21"/>
                <w:szCs w:val="21"/>
              </w:rPr>
              <w:t>PR5级</w:t>
            </w:r>
          </w:p>
        </w:tc>
        <w:tc>
          <w:tcPr>
            <w:tcW w:w="3578" w:type="dxa"/>
          </w:tcPr>
          <w:p w14:paraId="344390DF">
            <w:pPr>
              <w:adjustRightInd w:val="0"/>
              <w:jc w:val="center"/>
              <w:textAlignment w:val="baseline"/>
              <w:outlineLvl w:val="0"/>
              <w:rPr>
                <w:rFonts w:ascii="楷体" w:hAnsi="楷体" w:eastAsia="楷体" w:cs="楷体"/>
                <w:color w:val="000000"/>
                <w:sz w:val="21"/>
                <w:szCs w:val="21"/>
              </w:rPr>
            </w:pPr>
            <w:r>
              <w:rPr>
                <w:rFonts w:ascii="楷体" w:hAnsi="楷体" w:eastAsia="楷体" w:cs="楷体"/>
                <w:color w:val="000000"/>
                <w:sz w:val="21"/>
                <w:szCs w:val="21"/>
              </w:rPr>
              <w:t>高</w:t>
            </w:r>
          </w:p>
        </w:tc>
        <w:tc>
          <w:tcPr>
            <w:tcW w:w="3398" w:type="dxa"/>
            <w:vAlign w:val="center"/>
          </w:tcPr>
          <w:p w14:paraId="7537E4FE">
            <w:pPr>
              <w:adjustRightInd w:val="0"/>
              <w:jc w:val="center"/>
              <w:textAlignment w:val="baseline"/>
              <w:outlineLvl w:val="0"/>
              <w:rPr>
                <w:rFonts w:ascii="楷体" w:hAnsi="楷体" w:eastAsia="楷体" w:cs="楷体"/>
                <w:color w:val="000000"/>
                <w:sz w:val="21"/>
                <w:szCs w:val="21"/>
              </w:rPr>
            </w:pPr>
            <w:r>
              <w:rPr>
                <w:rFonts w:hint="eastAsia" w:ascii="楷体" w:hAnsi="楷体" w:eastAsia="楷体" w:cs="楷体"/>
                <w:color w:val="000000"/>
                <w:sz w:val="21"/>
                <w:szCs w:val="21"/>
              </w:rPr>
              <w:t>激进型</w:t>
            </w:r>
          </w:p>
        </w:tc>
      </w:tr>
    </w:tbl>
    <w:p w14:paraId="5C3EB165">
      <w:pPr>
        <w:spacing w:line="360" w:lineRule="auto"/>
        <w:ind w:firstLine="480" w:firstLineChars="200"/>
        <w:rPr>
          <w:rFonts w:ascii="楷体" w:hAnsi="楷体" w:eastAsia="楷体" w:cs="楷体"/>
          <w:color w:val="000000"/>
          <w:sz w:val="24"/>
          <w:szCs w:val="24"/>
        </w:rPr>
      </w:pPr>
      <w:r>
        <w:rPr>
          <w:rFonts w:hint="eastAsia" w:ascii="楷体" w:hAnsi="楷体" w:eastAsia="楷体" w:cs="楷体"/>
          <w:color w:val="000000"/>
          <w:sz w:val="24"/>
          <w:szCs w:val="24"/>
        </w:rPr>
        <w:t>三、理财产品信息披露有关信息</w:t>
      </w:r>
    </w:p>
    <w:p w14:paraId="14AC6A73">
      <w:pPr>
        <w:spacing w:line="360" w:lineRule="auto"/>
        <w:ind w:firstLine="480" w:firstLineChars="200"/>
        <w:outlineLvl w:val="0"/>
        <w:rPr>
          <w:rFonts w:ascii="楷体" w:hAnsi="楷体" w:eastAsia="楷体" w:cs="楷体"/>
          <w:color w:val="000000"/>
          <w:sz w:val="24"/>
          <w:szCs w:val="24"/>
        </w:rPr>
      </w:pPr>
      <w:r>
        <w:rPr>
          <w:rFonts w:ascii="楷体" w:hAnsi="楷体" w:eastAsia="楷体" w:cs="楷体"/>
          <w:color w:val="000000"/>
          <w:sz w:val="24"/>
          <w:szCs w:val="24"/>
        </w:rPr>
        <w:t>有关理财产品相关信息的披露方式、渠道和频率等，将在《产品说明书》约定，请投资者</w:t>
      </w:r>
      <w:r>
        <w:rPr>
          <w:rFonts w:hint="eastAsia" w:ascii="楷体" w:hAnsi="楷体" w:eastAsia="楷体" w:cs="楷体"/>
          <w:color w:val="000000"/>
          <w:sz w:val="24"/>
          <w:szCs w:val="24"/>
        </w:rPr>
        <w:t>根据《产品说明书》的约定</w:t>
      </w:r>
      <w:r>
        <w:rPr>
          <w:rFonts w:ascii="楷体" w:hAnsi="楷体" w:eastAsia="楷体" w:cs="楷体"/>
          <w:color w:val="000000"/>
          <w:sz w:val="24"/>
          <w:szCs w:val="24"/>
        </w:rPr>
        <w:t>及时查询或接收信息。</w:t>
      </w:r>
    </w:p>
    <w:p w14:paraId="58BDF96B">
      <w:pPr>
        <w:spacing w:line="360" w:lineRule="auto"/>
        <w:ind w:firstLine="480" w:firstLineChars="200"/>
        <w:rPr>
          <w:rFonts w:ascii="楷体" w:hAnsi="楷体" w:eastAsia="楷体" w:cs="楷体"/>
          <w:color w:val="000000"/>
          <w:sz w:val="24"/>
          <w:szCs w:val="24"/>
        </w:rPr>
      </w:pPr>
      <w:r>
        <w:rPr>
          <w:rFonts w:hint="eastAsia" w:ascii="楷体" w:hAnsi="楷体" w:eastAsia="楷体" w:cs="楷体"/>
          <w:color w:val="000000"/>
          <w:sz w:val="24"/>
          <w:szCs w:val="24"/>
        </w:rPr>
        <w:t>四、客户咨询、投诉</w:t>
      </w:r>
      <w:r>
        <w:rPr>
          <w:rFonts w:ascii="楷体" w:hAnsi="楷体" w:eastAsia="楷体" w:cs="楷体"/>
          <w:color w:val="000000"/>
          <w:sz w:val="24"/>
          <w:szCs w:val="24"/>
        </w:rPr>
        <w:t>渠道</w:t>
      </w:r>
      <w:r>
        <w:rPr>
          <w:rFonts w:hint="eastAsia" w:ascii="楷体" w:hAnsi="楷体" w:eastAsia="楷体" w:cs="楷体"/>
          <w:color w:val="000000"/>
          <w:sz w:val="24"/>
          <w:szCs w:val="24"/>
        </w:rPr>
        <w:t>及</w:t>
      </w:r>
      <w:r>
        <w:rPr>
          <w:rFonts w:ascii="楷体" w:hAnsi="楷体" w:eastAsia="楷体" w:cs="楷体"/>
          <w:color w:val="000000"/>
          <w:sz w:val="24"/>
          <w:szCs w:val="24"/>
        </w:rPr>
        <w:t>信银理财联系方式</w:t>
      </w:r>
    </w:p>
    <w:p w14:paraId="3E820F6D">
      <w:pPr>
        <w:spacing w:line="360" w:lineRule="auto"/>
        <w:ind w:firstLine="480" w:firstLineChars="200"/>
        <w:rPr>
          <w:rFonts w:ascii="楷体" w:hAnsi="楷体" w:eastAsia="楷体" w:cs="楷体"/>
          <w:bCs/>
          <w:color w:val="000000"/>
          <w:sz w:val="24"/>
          <w:szCs w:val="24"/>
        </w:rPr>
      </w:pPr>
      <w:r>
        <w:rPr>
          <w:rFonts w:hint="eastAsia" w:ascii="楷体" w:hAnsi="楷体" w:eastAsia="楷体" w:cs="楷体"/>
          <w:bCs/>
          <w:color w:val="000000"/>
          <w:sz w:val="24"/>
          <w:szCs w:val="24"/>
        </w:rPr>
        <w:t>信银理财理财业务客户咨询及投诉渠道包括但不限于：客户服务热线【</w:t>
      </w:r>
      <w:r>
        <w:rPr>
          <w:rFonts w:hint="eastAsia" w:ascii="楷体_GB2312" w:hAnsi="宋体" w:eastAsia="楷体_GB2312" w:cs="宋体"/>
          <w:bCs/>
          <w:color w:val="2F2F2F"/>
          <w:kern w:val="0"/>
          <w:sz w:val="24"/>
        </w:rPr>
        <w:t>950950</w:t>
      </w:r>
      <w:r>
        <w:rPr>
          <w:rFonts w:hint="eastAsia" w:ascii="楷体" w:hAnsi="楷体" w:eastAsia="楷体" w:cs="楷体"/>
          <w:bCs/>
          <w:color w:val="000000"/>
          <w:sz w:val="24"/>
          <w:szCs w:val="24"/>
        </w:rPr>
        <w:t>】、营业</w:t>
      </w:r>
      <w:r>
        <w:rPr>
          <w:rFonts w:ascii="楷体" w:hAnsi="楷体" w:eastAsia="楷体" w:cs="楷体"/>
          <w:bCs/>
          <w:color w:val="000000"/>
          <w:sz w:val="24"/>
          <w:szCs w:val="24"/>
        </w:rPr>
        <w:t>场所</w:t>
      </w:r>
      <w:r>
        <w:rPr>
          <w:rFonts w:hint="eastAsia" w:ascii="楷体" w:hAnsi="楷体" w:eastAsia="楷体" w:cs="楷体"/>
          <w:bCs/>
          <w:color w:val="000000"/>
          <w:sz w:val="24"/>
          <w:szCs w:val="24"/>
        </w:rPr>
        <w:t>、互联网网站【</w:t>
      </w:r>
      <w:r>
        <w:rPr>
          <w:rFonts w:hint="eastAsia" w:ascii="楷体_GB2312" w:hAnsi="宋体" w:eastAsia="楷体_GB2312" w:cs="宋体"/>
          <w:bCs/>
          <w:color w:val="2F2F2F"/>
          <w:kern w:val="0"/>
          <w:sz w:val="24"/>
        </w:rPr>
        <w:t>http://www.citic-wealth.com/</w:t>
      </w:r>
      <w:r>
        <w:rPr>
          <w:rFonts w:hint="eastAsia" w:ascii="楷体" w:hAnsi="楷体" w:eastAsia="楷体" w:cs="楷体"/>
          <w:bCs/>
          <w:color w:val="000000"/>
          <w:sz w:val="24"/>
          <w:szCs w:val="24"/>
        </w:rPr>
        <w:t>】、电子邮件【</w:t>
      </w:r>
      <w:r>
        <w:rPr>
          <w:rFonts w:hint="eastAsia" w:ascii="楷体_GB2312" w:hAnsi="宋体" w:eastAsia="楷体_GB2312" w:cs="宋体"/>
          <w:bCs/>
          <w:color w:val="2F2F2F"/>
          <w:kern w:val="0"/>
          <w:sz w:val="24"/>
        </w:rPr>
        <w:t>暂无</w:t>
      </w:r>
      <w:r>
        <w:rPr>
          <w:rFonts w:hint="eastAsia" w:ascii="楷体" w:hAnsi="楷体" w:eastAsia="楷体" w:cs="楷体"/>
          <w:bCs/>
          <w:color w:val="000000"/>
          <w:sz w:val="24"/>
          <w:szCs w:val="24"/>
        </w:rPr>
        <w:t>】等。信银理财将安排专人及时收集理财业务客户投诉，并在收到客户投诉的第一时间内与客户取得联系，及时处理并进行反馈。</w:t>
      </w:r>
    </w:p>
    <w:p w14:paraId="768619B9">
      <w:pPr>
        <w:spacing w:line="360" w:lineRule="auto"/>
        <w:ind w:firstLine="482" w:firstLineChars="200"/>
        <w:rPr>
          <w:rFonts w:ascii="楷体" w:hAnsi="楷体" w:eastAsia="楷体" w:cs="楷体"/>
          <w:b/>
          <w:color w:val="000000"/>
          <w:sz w:val="24"/>
          <w:szCs w:val="24"/>
        </w:rPr>
      </w:pPr>
      <w:r>
        <w:rPr>
          <w:rFonts w:hint="eastAsia" w:ascii="楷体" w:hAnsi="楷体" w:eastAsia="楷体" w:cs="楷体"/>
          <w:b/>
          <w:color w:val="000000"/>
          <w:sz w:val="24"/>
          <w:szCs w:val="24"/>
        </w:rPr>
        <w:t>五、客户须知</w:t>
      </w:r>
    </w:p>
    <w:p w14:paraId="1B98D23B">
      <w:pPr>
        <w:spacing w:line="360" w:lineRule="auto"/>
        <w:ind w:firstLine="482" w:firstLineChars="200"/>
        <w:rPr>
          <w:rFonts w:ascii="楷体" w:hAnsi="楷体" w:eastAsia="楷体" w:cs="楷体"/>
          <w:b/>
          <w:color w:val="000000"/>
          <w:sz w:val="24"/>
          <w:szCs w:val="24"/>
        </w:rPr>
      </w:pPr>
      <w:r>
        <w:rPr>
          <w:rFonts w:hint="eastAsia" w:ascii="楷体" w:hAnsi="楷体" w:eastAsia="楷体" w:cs="楷体"/>
          <w:b/>
          <w:color w:val="000000"/>
          <w:sz w:val="24"/>
          <w:szCs w:val="24"/>
        </w:rPr>
        <w:t>郑重提示您在购买信银理财理财产品时注意以下事项：</w:t>
      </w:r>
    </w:p>
    <w:p w14:paraId="490480A5">
      <w:pPr>
        <w:spacing w:line="360" w:lineRule="auto"/>
        <w:ind w:firstLine="482" w:firstLineChars="200"/>
        <w:rPr>
          <w:rFonts w:ascii="楷体" w:hAnsi="楷体" w:eastAsia="楷体" w:cs="楷体"/>
          <w:b/>
          <w:color w:val="000000"/>
          <w:sz w:val="24"/>
          <w:szCs w:val="24"/>
        </w:rPr>
      </w:pPr>
      <w:r>
        <w:rPr>
          <w:rFonts w:hint="eastAsia" w:ascii="楷体" w:hAnsi="楷体" w:eastAsia="楷体" w:cs="楷体"/>
          <w:b/>
          <w:color w:val="000000"/>
          <w:sz w:val="24"/>
          <w:szCs w:val="24"/>
        </w:rPr>
        <w:t>1.</w:t>
      </w:r>
      <w:r>
        <w:rPr>
          <w:rFonts w:hint="eastAsia" w:ascii="楷体" w:hAnsi="楷体" w:eastAsia="楷体" w:cs="楷体"/>
          <w:b/>
          <w:color w:val="000000"/>
          <w:sz w:val="24"/>
          <w:szCs w:val="24"/>
        </w:rPr>
        <w:tab/>
      </w:r>
      <w:r>
        <w:rPr>
          <w:rFonts w:hint="eastAsia" w:ascii="楷体" w:hAnsi="楷体" w:eastAsia="楷体" w:cs="楷体"/>
          <w:b/>
          <w:color w:val="000000"/>
          <w:sz w:val="24"/>
          <w:szCs w:val="24"/>
        </w:rPr>
        <w:t>信银理财发行的所有理财产品都将披露理财产品登记编码。投资者可以依据该理财产品登记编码在中国理财网（www.chinawealth.com.cn）上查询产品相关信息。理财产品登记编码是全国银行业理财信息登记系统赋予所有银行（及银行理财子公司）理财产品的标识码，每个登记编码具有唯一性，是您判断理财产品是否合法合规、是否真实可靠的重要依据。如您购买的理财产品未公示登记编码，或通过其公示的登记编码无法在中国理财网（www.chinawealth.com.cn）上查询到产品相关信息，则该产品非信银理财发行产品。</w:t>
      </w:r>
    </w:p>
    <w:p w14:paraId="3B35BC78">
      <w:pPr>
        <w:spacing w:line="360" w:lineRule="auto"/>
        <w:ind w:firstLine="482" w:firstLineChars="200"/>
        <w:rPr>
          <w:rFonts w:ascii="楷体" w:hAnsi="楷体" w:eastAsia="楷体" w:cs="楷体"/>
          <w:b/>
          <w:color w:val="000000"/>
          <w:sz w:val="24"/>
          <w:szCs w:val="24"/>
        </w:rPr>
      </w:pPr>
      <w:r>
        <w:rPr>
          <w:rFonts w:hint="eastAsia" w:ascii="楷体" w:hAnsi="楷体" w:eastAsia="楷体" w:cs="楷体"/>
          <w:b/>
          <w:color w:val="000000"/>
          <w:sz w:val="24"/>
          <w:szCs w:val="24"/>
        </w:rPr>
        <w:t>2.</w:t>
      </w:r>
      <w:r>
        <w:rPr>
          <w:rFonts w:hint="eastAsia" w:ascii="楷体" w:hAnsi="楷体" w:eastAsia="楷体" w:cs="楷体"/>
          <w:b/>
          <w:color w:val="000000"/>
          <w:sz w:val="24"/>
          <w:szCs w:val="24"/>
        </w:rPr>
        <w:tab/>
      </w:r>
      <w:r>
        <w:rPr>
          <w:rFonts w:hint="eastAsia" w:ascii="楷体" w:hAnsi="楷体" w:eastAsia="楷体" w:cs="楷体"/>
          <w:b/>
          <w:color w:val="000000"/>
          <w:sz w:val="24"/>
          <w:szCs w:val="24"/>
        </w:rPr>
        <w:t>信银理财《理财产品说明书》中除明确规定的收益及收益分配方式外，任何预期收益、预计收益、测算收益或类似表述均属不具有法律约束力的用语，不代表投资者可能获得的实际收益，亦不构成信银理财对理财产品的任何收益承诺。信银理财理财产品不保障理财本金和收益，投资者所能获得的最终收益以理财产品最终清算的投资者可得收益为准。产品过往业绩不代表其未来表现，不构成新发理财产品业绩表现的保证。</w:t>
      </w:r>
    </w:p>
    <w:p w14:paraId="53AABFC1">
      <w:pPr>
        <w:spacing w:line="360" w:lineRule="auto"/>
        <w:ind w:firstLine="482" w:firstLineChars="200"/>
        <w:rPr>
          <w:rFonts w:ascii="楷体" w:hAnsi="楷体" w:eastAsia="楷体" w:cs="楷体"/>
          <w:b/>
          <w:color w:val="000000"/>
          <w:sz w:val="24"/>
          <w:szCs w:val="24"/>
        </w:rPr>
      </w:pPr>
      <w:r>
        <w:rPr>
          <w:rFonts w:hint="eastAsia" w:ascii="楷体" w:hAnsi="楷体" w:eastAsia="楷体" w:cs="楷体"/>
          <w:b/>
          <w:color w:val="000000"/>
          <w:sz w:val="24"/>
          <w:szCs w:val="24"/>
        </w:rPr>
        <w:t>3. 信银理财销售人员均为与信银理财签订劳动合同并经信银理财进行了上岗资格认定的人员。投资者可要求销售人员在向投资者宣传销售理财产品前进行自我介绍并告知投资者关于销售人员的信息查询和核实渠道。</w:t>
      </w:r>
    </w:p>
    <w:p w14:paraId="59E3AC38">
      <w:pPr>
        <w:spacing w:line="360" w:lineRule="auto"/>
        <w:ind w:firstLine="480" w:firstLineChars="200"/>
        <w:rPr>
          <w:rFonts w:ascii="楷体" w:hAnsi="楷体" w:eastAsia="楷体" w:cs="楷体"/>
          <w:color w:val="000000"/>
          <w:sz w:val="24"/>
          <w:szCs w:val="24"/>
        </w:rPr>
      </w:pPr>
    </w:p>
    <w:p w14:paraId="4CA13E06"/>
    <w:sectPr>
      <w:footerReference r:id="rId7" w:type="default"/>
      <w:pgSz w:w="11906" w:h="16838"/>
      <w:pgMar w:top="964" w:right="1021" w:bottom="964" w:left="1021"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Monotype Corsiva">
    <w:altName w:val="Mongolian Baiti"/>
    <w:panose1 w:val="03010101010201010101"/>
    <w:charset w:val="00"/>
    <w:family w:val="script"/>
    <w:pitch w:val="default"/>
    <w:sig w:usb0="00000000" w:usb1="00000000" w:usb2="00000000" w:usb3="00000000" w:csb0="0000009F" w:csb1="00000000"/>
  </w:font>
  <w:font w:name="Mongolian Baiti">
    <w:panose1 w:val="03000500000000000000"/>
    <w:charset w:val="00"/>
    <w:family w:val="auto"/>
    <w:pitch w:val="default"/>
    <w:sig w:usb0="80000023" w:usb1="00000000" w:usb2="0002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133AA">
    <w:pPr>
      <w:pStyle w:val="4"/>
      <w:jc w:val="center"/>
      <w:rPr>
        <w:color w:val="000000" w:themeColor="text1"/>
        <w14:textFill>
          <w14:solidFill>
            <w14:schemeClr w14:val="tx1"/>
          </w14:solidFill>
        </w14:textFill>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184E69E">
                          <w:pPr>
                            <w:pStyle w:val="4"/>
                            <w:jc w:val="center"/>
                          </w:pPr>
                          <w:r>
                            <w:rPr>
                              <w:rFonts w:hint="eastAsia"/>
                              <w:color w:val="000000" w:themeColor="text1"/>
                              <w:lang w:val="zh-CN"/>
                              <w14:textFill>
                                <w14:solidFill>
                                  <w14:schemeClr w14:val="tx1"/>
                                </w14:solidFill>
                              </w14:textFill>
                            </w:rPr>
                            <w:t>第</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  \* Arabic  \* MERGEFORMAT</w:instrText>
                          </w:r>
                          <w:r>
                            <w:rPr>
                              <w:color w:val="000000" w:themeColor="text1"/>
                              <w14:textFill>
                                <w14:solidFill>
                                  <w14:schemeClr w14:val="tx1"/>
                                </w14:solidFill>
                              </w14:textFill>
                            </w:rPr>
                            <w:fldChar w:fldCharType="separate"/>
                          </w:r>
                          <w:r>
                            <w:rPr>
                              <w:color w:val="000000" w:themeColor="text1"/>
                              <w:lang w:val="zh-CN"/>
                              <w14:textFill>
                                <w14:solidFill>
                                  <w14:schemeClr w14:val="tx1"/>
                                </w14:solidFill>
                              </w14:textFill>
                            </w:rPr>
                            <w:t>1</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页</w:t>
                          </w:r>
                          <w:r>
                            <w:rPr>
                              <w:rFonts w:hint="eastAsia"/>
                              <w:color w:val="000000" w:themeColor="text1"/>
                              <w:lang w:val="zh-CN"/>
                              <w14:textFill>
                                <w14:solidFill>
                                  <w14:schemeClr w14:val="tx1"/>
                                </w14:solidFill>
                              </w14:textFill>
                            </w:rPr>
                            <w:t>，共</w:t>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2184E69E">
                    <w:pPr>
                      <w:pStyle w:val="4"/>
                      <w:jc w:val="center"/>
                    </w:pPr>
                    <w:r>
                      <w:rPr>
                        <w:rFonts w:hint="eastAsia"/>
                        <w:color w:val="000000" w:themeColor="text1"/>
                        <w:lang w:val="zh-CN"/>
                        <w14:textFill>
                          <w14:solidFill>
                            <w14:schemeClr w14:val="tx1"/>
                          </w14:solidFill>
                        </w14:textFill>
                      </w:rPr>
                      <w:t>第</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  \* Arabic  \* MERGEFORMAT</w:instrText>
                    </w:r>
                    <w:r>
                      <w:rPr>
                        <w:color w:val="000000" w:themeColor="text1"/>
                        <w14:textFill>
                          <w14:solidFill>
                            <w14:schemeClr w14:val="tx1"/>
                          </w14:solidFill>
                        </w14:textFill>
                      </w:rPr>
                      <w:fldChar w:fldCharType="separate"/>
                    </w:r>
                    <w:r>
                      <w:rPr>
                        <w:color w:val="000000" w:themeColor="text1"/>
                        <w:lang w:val="zh-CN"/>
                        <w14:textFill>
                          <w14:solidFill>
                            <w14:schemeClr w14:val="tx1"/>
                          </w14:solidFill>
                        </w14:textFill>
                      </w:rPr>
                      <w:t>1</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页</w:t>
                    </w:r>
                    <w:r>
                      <w:rPr>
                        <w:rFonts w:hint="eastAsia"/>
                        <w:color w:val="000000" w:themeColor="text1"/>
                        <w:lang w:val="zh-CN"/>
                        <w14:textFill>
                          <w14:solidFill>
                            <w14:schemeClr w14:val="tx1"/>
                          </w14:solidFill>
                        </w14:textFill>
                      </w:rPr>
                      <w:t>，共</w:t>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页</w:t>
                    </w:r>
                  </w:p>
                </w:txbxContent>
              </v:textbox>
            </v:shape>
          </w:pict>
        </mc:Fallback>
      </mc:AlternateContent>
    </w:r>
  </w:p>
  <w:p w14:paraId="14F3F6D4">
    <w:pPr>
      <w:pStyle w:val="4"/>
      <w:ind w:right="18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6A8E6">
    <w:pPr>
      <w:pStyle w:val="4"/>
      <w:jc w:val="center"/>
      <w:rPr>
        <w:color w:val="000000" w:themeColor="text1"/>
        <w14:textFill>
          <w14:solidFill>
            <w14:schemeClr w14:val="tx1"/>
          </w14:solidFill>
        </w14:textFill>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77CC4A">
                          <w:pPr>
                            <w:pStyle w:val="4"/>
                            <w:jc w:val="center"/>
                          </w:pPr>
                          <w:r>
                            <w:rPr>
                              <w:rFonts w:hint="eastAsia"/>
                              <w:color w:val="000000" w:themeColor="text1"/>
                              <w:lang w:val="zh-CN"/>
                              <w14:textFill>
                                <w14:solidFill>
                                  <w14:schemeClr w14:val="tx1"/>
                                </w14:solidFill>
                              </w14:textFill>
                            </w:rPr>
                            <w:t>第</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  \* Arabic  \* MERGEFORMAT</w:instrText>
                          </w:r>
                          <w:r>
                            <w:rPr>
                              <w:color w:val="000000" w:themeColor="text1"/>
                              <w14:textFill>
                                <w14:solidFill>
                                  <w14:schemeClr w14:val="tx1"/>
                                </w14:solidFill>
                              </w14:textFill>
                            </w:rPr>
                            <w:fldChar w:fldCharType="separate"/>
                          </w:r>
                          <w:r>
                            <w:rPr>
                              <w:color w:val="000000" w:themeColor="text1"/>
                              <w:lang w:val="zh-CN"/>
                              <w14:textFill>
                                <w14:solidFill>
                                  <w14:schemeClr w14:val="tx1"/>
                                </w14:solidFill>
                              </w14:textFill>
                            </w:rPr>
                            <w:t>1</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页</w:t>
                          </w:r>
                          <w:r>
                            <w:rPr>
                              <w:rFonts w:hint="eastAsia"/>
                              <w:color w:val="000000" w:themeColor="text1"/>
                              <w:lang w:val="zh-CN"/>
                              <w14:textFill>
                                <w14:solidFill>
                                  <w14:schemeClr w14:val="tx1"/>
                                </w14:solidFill>
                              </w14:textFill>
                            </w:rPr>
                            <w:t>，共</w:t>
                          </w:r>
                          <w:r>
                            <w:rPr>
                              <w:rFonts w:hint="eastAsia"/>
                              <w:color w:val="000000" w:themeColor="text1"/>
                              <w:lang w:val="en-US" w:eastAsia="zh-CN"/>
                              <w14:textFill>
                                <w14:solidFill>
                                  <w14:schemeClr w14:val="tx1"/>
                                </w14:solidFill>
                              </w14:textFill>
                            </w:rPr>
                            <w:t>12</w:t>
                          </w:r>
                          <w:r>
                            <w:rPr>
                              <w:rFonts w:hint="eastAsia"/>
                              <w:color w:val="000000" w:themeColor="text1"/>
                              <w14:textFill>
                                <w14:solidFill>
                                  <w14:schemeClr w14:val="tx1"/>
                                </w14:solidFill>
                              </w14:textFill>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5477CC4A">
                    <w:pPr>
                      <w:pStyle w:val="4"/>
                      <w:jc w:val="center"/>
                    </w:pPr>
                    <w:r>
                      <w:rPr>
                        <w:rFonts w:hint="eastAsia"/>
                        <w:color w:val="000000" w:themeColor="text1"/>
                        <w:lang w:val="zh-CN"/>
                        <w14:textFill>
                          <w14:solidFill>
                            <w14:schemeClr w14:val="tx1"/>
                          </w14:solidFill>
                        </w14:textFill>
                      </w:rPr>
                      <w:t>第</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  \* Arabic  \* MERGEFORMAT</w:instrText>
                    </w:r>
                    <w:r>
                      <w:rPr>
                        <w:color w:val="000000" w:themeColor="text1"/>
                        <w14:textFill>
                          <w14:solidFill>
                            <w14:schemeClr w14:val="tx1"/>
                          </w14:solidFill>
                        </w14:textFill>
                      </w:rPr>
                      <w:fldChar w:fldCharType="separate"/>
                    </w:r>
                    <w:r>
                      <w:rPr>
                        <w:color w:val="000000" w:themeColor="text1"/>
                        <w:lang w:val="zh-CN"/>
                        <w14:textFill>
                          <w14:solidFill>
                            <w14:schemeClr w14:val="tx1"/>
                          </w14:solidFill>
                        </w14:textFill>
                      </w:rPr>
                      <w:t>1</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页</w:t>
                    </w:r>
                    <w:r>
                      <w:rPr>
                        <w:rFonts w:hint="eastAsia"/>
                        <w:color w:val="000000" w:themeColor="text1"/>
                        <w:lang w:val="zh-CN"/>
                        <w14:textFill>
                          <w14:solidFill>
                            <w14:schemeClr w14:val="tx1"/>
                          </w14:solidFill>
                        </w14:textFill>
                      </w:rPr>
                      <w:t>，共</w:t>
                    </w:r>
                    <w:r>
                      <w:rPr>
                        <w:rFonts w:hint="eastAsia"/>
                        <w:color w:val="000000" w:themeColor="text1"/>
                        <w:lang w:val="en-US" w:eastAsia="zh-CN"/>
                        <w14:textFill>
                          <w14:solidFill>
                            <w14:schemeClr w14:val="tx1"/>
                          </w14:solidFill>
                        </w14:textFill>
                      </w:rPr>
                      <w:t>12</w:t>
                    </w:r>
                    <w:r>
                      <w:rPr>
                        <w:rFonts w:hint="eastAsia"/>
                        <w:color w:val="000000" w:themeColor="text1"/>
                        <w14:textFill>
                          <w14:solidFill>
                            <w14:schemeClr w14:val="tx1"/>
                          </w14:solidFill>
                        </w14:textFill>
                      </w:rPr>
                      <w:t>页</w:t>
                    </w:r>
                  </w:p>
                </w:txbxContent>
              </v:textbox>
            </v:shape>
          </w:pict>
        </mc:Fallback>
      </mc:AlternateContent>
    </w:r>
  </w:p>
  <w:p w14:paraId="346ADFDE">
    <w:pPr>
      <w:pStyle w:val="4"/>
      <w:ind w:right="18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6CFE1">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CD137F"/>
    <w:multiLevelType w:val="multilevel"/>
    <w:tmpl w:val="36CD137F"/>
    <w:lvl w:ilvl="0" w:tentative="0">
      <w:start w:val="1"/>
      <w:numFmt w:val="decimal"/>
      <w:lvlText w:val="（%1）"/>
      <w:lvlJc w:val="left"/>
      <w:pPr>
        <w:ind w:left="2000" w:hanging="720"/>
      </w:pPr>
      <w:rPr>
        <w:rFonts w:ascii="仿宋_GB2312" w:hAnsi="Times New Roman" w:eastAsia="仿宋_GB2312" w:cs="Times New Roman"/>
      </w:rPr>
    </w:lvl>
    <w:lvl w:ilvl="1" w:tentative="0">
      <w:start w:val="1"/>
      <w:numFmt w:val="lowerLetter"/>
      <w:lvlText w:val="%2)"/>
      <w:lvlJc w:val="left"/>
      <w:pPr>
        <w:ind w:left="2120" w:hanging="420"/>
      </w:pPr>
    </w:lvl>
    <w:lvl w:ilvl="2" w:tentative="0">
      <w:start w:val="1"/>
      <w:numFmt w:val="lowerRoman"/>
      <w:lvlText w:val="%3."/>
      <w:lvlJc w:val="right"/>
      <w:pPr>
        <w:ind w:left="2540" w:hanging="420"/>
      </w:pPr>
    </w:lvl>
    <w:lvl w:ilvl="3" w:tentative="0">
      <w:start w:val="1"/>
      <w:numFmt w:val="decimal"/>
      <w:lvlText w:val="%4."/>
      <w:lvlJc w:val="left"/>
      <w:pPr>
        <w:ind w:left="2960" w:hanging="420"/>
      </w:pPr>
    </w:lvl>
    <w:lvl w:ilvl="4" w:tentative="0">
      <w:start w:val="1"/>
      <w:numFmt w:val="lowerLetter"/>
      <w:lvlText w:val="%5)"/>
      <w:lvlJc w:val="left"/>
      <w:pPr>
        <w:ind w:left="3380" w:hanging="420"/>
      </w:pPr>
    </w:lvl>
    <w:lvl w:ilvl="5" w:tentative="0">
      <w:start w:val="1"/>
      <w:numFmt w:val="lowerRoman"/>
      <w:lvlText w:val="%6."/>
      <w:lvlJc w:val="right"/>
      <w:pPr>
        <w:ind w:left="3800" w:hanging="420"/>
      </w:pPr>
    </w:lvl>
    <w:lvl w:ilvl="6" w:tentative="0">
      <w:start w:val="1"/>
      <w:numFmt w:val="decimal"/>
      <w:lvlText w:val="%7."/>
      <w:lvlJc w:val="left"/>
      <w:pPr>
        <w:ind w:left="4220" w:hanging="420"/>
      </w:pPr>
    </w:lvl>
    <w:lvl w:ilvl="7" w:tentative="0">
      <w:start w:val="1"/>
      <w:numFmt w:val="lowerLetter"/>
      <w:lvlText w:val="%8)"/>
      <w:lvlJc w:val="left"/>
      <w:pPr>
        <w:ind w:left="4640" w:hanging="420"/>
      </w:pPr>
    </w:lvl>
    <w:lvl w:ilvl="8" w:tentative="0">
      <w:start w:val="1"/>
      <w:numFmt w:val="lowerRoman"/>
      <w:lvlText w:val="%9."/>
      <w:lvlJc w:val="right"/>
      <w:pPr>
        <w:ind w:left="5060" w:hanging="420"/>
      </w:pPr>
    </w:lvl>
  </w:abstractNum>
  <w:abstractNum w:abstractNumId="1">
    <w:nsid w:val="42697CB9"/>
    <w:multiLevelType w:val="multilevel"/>
    <w:tmpl w:val="42697CB9"/>
    <w:lvl w:ilvl="0" w:tentative="0">
      <w:start w:val="1"/>
      <w:numFmt w:val="decimal"/>
      <w:lvlText w:val="（%1）"/>
      <w:lvlJc w:val="left"/>
      <w:pPr>
        <w:ind w:left="2000" w:hanging="720"/>
      </w:pPr>
      <w:rPr>
        <w:rFonts w:ascii="仿宋_GB2312" w:hAnsi="Times New Roman" w:eastAsia="仿宋_GB2312" w:cs="Times New Roman"/>
      </w:rPr>
    </w:lvl>
    <w:lvl w:ilvl="1" w:tentative="0">
      <w:start w:val="1"/>
      <w:numFmt w:val="lowerLetter"/>
      <w:lvlText w:val="%2)"/>
      <w:lvlJc w:val="left"/>
      <w:pPr>
        <w:ind w:left="2120" w:hanging="420"/>
      </w:pPr>
    </w:lvl>
    <w:lvl w:ilvl="2" w:tentative="0">
      <w:start w:val="1"/>
      <w:numFmt w:val="lowerRoman"/>
      <w:lvlText w:val="%3."/>
      <w:lvlJc w:val="right"/>
      <w:pPr>
        <w:ind w:left="2540" w:hanging="420"/>
      </w:pPr>
    </w:lvl>
    <w:lvl w:ilvl="3" w:tentative="0">
      <w:start w:val="1"/>
      <w:numFmt w:val="decimal"/>
      <w:lvlText w:val="%4."/>
      <w:lvlJc w:val="left"/>
      <w:pPr>
        <w:ind w:left="2960" w:hanging="420"/>
      </w:pPr>
    </w:lvl>
    <w:lvl w:ilvl="4" w:tentative="0">
      <w:start w:val="1"/>
      <w:numFmt w:val="lowerLetter"/>
      <w:lvlText w:val="%5)"/>
      <w:lvlJc w:val="left"/>
      <w:pPr>
        <w:ind w:left="3380" w:hanging="420"/>
      </w:pPr>
    </w:lvl>
    <w:lvl w:ilvl="5" w:tentative="0">
      <w:start w:val="1"/>
      <w:numFmt w:val="lowerRoman"/>
      <w:lvlText w:val="%6."/>
      <w:lvlJc w:val="right"/>
      <w:pPr>
        <w:ind w:left="3800" w:hanging="420"/>
      </w:pPr>
    </w:lvl>
    <w:lvl w:ilvl="6" w:tentative="0">
      <w:start w:val="1"/>
      <w:numFmt w:val="decimal"/>
      <w:lvlText w:val="%7."/>
      <w:lvlJc w:val="left"/>
      <w:pPr>
        <w:ind w:left="4220" w:hanging="420"/>
      </w:pPr>
    </w:lvl>
    <w:lvl w:ilvl="7" w:tentative="0">
      <w:start w:val="1"/>
      <w:numFmt w:val="lowerLetter"/>
      <w:lvlText w:val="%8)"/>
      <w:lvlJc w:val="left"/>
      <w:pPr>
        <w:ind w:left="4640" w:hanging="420"/>
      </w:pPr>
    </w:lvl>
    <w:lvl w:ilvl="8" w:tentative="0">
      <w:start w:val="1"/>
      <w:numFmt w:val="lowerRoman"/>
      <w:lvlText w:val="%9."/>
      <w:lvlJc w:val="right"/>
      <w:pPr>
        <w:ind w:left="5060" w:hanging="420"/>
      </w:pPr>
    </w:lvl>
  </w:abstractNum>
  <w:abstractNum w:abstractNumId="2">
    <w:nsid w:val="51306973"/>
    <w:multiLevelType w:val="multilevel"/>
    <w:tmpl w:val="51306973"/>
    <w:lvl w:ilvl="0" w:tentative="0">
      <w:start w:val="1"/>
      <w:numFmt w:val="decimal"/>
      <w:lvlText w:val="%1"/>
      <w:lvlJc w:val="left"/>
      <w:pPr>
        <w:tabs>
          <w:tab w:val="left" w:pos="0"/>
        </w:tabs>
        <w:ind w:left="690" w:hanging="690"/>
      </w:pPr>
      <w:rPr>
        <w:rFonts w:hint="default"/>
      </w:rPr>
    </w:lvl>
    <w:lvl w:ilvl="1" w:tentative="0">
      <w:start w:val="1"/>
      <w:numFmt w:val="decimal"/>
      <w:lvlText w:val="7.%2"/>
      <w:lvlJc w:val="left"/>
      <w:pPr>
        <w:tabs>
          <w:tab w:val="left" w:pos="0"/>
        </w:tabs>
        <w:ind w:left="1280" w:hanging="720"/>
      </w:pPr>
      <w:rPr>
        <w:rFonts w:hint="eastAsia"/>
        <w:b w:val="0"/>
      </w:rPr>
    </w:lvl>
    <w:lvl w:ilvl="2" w:tentative="0">
      <w:start w:val="1"/>
      <w:numFmt w:val="decimal"/>
      <w:lvlText w:val="%1.%2.%3"/>
      <w:lvlJc w:val="left"/>
      <w:pPr>
        <w:tabs>
          <w:tab w:val="left" w:pos="0"/>
        </w:tabs>
        <w:ind w:left="1840" w:hanging="720"/>
      </w:pPr>
      <w:rPr>
        <w:rFonts w:hint="default"/>
      </w:rPr>
    </w:lvl>
    <w:lvl w:ilvl="3" w:tentative="0">
      <w:start w:val="1"/>
      <w:numFmt w:val="decimal"/>
      <w:lvlText w:val="%1.%2.%3.%4"/>
      <w:lvlJc w:val="left"/>
      <w:pPr>
        <w:tabs>
          <w:tab w:val="left" w:pos="0"/>
        </w:tabs>
        <w:ind w:left="2760" w:hanging="1080"/>
      </w:pPr>
      <w:rPr>
        <w:rFonts w:hint="default"/>
      </w:rPr>
    </w:lvl>
    <w:lvl w:ilvl="4" w:tentative="0">
      <w:start w:val="1"/>
      <w:numFmt w:val="decimal"/>
      <w:lvlText w:val="%1.%2.%3.%4.%5"/>
      <w:lvlJc w:val="left"/>
      <w:pPr>
        <w:tabs>
          <w:tab w:val="left" w:pos="0"/>
        </w:tabs>
        <w:ind w:left="3680" w:hanging="1440"/>
      </w:pPr>
      <w:rPr>
        <w:rFonts w:hint="default"/>
      </w:rPr>
    </w:lvl>
    <w:lvl w:ilvl="5" w:tentative="0">
      <w:start w:val="1"/>
      <w:numFmt w:val="decimal"/>
      <w:lvlText w:val="%1.%2.%3.%4.%5.%6"/>
      <w:lvlJc w:val="left"/>
      <w:pPr>
        <w:tabs>
          <w:tab w:val="left" w:pos="0"/>
        </w:tabs>
        <w:ind w:left="4600" w:hanging="1800"/>
      </w:pPr>
      <w:rPr>
        <w:rFonts w:hint="default"/>
      </w:rPr>
    </w:lvl>
    <w:lvl w:ilvl="6" w:tentative="0">
      <w:start w:val="1"/>
      <w:numFmt w:val="decimal"/>
      <w:lvlText w:val="%1.%2.%3.%4.%5.%6.%7"/>
      <w:lvlJc w:val="left"/>
      <w:pPr>
        <w:tabs>
          <w:tab w:val="left" w:pos="0"/>
        </w:tabs>
        <w:ind w:left="5520" w:hanging="2160"/>
      </w:pPr>
      <w:rPr>
        <w:rFonts w:hint="default"/>
      </w:rPr>
    </w:lvl>
    <w:lvl w:ilvl="7" w:tentative="0">
      <w:start w:val="1"/>
      <w:numFmt w:val="decimal"/>
      <w:lvlText w:val="%1.%2.%3.%4.%5.%6.%7.%8"/>
      <w:lvlJc w:val="left"/>
      <w:pPr>
        <w:tabs>
          <w:tab w:val="left" w:pos="0"/>
        </w:tabs>
        <w:ind w:left="6080" w:hanging="2160"/>
      </w:pPr>
      <w:rPr>
        <w:rFonts w:hint="default"/>
      </w:rPr>
    </w:lvl>
    <w:lvl w:ilvl="8" w:tentative="0">
      <w:start w:val="1"/>
      <w:numFmt w:val="decimal"/>
      <w:lvlText w:val="%1.%2.%3.%4.%5.%6.%7.%8.%9"/>
      <w:lvlJc w:val="left"/>
      <w:pPr>
        <w:tabs>
          <w:tab w:val="left" w:pos="0"/>
        </w:tabs>
        <w:ind w:left="7000" w:hanging="2520"/>
      </w:pPr>
      <w:rPr>
        <w:rFonts w:hint="default"/>
      </w:rPr>
    </w:lvl>
  </w:abstractNum>
  <w:abstractNum w:abstractNumId="3">
    <w:nsid w:val="5DF97591"/>
    <w:multiLevelType w:val="multilevel"/>
    <w:tmpl w:val="5DF97591"/>
    <w:lvl w:ilvl="0" w:tentative="0">
      <w:start w:val="1"/>
      <w:numFmt w:val="decimal"/>
      <w:lvlText w:val="%1"/>
      <w:lvlJc w:val="left"/>
      <w:pPr>
        <w:tabs>
          <w:tab w:val="left" w:pos="0"/>
        </w:tabs>
        <w:ind w:left="690" w:hanging="690"/>
      </w:pPr>
      <w:rPr>
        <w:rFonts w:hint="default"/>
      </w:rPr>
    </w:lvl>
    <w:lvl w:ilvl="1" w:tentative="0">
      <w:start w:val="1"/>
      <w:numFmt w:val="decimal"/>
      <w:lvlText w:val="6.%2"/>
      <w:lvlJc w:val="left"/>
      <w:pPr>
        <w:tabs>
          <w:tab w:val="left" w:pos="0"/>
        </w:tabs>
        <w:ind w:left="1280" w:hanging="720"/>
      </w:pPr>
      <w:rPr>
        <w:rFonts w:hint="eastAsia"/>
        <w:b w:val="0"/>
      </w:rPr>
    </w:lvl>
    <w:lvl w:ilvl="2" w:tentative="0">
      <w:start w:val="1"/>
      <w:numFmt w:val="decimal"/>
      <w:lvlText w:val="%1.%2.%3"/>
      <w:lvlJc w:val="left"/>
      <w:pPr>
        <w:tabs>
          <w:tab w:val="left" w:pos="0"/>
        </w:tabs>
        <w:ind w:left="1840" w:hanging="720"/>
      </w:pPr>
      <w:rPr>
        <w:rFonts w:hint="default"/>
      </w:rPr>
    </w:lvl>
    <w:lvl w:ilvl="3" w:tentative="0">
      <w:start w:val="1"/>
      <w:numFmt w:val="decimal"/>
      <w:lvlText w:val="%1.%2.%3.%4"/>
      <w:lvlJc w:val="left"/>
      <w:pPr>
        <w:tabs>
          <w:tab w:val="left" w:pos="0"/>
        </w:tabs>
        <w:ind w:left="2760" w:hanging="1080"/>
      </w:pPr>
      <w:rPr>
        <w:rFonts w:hint="default"/>
      </w:rPr>
    </w:lvl>
    <w:lvl w:ilvl="4" w:tentative="0">
      <w:start w:val="1"/>
      <w:numFmt w:val="decimal"/>
      <w:lvlText w:val="%1.%2.%3.%4.%5"/>
      <w:lvlJc w:val="left"/>
      <w:pPr>
        <w:tabs>
          <w:tab w:val="left" w:pos="0"/>
        </w:tabs>
        <w:ind w:left="3680" w:hanging="1440"/>
      </w:pPr>
      <w:rPr>
        <w:rFonts w:hint="default"/>
      </w:rPr>
    </w:lvl>
    <w:lvl w:ilvl="5" w:tentative="0">
      <w:start w:val="1"/>
      <w:numFmt w:val="decimal"/>
      <w:lvlText w:val="%1.%2.%3.%4.%5.%6"/>
      <w:lvlJc w:val="left"/>
      <w:pPr>
        <w:tabs>
          <w:tab w:val="left" w:pos="0"/>
        </w:tabs>
        <w:ind w:left="4600" w:hanging="1800"/>
      </w:pPr>
      <w:rPr>
        <w:rFonts w:hint="default"/>
      </w:rPr>
    </w:lvl>
    <w:lvl w:ilvl="6" w:tentative="0">
      <w:start w:val="1"/>
      <w:numFmt w:val="decimal"/>
      <w:lvlText w:val="%1.%2.%3.%4.%5.%6.%7"/>
      <w:lvlJc w:val="left"/>
      <w:pPr>
        <w:tabs>
          <w:tab w:val="left" w:pos="0"/>
        </w:tabs>
        <w:ind w:left="5520" w:hanging="2160"/>
      </w:pPr>
      <w:rPr>
        <w:rFonts w:hint="default"/>
      </w:rPr>
    </w:lvl>
    <w:lvl w:ilvl="7" w:tentative="0">
      <w:start w:val="1"/>
      <w:numFmt w:val="decimal"/>
      <w:lvlText w:val="%1.%2.%3.%4.%5.%6.%7.%8"/>
      <w:lvlJc w:val="left"/>
      <w:pPr>
        <w:tabs>
          <w:tab w:val="left" w:pos="0"/>
        </w:tabs>
        <w:ind w:left="6080" w:hanging="2160"/>
      </w:pPr>
      <w:rPr>
        <w:rFonts w:hint="default"/>
      </w:rPr>
    </w:lvl>
    <w:lvl w:ilvl="8" w:tentative="0">
      <w:start w:val="1"/>
      <w:numFmt w:val="decimal"/>
      <w:lvlText w:val="%1.%2.%3.%4.%5.%6.%7.%8.%9"/>
      <w:lvlJc w:val="left"/>
      <w:pPr>
        <w:tabs>
          <w:tab w:val="left" w:pos="0"/>
        </w:tabs>
        <w:ind w:left="7000" w:hanging="2520"/>
      </w:pPr>
      <w:rPr>
        <w:rFonts w:hint="default"/>
      </w:rPr>
    </w:lvl>
  </w:abstractNum>
  <w:abstractNum w:abstractNumId="4">
    <w:nsid w:val="65D8618E"/>
    <w:multiLevelType w:val="multilevel"/>
    <w:tmpl w:val="65D8618E"/>
    <w:lvl w:ilvl="0" w:tentative="0">
      <w:start w:val="1"/>
      <w:numFmt w:val="japaneseCounting"/>
      <w:lvlText w:val="第%1条"/>
      <w:lvlJc w:val="left"/>
      <w:pPr>
        <w:ind w:left="960" w:hanging="9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84381A"/>
    <w:multiLevelType w:val="multilevel"/>
    <w:tmpl w:val="7084381A"/>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7DEC0888"/>
    <w:multiLevelType w:val="multilevel"/>
    <w:tmpl w:val="7DEC0888"/>
    <w:lvl w:ilvl="0" w:tentative="0">
      <w:start w:val="1"/>
      <w:numFmt w:val="decimal"/>
      <w:lvlText w:val="%1"/>
      <w:lvlJc w:val="left"/>
      <w:pPr>
        <w:tabs>
          <w:tab w:val="left" w:pos="0"/>
        </w:tabs>
        <w:ind w:left="690" w:hanging="690"/>
      </w:pPr>
      <w:rPr>
        <w:rFonts w:hint="default"/>
      </w:rPr>
    </w:lvl>
    <w:lvl w:ilvl="1" w:tentative="0">
      <w:start w:val="1"/>
      <w:numFmt w:val="decimal"/>
      <w:lvlText w:val="5.%2"/>
      <w:lvlJc w:val="left"/>
      <w:pPr>
        <w:tabs>
          <w:tab w:val="left" w:pos="0"/>
        </w:tabs>
        <w:ind w:left="1280" w:hanging="720"/>
      </w:pPr>
      <w:rPr>
        <w:rFonts w:hint="eastAsia"/>
        <w:b w:val="0"/>
      </w:rPr>
    </w:lvl>
    <w:lvl w:ilvl="2" w:tentative="0">
      <w:start w:val="1"/>
      <w:numFmt w:val="decimal"/>
      <w:lvlText w:val="%1.%2.%3"/>
      <w:lvlJc w:val="left"/>
      <w:pPr>
        <w:tabs>
          <w:tab w:val="left" w:pos="0"/>
        </w:tabs>
        <w:ind w:left="1840" w:hanging="720"/>
      </w:pPr>
      <w:rPr>
        <w:rFonts w:hint="default"/>
      </w:rPr>
    </w:lvl>
    <w:lvl w:ilvl="3" w:tentative="0">
      <w:start w:val="1"/>
      <w:numFmt w:val="decimal"/>
      <w:lvlText w:val="%1.%2.%3.%4"/>
      <w:lvlJc w:val="left"/>
      <w:pPr>
        <w:tabs>
          <w:tab w:val="left" w:pos="0"/>
        </w:tabs>
        <w:ind w:left="2760" w:hanging="1080"/>
      </w:pPr>
      <w:rPr>
        <w:rFonts w:hint="default"/>
      </w:rPr>
    </w:lvl>
    <w:lvl w:ilvl="4" w:tentative="0">
      <w:start w:val="1"/>
      <w:numFmt w:val="decimal"/>
      <w:lvlText w:val="%1.%2.%3.%4.%5"/>
      <w:lvlJc w:val="left"/>
      <w:pPr>
        <w:tabs>
          <w:tab w:val="left" w:pos="0"/>
        </w:tabs>
        <w:ind w:left="3680" w:hanging="1440"/>
      </w:pPr>
      <w:rPr>
        <w:rFonts w:hint="default"/>
      </w:rPr>
    </w:lvl>
    <w:lvl w:ilvl="5" w:tentative="0">
      <w:start w:val="1"/>
      <w:numFmt w:val="decimal"/>
      <w:lvlText w:val="%1.%2.%3.%4.%5.%6"/>
      <w:lvlJc w:val="left"/>
      <w:pPr>
        <w:tabs>
          <w:tab w:val="left" w:pos="0"/>
        </w:tabs>
        <w:ind w:left="4600" w:hanging="1800"/>
      </w:pPr>
      <w:rPr>
        <w:rFonts w:hint="default"/>
      </w:rPr>
    </w:lvl>
    <w:lvl w:ilvl="6" w:tentative="0">
      <w:start w:val="1"/>
      <w:numFmt w:val="decimal"/>
      <w:lvlText w:val="%1.%2.%3.%4.%5.%6.%7"/>
      <w:lvlJc w:val="left"/>
      <w:pPr>
        <w:tabs>
          <w:tab w:val="left" w:pos="0"/>
        </w:tabs>
        <w:ind w:left="5520" w:hanging="2160"/>
      </w:pPr>
      <w:rPr>
        <w:rFonts w:hint="default"/>
      </w:rPr>
    </w:lvl>
    <w:lvl w:ilvl="7" w:tentative="0">
      <w:start w:val="1"/>
      <w:numFmt w:val="decimal"/>
      <w:lvlText w:val="%1.%2.%3.%4.%5.%6.%7.%8"/>
      <w:lvlJc w:val="left"/>
      <w:pPr>
        <w:tabs>
          <w:tab w:val="left" w:pos="0"/>
        </w:tabs>
        <w:ind w:left="6080" w:hanging="2160"/>
      </w:pPr>
      <w:rPr>
        <w:rFonts w:hint="default"/>
      </w:rPr>
    </w:lvl>
    <w:lvl w:ilvl="8" w:tentative="0">
      <w:start w:val="1"/>
      <w:numFmt w:val="decimal"/>
      <w:lvlText w:val="%1.%2.%3.%4.%5.%6.%7.%8.%9"/>
      <w:lvlJc w:val="left"/>
      <w:pPr>
        <w:tabs>
          <w:tab w:val="left" w:pos="0"/>
        </w:tabs>
        <w:ind w:left="7000" w:hanging="2520"/>
      </w:pPr>
      <w:rPr>
        <w:rFonts w:hint="default"/>
      </w:rPr>
    </w:lvl>
  </w:abstractNum>
  <w:num w:numId="1">
    <w:abstractNumId w:val="5"/>
  </w:num>
  <w:num w:numId="2">
    <w:abstractNumId w:val="4"/>
  </w:num>
  <w:num w:numId="3">
    <w:abstractNumId w:val="6"/>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0C5"/>
    <w:rsid w:val="00081CC9"/>
    <w:rsid w:val="000A49FA"/>
    <w:rsid w:val="00134015"/>
    <w:rsid w:val="0015148C"/>
    <w:rsid w:val="001D46E7"/>
    <w:rsid w:val="00223CA0"/>
    <w:rsid w:val="002C659A"/>
    <w:rsid w:val="00304E7A"/>
    <w:rsid w:val="00373407"/>
    <w:rsid w:val="003A3261"/>
    <w:rsid w:val="003B7F73"/>
    <w:rsid w:val="003C2A88"/>
    <w:rsid w:val="0044028B"/>
    <w:rsid w:val="004C0373"/>
    <w:rsid w:val="004F1473"/>
    <w:rsid w:val="00687DD4"/>
    <w:rsid w:val="006976DB"/>
    <w:rsid w:val="006C1B7C"/>
    <w:rsid w:val="007E17C8"/>
    <w:rsid w:val="008527B9"/>
    <w:rsid w:val="008E00C5"/>
    <w:rsid w:val="008E3EDE"/>
    <w:rsid w:val="0094161F"/>
    <w:rsid w:val="009618F9"/>
    <w:rsid w:val="00970D71"/>
    <w:rsid w:val="009C72FD"/>
    <w:rsid w:val="00A2241E"/>
    <w:rsid w:val="00AA2485"/>
    <w:rsid w:val="00C25F4E"/>
    <w:rsid w:val="00C27DB6"/>
    <w:rsid w:val="00CE00D1"/>
    <w:rsid w:val="00DF64CD"/>
    <w:rsid w:val="00E06EB3"/>
    <w:rsid w:val="00E83EF1"/>
    <w:rsid w:val="00F35B27"/>
    <w:rsid w:val="00F76C9B"/>
    <w:rsid w:val="00F773C3"/>
    <w:rsid w:val="1C454C29"/>
    <w:rsid w:val="261D0F39"/>
    <w:rsid w:val="54C23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8"/>
    <w:semiHidden/>
    <w:unhideWhenUsed/>
    <w:qFormat/>
    <w:uiPriority w:val="99"/>
    <w:pPr>
      <w:spacing w:after="0" w:line="240" w:lineRule="auto"/>
    </w:pPr>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0"/>
    <w:semiHidden/>
    <w:unhideWhenUsed/>
    <w:qFormat/>
    <w:uiPriority w:val="99"/>
    <w:rPr>
      <w:b/>
      <w:bCs/>
    </w:rPr>
  </w:style>
  <w:style w:type="character" w:styleId="9">
    <w:name w:val="page number"/>
    <w:basedOn w:val="8"/>
    <w:qFormat/>
    <w:uiPriority w:val="0"/>
  </w:style>
  <w:style w:type="character" w:styleId="10">
    <w:name w:val="annotation reference"/>
    <w:basedOn w:val="8"/>
    <w:semiHidden/>
    <w:unhideWhenUsed/>
    <w:qFormat/>
    <w:uiPriority w:val="0"/>
    <w:rPr>
      <w:sz w:val="21"/>
      <w:szCs w:val="21"/>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文字 Char"/>
    <w:basedOn w:val="8"/>
    <w:link w:val="2"/>
    <w:semiHidden/>
    <w:qFormat/>
    <w:uiPriority w:val="99"/>
    <w:rPr>
      <w:rFonts w:ascii="Times New Roman" w:hAnsi="Times New Roman" w:eastAsia="宋体" w:cs="Times New Roman"/>
      <w:szCs w:val="20"/>
    </w:rPr>
  </w:style>
  <w:style w:type="paragraph" w:customStyle="1" w:styleId="14">
    <w:name w:val="正文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15">
    <w:name w:val="正文文本缩进 New"/>
    <w:basedOn w:val="1"/>
    <w:qFormat/>
    <w:uiPriority w:val="0"/>
    <w:pPr>
      <w:widowControl/>
      <w:overflowPunct w:val="0"/>
      <w:autoSpaceDE w:val="0"/>
      <w:autoSpaceDN w:val="0"/>
      <w:adjustRightInd w:val="0"/>
      <w:spacing w:after="0" w:line="240" w:lineRule="auto"/>
      <w:ind w:left="1134"/>
      <w:jc w:val="left"/>
      <w:textAlignment w:val="baseline"/>
    </w:pPr>
    <w:rPr>
      <w:rFonts w:ascii="宋体"/>
      <w:kern w:val="0"/>
      <w:sz w:val="24"/>
    </w:rPr>
  </w:style>
  <w:style w:type="paragraph" w:customStyle="1" w:styleId="16">
    <w:name w:val="正文 New New New New New New New New New New New"/>
    <w:qFormat/>
    <w:uiPriority w:val="0"/>
    <w:pPr>
      <w:autoSpaceDE w:val="0"/>
      <w:autoSpaceDN w:val="0"/>
      <w:adjustRightInd w:val="0"/>
    </w:pPr>
    <w:rPr>
      <w:rFonts w:ascii="宋体" w:hAnsi="Times New Roman" w:eastAsia="宋体" w:cs="Times New Roman"/>
      <w:kern w:val="0"/>
      <w:sz w:val="20"/>
      <w:szCs w:val="20"/>
      <w:lang w:val="en-US" w:eastAsia="zh-CN" w:bidi="ar-SA"/>
    </w:rPr>
  </w:style>
  <w:style w:type="paragraph" w:styleId="17">
    <w:name w:val="List Paragraph"/>
    <w:basedOn w:val="1"/>
    <w:qFormat/>
    <w:uiPriority w:val="99"/>
    <w:pPr>
      <w:ind w:firstLine="420" w:firstLineChars="200"/>
    </w:pPr>
  </w:style>
  <w:style w:type="character" w:customStyle="1" w:styleId="18">
    <w:name w:val="批注框文本 Char"/>
    <w:basedOn w:val="8"/>
    <w:link w:val="3"/>
    <w:semiHidden/>
    <w:qFormat/>
    <w:uiPriority w:val="99"/>
    <w:rPr>
      <w:rFonts w:ascii="Times New Roman" w:hAnsi="Times New Roman" w:eastAsia="宋体" w:cs="Times New Roman"/>
      <w:sz w:val="18"/>
      <w:szCs w:val="18"/>
    </w:rPr>
  </w:style>
  <w:style w:type="paragraph" w:customStyle="1" w:styleId="19">
    <w:name w:val="Revision"/>
    <w:hidden/>
    <w:semiHidden/>
    <w:qFormat/>
    <w:uiPriority w:val="99"/>
    <w:rPr>
      <w:rFonts w:ascii="Times New Roman" w:hAnsi="Times New Roman" w:eastAsia="宋体" w:cs="Times New Roman"/>
      <w:kern w:val="2"/>
      <w:sz w:val="21"/>
      <w:szCs w:val="20"/>
      <w:lang w:val="en-US" w:eastAsia="zh-CN" w:bidi="ar-SA"/>
    </w:rPr>
  </w:style>
  <w:style w:type="character" w:customStyle="1" w:styleId="20">
    <w:name w:val="批注主题 Char"/>
    <w:basedOn w:val="13"/>
    <w:link w:val="6"/>
    <w:semiHidden/>
    <w:qFormat/>
    <w:uiPriority w:val="99"/>
    <w:rPr>
      <w:rFonts w:ascii="Times New Roman" w:hAnsi="Times New Roman" w:eastAsia="宋体" w:cs="Times New Roman"/>
      <w:b/>
      <w:bCs/>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5987</Words>
  <Characters>6080</Characters>
  <Lines>46</Lines>
  <Paragraphs>13</Paragraphs>
  <TotalTime>4</TotalTime>
  <ScaleCrop>false</ScaleCrop>
  <LinksUpToDate>false</LinksUpToDate>
  <CharactersWithSpaces>6339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2024-12-17T06:26:00Z</dcterms:created>
  <dc:creator>张宇勍</dc:creator>
  <cp:lastModifiedBy>CX-330</cp:lastModifiedBy>
  <dcterms:modified xsi:type="dcterms:W3CDTF">2024-12-17T08:26:40Z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276F1A42B07C45B9A3DF467CDECDDD2B_13</vt:lpwstr>
  </property>
</Properties>
</file>