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spacing w:line="120" w:lineRule="auto"/>
        <w:jc w:val="center"/>
        <w:outlineLvl w:val="0"/>
        <w:rPr>
          <w:rFonts w:hint="eastAsia" w:ascii="Calibri" w:hAnsi="Calibri" w:eastAsia="宋体" w:cs="黑体"/>
          <w:b/>
          <w:bCs w:val="0"/>
          <w:sz w:val="44"/>
          <w:szCs w:val="44"/>
          <w:highlight w:val="none"/>
        </w:rPr>
      </w:pPr>
      <w:bookmarkStart w:id="0" w:name="_GoBack"/>
      <w:bookmarkEnd w:id="0"/>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outlineLvl w:val="1"/>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outlineLvl w:val="2"/>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2">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3">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4">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5">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
    <w:nsid w:val="61CBC28E"/>
    <w:multiLevelType w:val="singleLevel"/>
    <w:tmpl w:val="61CBC28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3F22C6"/>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36834B3"/>
    <w:rsid w:val="34105616"/>
    <w:rsid w:val="3486580A"/>
    <w:rsid w:val="34A35A92"/>
    <w:rsid w:val="34A453A9"/>
    <w:rsid w:val="34EC3C25"/>
    <w:rsid w:val="35090006"/>
    <w:rsid w:val="351A5D92"/>
    <w:rsid w:val="35AA025C"/>
    <w:rsid w:val="35CA7D73"/>
    <w:rsid w:val="377307FA"/>
    <w:rsid w:val="3B1C12F3"/>
    <w:rsid w:val="3BD53B5C"/>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DF8641"/>
    <w:rsid w:val="4DFF95C2"/>
    <w:rsid w:val="4E08799D"/>
    <w:rsid w:val="4E2B414A"/>
    <w:rsid w:val="4F5679CC"/>
    <w:rsid w:val="501840BA"/>
    <w:rsid w:val="52B042C0"/>
    <w:rsid w:val="53827B5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CFC3CE0"/>
    <w:rsid w:val="5E3250DB"/>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E9C369D"/>
    <w:rsid w:val="6EF41B11"/>
    <w:rsid w:val="6F5F424F"/>
    <w:rsid w:val="6FFF49C1"/>
    <w:rsid w:val="702573F3"/>
    <w:rsid w:val="70B57531"/>
    <w:rsid w:val="70FA499F"/>
    <w:rsid w:val="730C182D"/>
    <w:rsid w:val="73FC9A3F"/>
    <w:rsid w:val="73FD8B13"/>
    <w:rsid w:val="74261EBD"/>
    <w:rsid w:val="751974A1"/>
    <w:rsid w:val="758B30E4"/>
    <w:rsid w:val="75F42331"/>
    <w:rsid w:val="761F7C3C"/>
    <w:rsid w:val="76683D2A"/>
    <w:rsid w:val="76C62D9E"/>
    <w:rsid w:val="78244617"/>
    <w:rsid w:val="7A923507"/>
    <w:rsid w:val="7ACB640D"/>
    <w:rsid w:val="7BFF1A29"/>
    <w:rsid w:val="7C044D89"/>
    <w:rsid w:val="7C63442B"/>
    <w:rsid w:val="7CDB2DB5"/>
    <w:rsid w:val="7D3AA22F"/>
    <w:rsid w:val="7DE35ECA"/>
    <w:rsid w:val="7E1A0C5A"/>
    <w:rsid w:val="7E3212D3"/>
    <w:rsid w:val="7F5ED40B"/>
    <w:rsid w:val="7F5F887D"/>
    <w:rsid w:val="7FCC7D05"/>
    <w:rsid w:val="7FEF42B8"/>
    <w:rsid w:val="7FFF8EDB"/>
    <w:rsid w:val="9F9F25DF"/>
    <w:rsid w:val="9FD01BC3"/>
    <w:rsid w:val="ADFD0E4E"/>
    <w:rsid w:val="B3FE25BF"/>
    <w:rsid w:val="BE6E0F8F"/>
    <w:rsid w:val="C679D4D5"/>
    <w:rsid w:val="D3FFF2E3"/>
    <w:rsid w:val="D4B948F0"/>
    <w:rsid w:val="D74B89BD"/>
    <w:rsid w:val="D7BE90C3"/>
    <w:rsid w:val="E7BE8365"/>
    <w:rsid w:val="E9FF1448"/>
    <w:rsid w:val="F2F53720"/>
    <w:rsid w:val="F3F331A4"/>
    <w:rsid w:val="F3FF81F7"/>
    <w:rsid w:val="F7FE62B6"/>
    <w:rsid w:val="F7FFDCC3"/>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36974</Words>
  <Characters>38706</Characters>
  <Lines>1</Lines>
  <Paragraphs>1</Paragraphs>
  <TotalTime>0</TotalTime>
  <ScaleCrop>false</ScaleCrop>
  <LinksUpToDate>false</LinksUpToDate>
  <CharactersWithSpaces>39057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hccb</cp:lastModifiedBy>
  <dcterms:modified xsi:type="dcterms:W3CDTF">2025-10-23T00:54:29Z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