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幸福99丰裕固收387天26051期理财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Z7002226000137</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3"/>
        </w:numPr>
        <w:spacing w:line="360" w:lineRule="auto"/>
        <w:jc w:val="left"/>
        <w:outlineLvl w:val="1"/>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幸福99丰裕固收387天26051期理财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幸福99丰裕固收387天26051期理财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幸福99丰裕固收387天26051期理财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幸福99丰裕固收387天26051期理财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幸福99丰裕固收387天26051期理财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幸福99丰裕固收387天26051期理财</w:t>
      </w:r>
      <w:r>
        <w:rPr>
          <w:rFonts w:hint="eastAsia" w:ascii="宋体" w:hAnsi="宋体" w:cs="宋体"/>
          <w:bCs/>
          <w:highlight w:val="none"/>
        </w:rPr>
        <w:t>。</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7"/>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8"/>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幸福99丰裕固收387天26051期理财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丰裕固收26051期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FYG26051</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Z7002226000137</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A份额（销售代码〖FYG26051A〗）：普通个人投资者和机构客户。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B份额（销售代码〖FYG26051B〗）：普通个人投资者和机构客户。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C份额（销售代码〖FYG26051C〗）：普通个人投资者和机构客户。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D份额（销售代码〖FYG26051D〗）：普通个人投资者和机构客户。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E份额（公司专属）（销售代码〖FYG26051E〗）：普通个人投资者和机构客户。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G份额（销售代码〖FYG26051G〗）：普通个人投资者和机构客户。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H份额（北行专属）（销售代码〖FYG26051H〗）：普通个人投资者和机构客户。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I份额（爽盈优选）（销售代码〖FYG26051I〗）：普通个人投资者和机构客户。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J份额（销售代码〖FYG26051J〗）：普通个人投资者和机构客户。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K份额（鲲鹏优选）（销售代码〖FYG26051K〗）：普通个人投资者和机构客户。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M份额（天府·优选）（销售代码〖FYG26051M〗）：普通个人投资者和机构客户。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N份额惠享款（长长财富·专属）（销售代码〖FYG26051N〗）：普通个人投资者和机构客户。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O份额（销售代码〖FYG26051O〗）：普通个人投资者和机构客户。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P份额（芙蓉锦程·优选）（销售代码〖FYG26051P〗）：普通个人投资者和机构客户。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Q份额（销售代码〖FYG26051Q〗）：普通个人投资者和机构客户。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R份额惠享款吉行十二号（销售代码〖FYG26051R〗）：普通个人投资者和机构客户。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T份额惠享款（齐鲁-逢六有约）（销售代码〖FYG26051T〗）：普通个人投资者和机构客户。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U份额（销售代码〖FYG26051U〗）：浙商银行认定的符合“私人银行”标准的个人客户。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V份额（金芙蓉专属）（销售代码〖FYG26051V〗）：普通个人投资者和机构客户。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W份额惠享款（销售代码〖FYG26051W〗）：普通个人投资者和机构客户。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X份额（销售代码〖FYG26051X〗）：普通个人投资者。</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Y份额惠享款（销售代码〖FYG26051Y〗）：普通个人投资者和机构客户。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Z份额惠享款（销售代码〖FYG26051Z〗）：普通个人投资者和机构客户。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8</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13</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14</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2027</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387</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〖O份额〗起点〖1〗元整，超过认购起点部分，应为〖1〗元的整数倍。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〖T份额〗起点〖1〗元整，超过认购起点部分，应为〖1〗元的整数倍。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〖U份额〗起点〖30〗万元整，超过认购起点部分，应为〖1〗元的整数倍。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本理财计划〖D份额〗业绩比较基准为〖2.60%-2.80%〗（年化）。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本理财计划〖E份额〗业绩比较基准为〖2.30%-2.50%〗（年化）。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本理财计划〖G份额〗业绩比较基准为〖2.75%-2.95%〗（年化）。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本理财计划〖H份额〗业绩比较基准为〖2.55%-2.75%〗（年化）。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本理财计划〖I份额〗业绩比较基准为〖2.45%-2.65%〗（年化）。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本理财计划〖J份额〗业绩比较基准为〖2.70%-2.90%〗（年化）。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本理财计划〖K份额〗业绩比较基准为〖2.45%-2.65%〗（年化）。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本理财计划〖M份额〗业绩比较基准为〖2.60%-2.80%〗（年化）。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本理财计划〖O份额〗业绩比较基准为〖2.55%-2.75%〗（年化）。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本理财计划〖P份额〗业绩比较基准为〖2.60%-2.80%〗（年化）。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本理财计划〖Q份额〗业绩比较基准为〖2.50%-2.70%〗（年化）。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本理财计划〖R份额〗业绩比较基准为〖2.60%-2.80%〗（年化）。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本理财计划〖T份额〗业绩比较基准为〖2.61%-2.81%〗（年化）。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本理财计划〖U份额〗业绩比较基准为〖2.60%-2.80%〗（年化）。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本理财计划〖V份额〗业绩比较基准为〖2.60%-2.80%〗（年化）。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本理财计划〖W份额〗业绩比较基准为〖2.45%-2.65%〗（年化）。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本理财计划〖X份额〗业绩比较基准为〖2.70%-2.90%〗（年化）。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本理财计划〖Y份额〗业绩比较基准为〖2.55%-2.75%〗（年化）。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本理财计划〖Z份额〗业绩比较基准为〖2.65%-2.85%〗（年化）。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〖E份额〗收取年化〖0.40%〗的销售服务费, 〖G份额〗收取年化〖0.01%〗的销售服务费, 〖H份额〗收取年化〖0.20%〗的销售服务费, 〖I份额〗收取年化〖0.30%〗的销售服务费, 〖J份额〗收取年化〖0.05%〗的销售服务费, 〖K份额〗收取年化〖0.30%〗的销售服务费, 〖M份额〗收取年化〖0.15%〗的销售服务费, 〖N份额〗收取年化〖0.20%〗的销售服务费, 〖O份额〗收取年化〖0.20%〗的销售服务费, 〖P份额〗收取年化〖0.15%〗的销售服务费, 〖Q份额〗收取年化〖0.25%〗的销售服务费, 〖R份额〗收取年化〖0.15%〗的销售服务费, 〖T份额〗收取年化〖0.15%〗的销售服务费, 〖U份额〗收取年化〖0.15%〗的销售服务费, 〖V份额〗收取年化〖0.15%〗的销售服务费, 〖W份额〗收取年化〖0.30%〗的销售服务费, 〖X份额〗收取年化〖0.05%〗的销售服务费, 〖Y份额〗收取年化〖0.20%〗的销售服务费, 〖Z份额〗收取年化〖0.10%〗的销售服务费。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〖E份额〗收取年化〖0.15%〗的固定管理费, 〖G份额〗收取年化〖0.09%〗的固定管理费, 〖H份额〗收取年化〖0.10%〗的固定管理费, 〖I份额〗收取年化〖0.10%〗的固定管理费, 〖J份额〗收取年化〖0.10%〗的固定管理费, 〖K份额〗收取年化〖0.10%〗的固定管理费, 〖M份额〗收取年化〖0.10%〗的固定管理费, 〖N份额〗收取年化〖0.10%〗的固定管理费, 〖O份额〗收取年化〖0.10%〗的固定管理费, 〖P份额〗收取年化〖0.10%〗的固定管理费, 〖Q份额〗收取年化〖0.10%〗的固定管理费, 〖R份额〗收取年化〖0.10%〗的固定管理费, 〖T份额〗收取年化〖0.09%〗的固定管理费, 〖U份额〗收取年化〖0.10%〗的固定管理费, 〖V份额〗收取年化〖0.10%〗的固定管理费, 〖W份额〗收取年化〖0.10%〗的固定管理费, 〖X份额〗收取年化〖0.10%〗的固定管理费, 〖Y份额〗收取年化〖0.10%〗的固定管理费, 〖Z份额〗收取年化〖0.10%〗的固定管理费。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O份额）到期日（提前终止日）的折合年化收益率在〖业绩比较基准下限（含）至业绩比较基准上限（含）〗的部分，管理人提取〖50%〗作为浮动管理费，在折合年化收益率超过〖业绩比较基准上限〗的部分，管理人提取〖80%〗作为浮动管理费；〖O份额〗到期日（提前终止日）的折合年化收益率在〖业绩比较基准下限（含）至业绩比较基准中枢（含）〗的部分，管理人提取〖50%〗作为浮动管理费，在折合年化收益率超过〖业绩比较基准中枢〗的部分，管理人提取〖60%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kern w:val="2"/>
          <w:position w:val="0"/>
          <w:sz w:val="24"/>
          <w:szCs w:val="24"/>
          <w:highlight w:val="none"/>
        </w:rPr>
      </w:pPr>
      <w:r>
        <w:rPr>
          <w:rFonts w:hint="eastAsia" w:ascii="宋体" w:hAnsi="宋体" w:eastAsia="宋体" w:cs="宋体"/>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highlight w:val="none"/>
        </w:rPr>
      </w:pPr>
      <w:r>
        <w:rPr>
          <w:rFonts w:hint="eastAsia" w:ascii="宋体" w:hAnsi="宋体" w:eastAsia="宋体" w:cs="宋体"/>
          <w:kern w:val="2"/>
          <w:position w:val="0"/>
          <w:sz w:val="24"/>
          <w:szCs w:val="24"/>
          <w:highlight w:val="none"/>
          <w:lang w:val="en-US" w:eastAsia="zh-CN" w:bidi="ar"/>
        </w:rPr>
        <w:t>法律法规或监管机构允许投资的符合本理财产品投资性质的其他金融资产。</w:t>
      </w:r>
    </w:p>
    <w:p>
      <w:pPr>
        <w:numPr>
          <w:ilvl w:val="0"/>
          <w:numId w:val="12"/>
        </w:numPr>
        <w:spacing w:line="360" w:lineRule="auto"/>
        <w:jc w:val="left"/>
        <w:outlineLvl w:val="2"/>
        <w:rPr>
          <w:rFonts w:hint="eastAsia" w:ascii="宋体" w:hAnsi="宋体" w:eastAsia="宋体" w:cs="宋体"/>
          <w:b/>
          <w:sz w:val="24"/>
          <w:highlight w:val="none"/>
        </w:rPr>
      </w:pPr>
      <w:r>
        <w:rPr>
          <w:rFonts w:hint="eastAsia" w:ascii="宋体" w:hAnsi="宋体" w:eastAsia="宋体" w:cs="宋体"/>
          <w:b/>
          <w:sz w:val="24"/>
          <w:highlight w:val="none"/>
        </w:rPr>
        <w:t>投资比例</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本理财计划各投资资产占</w:t>
      </w:r>
      <w:r>
        <w:rPr>
          <w:rFonts w:hint="eastAsia" w:ascii="宋体" w:hAnsi="宋体" w:eastAsia="宋体" w:cs="宋体"/>
          <w:bCs/>
          <w:sz w:val="24"/>
          <w:highlight w:val="none"/>
          <w:lang w:eastAsia="zh-CN"/>
        </w:rPr>
        <w:t>总</w:t>
      </w:r>
      <w:r>
        <w:rPr>
          <w:rFonts w:hint="eastAsia" w:ascii="宋体" w:hAnsi="宋体" w:eastAsia="宋体" w:cs="宋体"/>
          <w:bCs/>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highlight w:val="none"/>
        </w:rPr>
      </w:pPr>
      <w:r>
        <w:rPr>
          <w:rFonts w:hint="eastAsia" w:ascii="宋体" w:hAnsi="宋体" w:eastAsia="宋体" w:cs="宋体"/>
          <w:kern w:val="2"/>
          <w:sz w:val="24"/>
          <w:szCs w:val="24"/>
          <w:lang w:val="en-US" w:eastAsia="zh-CN" w:bidi="ar"/>
        </w:rPr>
        <w:t>本理财产品投资于固定收益类资产的比例不低于80%，投资于非标准化债权类资产的比例不高于50%。</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13"/>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14"/>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1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15"/>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17"/>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销售机构信息</w:t>
            </w: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杭银理财有限责任公司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东莞农村商业银行股份有限公司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广东省东莞市东城街道鸿福东路2号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0769961122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中山农村商业银行股份有限公司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中山市东区中山三路26号之一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0760-23327126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九江银行股份有限公司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江西省九江市濂溪区长虹大道619号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厦门国际银行股份有限公司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厦门市思明区鹭江道8-10号国际银行大厦1-6层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哈密市商业银行股份有限公司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新疆哈密市伊州区天山北路52号哈建大厦1-4层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0902-2365763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辽宁省大连经济技术开发区五彩城A区1栋-A1号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辽宁省大连市中山区中山路88号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4006640099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宁波通商银行股份有限公司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浙江省宁波市鄞州区民安东路337号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4009166666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富滇银行股份有限公司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云南省昆明市西山区西园路1912号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0871-63127342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山西银行股份有限公司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山西转型综合改革示范区学府产业园高新街15号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0351-96588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广发银行股份有限公司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广州市越秀区东风东路713号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02038322606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广州市黄埔区映日路9号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广州市天河区珠江东路30号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400-83-96699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成都农村商业银行股份有限公司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成都市武侯区科华中路88号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新疆银行股份有限公司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新疆乌鲁木齐市天山区新华南路338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0991-96559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无锡农村商业银行股份有限公司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江苏省无锡市锡山区延庆街11号、丹山路66-3、66-1301号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昆仑银行股份有限公司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新疆克拉玛依市世纪大道7号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晋商银行股份有限公司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中国山西省太原市小店区长风街59号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9510-5588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汉口银行股份有限公司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湖北省武汉市江汉区建设大道933号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江苏丹阳农村商业银行股份有限公司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镇江市丹阳金陵西路152号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江苏南通农村商业银行股份有限公司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南通市崇川区工农南路89号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江苏启东农村商业银行股份有限公司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江苏省启东市汇龙镇金沙江路1688号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0513-83929017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江苏常熟农村商业银行股份有限公司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江苏省常熟市新世纪大道58号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0512-52909021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江苏张家港农村商业银行股份有限公司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江苏扬州农村商业银行股份有限公司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江苏省扬州市同泰路107号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江苏昆山农村商业银行股份有限公司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江苏江南农村商业银行股份有限公司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常州市武进区延政中路9号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0519-88806087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江苏江阴农村商业银行股份有限公司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江阴市澄江中路1号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0510-86823403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江苏泗阳农村商业银行股份有限公司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江苏省泗阳县众兴镇北京中路21号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江苏滨海农村商业银行股份有限公司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滨海县城迎宾中路1号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江苏苏州农村商业银行股份有限公司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江苏省苏州市吴江区中山南路1777号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江苏镇江农村商业银行股份有限公司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江苏省镇江市润州区长江路97号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浙江省杭州市萧山区鸿宁路1788号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0571-87659101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浙江民泰商业银行股份有限公司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浙江省温岭市太平街道三星大道168号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0576-86165160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温州银行股份有限公司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浙江省温州市鹿城区会展路1316号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0577-88990092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武汉市武昌区水果湖街中北路86号汉街总部国际8栋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4008596599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湖南省长沙市天心区湘江中路二段210号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0731-89828919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珠海农村商业银行股份有限公司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珠海市香洲兴业路223号农信金融大厦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0756-2636992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甘肃银行股份有限公司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甘肃省兰州市城关区东岗西路525号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0931-8771864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秦皇岛银行股份有限公司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河北省秦皇岛市海港区河北大街西段560号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0335-5911161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绍兴银行股份有限公司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浙江省绍兴市越城区塔山街道中兴南路1号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13606751337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苏州银行股份有限公司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中国（江苏）自由贸易试验区苏州片区苏州工业园区钟园路728号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0512-69868556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贵阳银行股份有限公司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贵州省贵阳市观山湖区长岭北路中天·会展城B区金融商务区东区1-6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4011-96033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赣州银行股份有限公司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江西省赣州市赣江源大道26号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0797-96296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辽宁农村商业银行股份有限公司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辽宁省沈阳市浑南区王滨街道王滨沟村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长安银行股份有限公司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陕西省西安市高新区高新四路13号1幢1单元10101室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029-96669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长沙银行股份有限公司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长沙市芙蓉中路一段433号长沙银行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0731-89934772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青海银行股份有限公司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青海省西宁市城西区西关大街130号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keepNext w:val="0"/>
              <w:keepLines w:val="0"/>
              <w:suppressLineNumbers w:val="0"/>
              <w:spacing w:before="0" w:beforeAutospacing="0" w:after="0" w:afterAutospacing="0"/>
              <w:ind w:left="0" w:right="0"/>
              <w:jc w:val="center"/>
              <w:rPr>
                <w:rFonts w:hint="default"/>
              </w:rPr>
            </w:pPr>
            <w:r>
              <w:rPr>
                <w:rFonts w:hint="default"/>
              </w:rPr>
              <w:t>销售机构职责</w:t>
            </w:r>
          </w:p>
        </w:tc>
        <w:tc>
          <w:tcPr>
            <w:tcW w:w="6600" w:type="dxa"/>
            <w:gridSpan w:val="3"/>
            <w:vAlign w:val="center"/>
          </w:tcPr>
          <w:p>
            <w:pPr>
              <w:keepNext w:val="0"/>
              <w:keepLines w:val="0"/>
              <w:suppressLineNumbers w:val="0"/>
              <w:spacing w:before="0" w:beforeAutospacing="0" w:after="0" w:afterAutospacing="0"/>
              <w:ind w:left="0" w:right="0"/>
              <w:jc w:val="left"/>
              <w:rPr>
                <w:rFonts w:hint="default"/>
              </w:rPr>
            </w:pPr>
            <w:r>
              <w:rPr>
                <w:rFonts w:hint="default"/>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G份额〗、〖H份额〗、〖I份额〗、〖J份额〗、〖K份额〗、〖M份额〗、〖O份额〗、〖P份额〗、〖Q份额〗、〖U份额〗、〖V份额〗、〖X份额〗和销售服务费于产品成立日一次性收取的〖N份额〗、〖R份额〗、〖T份额〗、〖W份额〗、〖Y份额〗、〖Z份额〗。A份额的年化销售服务费率为〖0.30%〗, B份额的年化销售服务费率为〖0.20%〗, C份额的年化销售服务费率为〖0.10%〗, D份额的年化销售服务费率为〖0.15%〗, E份额的年化销售服务费率为〖0.40%〗, G份额的年化销售服务费率为〖0.01%〗, H份额的年化销售服务费率为〖0.20%〗, I份额的年化销售服务费率为〖0.30%〗, J份额的年化销售服务费率为〖0.05%〗, K份额的年化销售服务费率为〖0.30%〗, M份额的年化销售服务费率为〖0.15%〗, N份额的年化销售服务费率为〖0.20%〗, O份额的年化销售服务费率为〖0.20%〗, P份额的年化销售服务费率为〖0.15%〗, Q份额的年化销售服务费率为〖0.25%〗, R份额的年化销售服务费率为〖0.15%〗, T份额的年化销售服务费率为〖0.15%〗, U份额的年化销售服务费率为〖0.15%〗, V份额的年化销售服务费率为〖0.15%〗, W份额的年化销售服务费率为〖0.30%〗, X份额的年化销售服务费率为〖0.05%〗, Y份额的年化销售服务费率为〖0.20%〗, Z份额的年化销售服务费率为〖0.10%〗。两种计算方法如下：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H2为〖N份额〗应计提的销售服务费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E2为〖N份额〗成立日产品份额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E份额的年化固定管理费率为〖0.15%〗, G份额的年化固定管理费率为〖0.09%〗, H份额的年化固定管理费率为〖0.10%〗, I份额的年化固定管理费率为〖0.10%〗, J份额的年化固定管理费率为〖0.10%〗, K份额的年化固定管理费率为〖0.10%〗, M份额的年化固定管理费率为〖0.10%〗, N份额的年化固定管理费率为〖0.10%〗, O份额的年化固定管理费率为〖0.10%〗, P份额的年化固定管理费率为〖0.10%〗, Q份额的年化固定管理费率为〖0.10%〗, R份额的年化固定管理费率为〖0.10%〗, T份额的年化固定管理费率为〖0.09%〗, U份额的年化固定管理费率为〖0.10%〗, V份额的年化固定管理费率为〖0.10%〗, W份额的年化固定管理费率为〖0.10%〗, X份额的年化固定管理费率为〖0.10%〗, Y份额的年化固定管理费率为〖0.10%〗, Z份额的年化固定管理费率为〖0.10%〗,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0.10</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0"/>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0"/>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0"/>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3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3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4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42"/>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43"/>
        </w:numPr>
        <w:tabs>
          <w:tab w:val="left" w:pos="6090"/>
        </w:tabs>
        <w:spacing w:line="360" w:lineRule="auto"/>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w:t>
      </w:r>
      <w:bookmarkStart w:id="0" w:name="_GoBack"/>
      <w:bookmarkEnd w:id="0"/>
      <w:r>
        <w:rPr>
          <w:rFonts w:hint="eastAsia" w:ascii="宋体" w:hAnsi="宋体" w:cs="宋体"/>
          <w:bCs/>
          <w:color w:val="000000"/>
          <w:sz w:val="24"/>
          <w:highlight w:val="none"/>
        </w:rPr>
        <w:t>理财计划有关的信息披露，以免造成不必要的损失。投资者因自身原因或不可抗力导致未及时获知本理财计划的运作或收益分配情况，管理人不承担任何责任。</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1">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2">
    <w:nsid w:val="8906C252"/>
    <w:multiLevelType w:val="singleLevel"/>
    <w:tmpl w:val="8906C252"/>
    <w:lvl w:ilvl="0" w:tentative="0">
      <w:start w:val="1"/>
      <w:numFmt w:val="decimal"/>
      <w:suff w:val="nothing"/>
      <w:lvlText w:val="（%1）"/>
      <w:lvlJc w:val="left"/>
      <w:rPr>
        <w:rFonts w:hint="default"/>
        <w:b w:val="0"/>
        <w:bCs w:val="0"/>
      </w:rPr>
    </w:lvl>
  </w:abstractNum>
  <w:abstractNum w:abstractNumId="3">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4">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4">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5">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6">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18">
    <w:nsid w:val="D8D75090"/>
    <w:multiLevelType w:val="singleLevel"/>
    <w:tmpl w:val="D8D75090"/>
    <w:lvl w:ilvl="0" w:tentative="0">
      <w:start w:val="1"/>
      <w:numFmt w:val="decimal"/>
      <w:suff w:val="nothing"/>
      <w:lvlText w:val="（%1）"/>
      <w:lvlJc w:val="left"/>
      <w:rPr>
        <w:rFonts w:hint="default"/>
        <w:b w:val="0"/>
        <w:bCs w:val="0"/>
      </w:rPr>
    </w:lvl>
  </w:abstractNum>
  <w:abstractNum w:abstractNumId="19">
    <w:nsid w:val="DD2251DF"/>
    <w:multiLevelType w:val="singleLevel"/>
    <w:tmpl w:val="DD2251DF"/>
    <w:lvl w:ilvl="0" w:tentative="0">
      <w:start w:val="1"/>
      <w:numFmt w:val="decimal"/>
      <w:suff w:val="nothing"/>
      <w:lvlText w:val="（%1）"/>
      <w:lvlJc w:val="left"/>
      <w:rPr>
        <w:rFonts w:hint="default"/>
        <w:b w:val="0"/>
        <w:bCs w:val="0"/>
      </w:rPr>
    </w:lvl>
  </w:abstractNum>
  <w:abstractNum w:abstractNumId="20">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1">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2">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3">
    <w:nsid w:val="F574F5B6"/>
    <w:multiLevelType w:val="singleLevel"/>
    <w:tmpl w:val="F574F5B6"/>
    <w:lvl w:ilvl="0" w:tentative="0">
      <w:start w:val="1"/>
      <w:numFmt w:val="decimal"/>
      <w:suff w:val="nothing"/>
      <w:lvlText w:val="（%1）"/>
      <w:lvlJc w:val="left"/>
    </w:lvl>
  </w:abstractNum>
  <w:abstractNum w:abstractNumId="2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5">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27">
    <w:nsid w:val="084A6179"/>
    <w:multiLevelType w:val="singleLevel"/>
    <w:tmpl w:val="084A6179"/>
    <w:lvl w:ilvl="0" w:tentative="0">
      <w:start w:val="1"/>
      <w:numFmt w:val="decimal"/>
      <w:suff w:val="nothing"/>
      <w:lvlText w:val="（%1）"/>
      <w:lvlJc w:val="left"/>
      <w:rPr>
        <w:rFonts w:hint="default"/>
        <w:highlight w:val="none"/>
      </w:rPr>
    </w:lvl>
  </w:abstractNum>
  <w:abstractNum w:abstractNumId="28">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29">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0">
    <w:nsid w:val="167B0BB4"/>
    <w:multiLevelType w:val="singleLevel"/>
    <w:tmpl w:val="167B0BB4"/>
    <w:lvl w:ilvl="0" w:tentative="0">
      <w:start w:val="1"/>
      <w:numFmt w:val="decimal"/>
      <w:suff w:val="nothing"/>
      <w:lvlText w:val="（%1）"/>
      <w:lvlJc w:val="left"/>
    </w:lvl>
  </w:abstractNum>
  <w:abstractNum w:abstractNumId="31">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2">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3">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34">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3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37">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3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3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1">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42">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39"/>
  </w:num>
  <w:num w:numId="2">
    <w:abstractNumId w:val="36"/>
  </w:num>
  <w:num w:numId="3">
    <w:abstractNumId w:val="24"/>
  </w:num>
  <w:num w:numId="4">
    <w:abstractNumId w:val="22"/>
  </w:num>
  <w:num w:numId="5">
    <w:abstractNumId w:val="28"/>
  </w:num>
  <w:num w:numId="6">
    <w:abstractNumId w:val="21"/>
  </w:num>
  <w:num w:numId="7">
    <w:abstractNumId w:val="16"/>
  </w:num>
  <w:num w:numId="8">
    <w:abstractNumId w:val="10"/>
  </w:num>
  <w:num w:numId="9">
    <w:abstractNumId w:val="13"/>
  </w:num>
  <w:num w:numId="10">
    <w:abstractNumId w:val="7"/>
  </w:num>
  <w:num w:numId="11">
    <w:abstractNumId w:val="8"/>
  </w:num>
  <w:num w:numId="12">
    <w:abstractNumId w:val="6"/>
  </w:num>
  <w:num w:numId="13">
    <w:abstractNumId w:val="41"/>
  </w:num>
  <w:num w:numId="14">
    <w:abstractNumId w:val="4"/>
  </w:num>
  <w:num w:numId="15">
    <w:abstractNumId w:val="0"/>
  </w:num>
  <w:num w:numId="16">
    <w:abstractNumId w:val="35"/>
  </w:num>
  <w:num w:numId="17">
    <w:abstractNumId w:val="23"/>
  </w:num>
  <w:num w:numId="18">
    <w:abstractNumId w:val="15"/>
  </w:num>
  <w:num w:numId="19">
    <w:abstractNumId w:val="32"/>
  </w:num>
  <w:num w:numId="20">
    <w:abstractNumId w:val="17"/>
  </w:num>
  <w:num w:numId="21">
    <w:abstractNumId w:val="5"/>
  </w:num>
  <w:num w:numId="22">
    <w:abstractNumId w:val="38"/>
  </w:num>
  <w:num w:numId="23">
    <w:abstractNumId w:val="3"/>
  </w:num>
  <w:num w:numId="24">
    <w:abstractNumId w:val="27"/>
  </w:num>
  <w:num w:numId="25">
    <w:abstractNumId w:val="31"/>
  </w:num>
  <w:num w:numId="26">
    <w:abstractNumId w:val="42"/>
  </w:num>
  <w:num w:numId="27">
    <w:abstractNumId w:val="26"/>
  </w:num>
  <w:num w:numId="28">
    <w:abstractNumId w:val="19"/>
  </w:num>
  <w:num w:numId="29">
    <w:abstractNumId w:val="34"/>
  </w:num>
  <w:num w:numId="30">
    <w:abstractNumId w:val="1"/>
  </w:num>
  <w:num w:numId="31">
    <w:abstractNumId w:val="20"/>
  </w:num>
  <w:num w:numId="32">
    <w:abstractNumId w:val="25"/>
  </w:num>
  <w:num w:numId="33">
    <w:abstractNumId w:val="37"/>
  </w:num>
  <w:num w:numId="34">
    <w:abstractNumId w:val="29"/>
  </w:num>
  <w:num w:numId="35">
    <w:abstractNumId w:val="14"/>
  </w:num>
  <w:num w:numId="36">
    <w:abstractNumId w:val="40"/>
  </w:num>
  <w:num w:numId="37">
    <w:abstractNumId w:val="11"/>
  </w:num>
  <w:num w:numId="38">
    <w:abstractNumId w:val="9"/>
  </w:num>
  <w:num w:numId="39">
    <w:abstractNumId w:val="12"/>
  </w:num>
  <w:num w:numId="40">
    <w:abstractNumId w:val="30"/>
  </w:num>
  <w:num w:numId="41">
    <w:abstractNumId w:val="18"/>
  </w:num>
  <w:num w:numId="42">
    <w:abstractNumId w:val="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D710B0A"/>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BA3298"/>
    <w:rsid w:val="2BD054E2"/>
    <w:rsid w:val="2EAD6691"/>
    <w:rsid w:val="2F0D25D9"/>
    <w:rsid w:val="3086176D"/>
    <w:rsid w:val="31124CF4"/>
    <w:rsid w:val="31A3269E"/>
    <w:rsid w:val="322D08A3"/>
    <w:rsid w:val="32626F15"/>
    <w:rsid w:val="329E36D6"/>
    <w:rsid w:val="330C044D"/>
    <w:rsid w:val="336A97A3"/>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B4279DD"/>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409454D"/>
    <w:rsid w:val="751974A1"/>
    <w:rsid w:val="758B30E4"/>
    <w:rsid w:val="75F42331"/>
    <w:rsid w:val="761F7C3C"/>
    <w:rsid w:val="76683D2A"/>
    <w:rsid w:val="76C62D9E"/>
    <w:rsid w:val="78244617"/>
    <w:rsid w:val="7A923507"/>
    <w:rsid w:val="7AAFF850"/>
    <w:rsid w:val="7ACB640D"/>
    <w:rsid w:val="7BFF1A29"/>
    <w:rsid w:val="7C044D89"/>
    <w:rsid w:val="7C63442B"/>
    <w:rsid w:val="7D3AA22F"/>
    <w:rsid w:val="7D9F2F3F"/>
    <w:rsid w:val="7DE35ECA"/>
    <w:rsid w:val="7DF186E2"/>
    <w:rsid w:val="7E1A0C5A"/>
    <w:rsid w:val="7E3212D3"/>
    <w:rsid w:val="7E7F7BE9"/>
    <w:rsid w:val="7F1F34D5"/>
    <w:rsid w:val="7F5F887D"/>
    <w:rsid w:val="7F9FC635"/>
    <w:rsid w:val="7FCC7D05"/>
    <w:rsid w:val="7FEF42B8"/>
    <w:rsid w:val="7FEFE414"/>
    <w:rsid w:val="7FF2B36D"/>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qFormat/>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33877</Words>
  <Characters>34745</Characters>
  <Lines>1</Lines>
  <Paragraphs>1</Paragraphs>
  <TotalTime>0</TotalTime>
  <ScaleCrop>false</ScaleCrop>
  <LinksUpToDate>false</LinksUpToDate>
  <CharactersWithSpaces>35110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2026-04-02T08:17:22Z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57E02BC5A8D2EE743422CE69995837BE_43</vt:lpwstr>
  </property>
</Properties>
</file>