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CB7847">
      <w:pPr>
        <w:jc w:val="center"/>
        <w:rPr>
          <w:rFonts w:ascii="宋体" w:hAnsi="宋体" w:eastAsia="宋体" w:cs="黑体"/>
          <w:b/>
          <w:bCs/>
          <w:color w:val="000000"/>
          <w:sz w:val="36"/>
          <w:szCs w:val="36"/>
        </w:rPr>
      </w:pPr>
      <w:r>
        <w:rPr>
          <w:rFonts w:hint="eastAsia" w:ascii="宋体" w:hAnsi="宋体" w:eastAsia="宋体" w:cs="黑体"/>
          <w:b/>
          <w:bCs/>
          <w:color w:val="000000"/>
          <w:sz w:val="36"/>
          <w:szCs w:val="36"/>
        </w:rPr>
        <w:t xml:space="preserve">平安理财有限责任公司理财产品投资协议书 </w:t>
      </w:r>
    </w:p>
    <w:p w14:paraId="277C9873">
      <w:pPr>
        <w:jc w:val="left"/>
        <w:rPr>
          <w:rFonts w:ascii="宋体" w:hAnsi="宋体" w:eastAsia="宋体" w:cs="黑体"/>
          <w:b/>
          <w:bCs/>
          <w:color w:val="000000"/>
          <w:sz w:val="36"/>
          <w:szCs w:val="36"/>
        </w:rPr>
      </w:pPr>
    </w:p>
    <w:p w14:paraId="65A3790E">
      <w:pPr>
        <w:spacing w:line="360" w:lineRule="auto"/>
        <w:ind w:firstLine="424" w:firstLineChars="206"/>
        <w:rPr>
          <w:rFonts w:ascii="宋体" w:hAnsi="宋体" w:eastAsia="宋体"/>
          <w:spacing w:val="-2"/>
          <w:szCs w:val="21"/>
        </w:rPr>
      </w:pPr>
      <w:r>
        <w:rPr>
          <w:rFonts w:hint="eastAsia" w:ascii="宋体" w:hAnsi="宋体" w:eastAsia="宋体"/>
          <w:spacing w:val="-2"/>
          <w:szCs w:val="21"/>
        </w:rPr>
        <w:t>理财非存款，产品有风险，投资须谨慎。</w:t>
      </w:r>
    </w:p>
    <w:p w14:paraId="596EA27C">
      <w:pPr>
        <w:spacing w:line="360" w:lineRule="auto"/>
        <w:ind w:firstLine="424" w:firstLineChars="206"/>
        <w:rPr>
          <w:rFonts w:ascii="宋体" w:hAnsi="宋体" w:eastAsia="宋体"/>
          <w:spacing w:val="-2"/>
          <w:szCs w:val="21"/>
        </w:rPr>
      </w:pPr>
      <w:r>
        <w:rPr>
          <w:rFonts w:hint="eastAsia" w:ascii="宋体" w:hAnsi="宋体" w:eastAsia="宋体"/>
          <w:spacing w:val="-2"/>
          <w:szCs w:val="21"/>
        </w:rPr>
        <w:t>甲方（以下或称“投资者”）自愿购买本理财产品，与乙方（平安理财有限责任公司，以下或称“平安理财”）协商一致，签订包含本投资协议书（以下简称“本协议”）在内的全套销售文件。</w:t>
      </w:r>
    </w:p>
    <w:p w14:paraId="15B4164B">
      <w:pPr>
        <w:spacing w:line="360" w:lineRule="auto"/>
        <w:rPr>
          <w:rFonts w:ascii="宋体" w:hAnsi="宋体" w:eastAsia="宋体"/>
          <w:spacing w:val="-2"/>
          <w:szCs w:val="21"/>
        </w:rPr>
      </w:pPr>
      <w:r>
        <w:rPr>
          <w:rFonts w:hint="eastAsia" w:ascii="宋体" w:hAnsi="宋体" w:eastAsia="宋体"/>
          <w:spacing w:val="-2"/>
          <w:szCs w:val="21"/>
        </w:rPr>
        <w:t>-----------------------------------------------------------------------------------------</w:t>
      </w:r>
    </w:p>
    <w:p w14:paraId="65CECEAA">
      <w:pPr>
        <w:spacing w:line="360" w:lineRule="auto"/>
        <w:ind w:firstLine="424" w:firstLineChars="206"/>
        <w:rPr>
          <w:rFonts w:ascii="宋体" w:hAnsi="宋体" w:eastAsia="宋体"/>
          <w:spacing w:val="-2"/>
          <w:szCs w:val="21"/>
        </w:rPr>
      </w:pPr>
    </w:p>
    <w:p w14:paraId="24A9ED35">
      <w:pPr>
        <w:spacing w:line="360" w:lineRule="auto"/>
        <w:rPr>
          <w:rFonts w:ascii="宋体" w:hAnsi="宋体" w:eastAsia="宋体" w:cs="宋体"/>
          <w:b/>
          <w:bCs/>
          <w:szCs w:val="21"/>
        </w:rPr>
      </w:pPr>
      <w:r>
        <w:rPr>
          <w:rFonts w:hint="eastAsia" w:ascii="宋体" w:hAnsi="宋体" w:eastAsia="宋体" w:cs="宋体"/>
          <w:b/>
          <w:bCs/>
          <w:szCs w:val="21"/>
        </w:rPr>
        <w:t>一、重要声明</w:t>
      </w:r>
    </w:p>
    <w:p w14:paraId="1B695593">
      <w:pPr>
        <w:spacing w:line="360" w:lineRule="auto"/>
        <w:rPr>
          <w:rFonts w:ascii="宋体" w:hAnsi="宋体" w:eastAsia="宋体"/>
          <w:b/>
          <w:spacing w:val="-2"/>
          <w:szCs w:val="21"/>
        </w:rPr>
      </w:pPr>
      <w:r>
        <w:rPr>
          <w:rFonts w:hint="eastAsia" w:ascii="宋体" w:hAnsi="宋体" w:eastAsia="宋体"/>
          <w:spacing w:val="-2"/>
          <w:szCs w:val="21"/>
        </w:rPr>
        <w:t xml:space="preserve">    </w:t>
      </w:r>
      <w:r>
        <w:rPr>
          <w:rFonts w:ascii="宋体" w:hAnsi="宋体" w:eastAsia="宋体"/>
          <w:b/>
          <w:spacing w:val="-2"/>
          <w:szCs w:val="21"/>
        </w:rPr>
        <w:t>本协议与</w:t>
      </w:r>
      <w:r>
        <w:rPr>
          <w:rFonts w:hint="eastAsia" w:ascii="宋体" w:hAnsi="宋体" w:eastAsia="宋体"/>
          <w:b/>
          <w:spacing w:val="-2"/>
          <w:szCs w:val="21"/>
        </w:rPr>
        <w:t>本理财产品对应《</w:t>
      </w:r>
      <w:r>
        <w:rPr>
          <w:rFonts w:ascii="宋体" w:hAnsi="宋体" w:eastAsia="宋体"/>
          <w:b/>
          <w:spacing w:val="-2"/>
          <w:szCs w:val="21"/>
        </w:rPr>
        <w:t>产品说明书</w:t>
      </w:r>
      <w:r>
        <w:rPr>
          <w:rFonts w:hint="eastAsia" w:ascii="宋体" w:hAnsi="宋体" w:eastAsia="宋体"/>
          <w:b/>
          <w:spacing w:val="-2"/>
          <w:szCs w:val="21"/>
        </w:rPr>
        <w:t>》《</w:t>
      </w:r>
      <w:r>
        <w:rPr>
          <w:rFonts w:ascii="宋体" w:hAnsi="宋体" w:eastAsia="宋体"/>
          <w:b/>
          <w:spacing w:val="-2"/>
          <w:szCs w:val="21"/>
        </w:rPr>
        <w:t>风险揭示书</w:t>
      </w:r>
      <w:r>
        <w:rPr>
          <w:rFonts w:hint="eastAsia" w:ascii="宋体" w:hAnsi="宋体" w:eastAsia="宋体"/>
          <w:b/>
          <w:spacing w:val="-2"/>
          <w:szCs w:val="21"/>
        </w:rPr>
        <w:t>》《代理销售协议书》（该文件具体名称以实际为准，下同）、《客户</w:t>
      </w:r>
      <w:r>
        <w:rPr>
          <w:rFonts w:ascii="宋体" w:hAnsi="宋体" w:eastAsia="宋体"/>
          <w:b/>
          <w:spacing w:val="-2"/>
          <w:szCs w:val="21"/>
        </w:rPr>
        <w:t>权益须知</w:t>
      </w:r>
      <w:r>
        <w:rPr>
          <w:rFonts w:hint="eastAsia" w:ascii="宋体" w:hAnsi="宋体" w:eastAsia="宋体"/>
          <w:b/>
          <w:spacing w:val="-2"/>
          <w:szCs w:val="21"/>
        </w:rPr>
        <w:t>》共同</w:t>
      </w:r>
      <w:r>
        <w:rPr>
          <w:rFonts w:ascii="宋体" w:hAnsi="宋体" w:eastAsia="宋体"/>
          <w:b/>
          <w:spacing w:val="-2"/>
          <w:szCs w:val="21"/>
        </w:rPr>
        <w:t>构成完整的不可分割的</w:t>
      </w:r>
      <w:r>
        <w:rPr>
          <w:rFonts w:hint="eastAsia" w:ascii="宋体" w:hAnsi="宋体" w:eastAsia="宋体"/>
          <w:b/>
          <w:spacing w:val="-2"/>
          <w:szCs w:val="21"/>
        </w:rPr>
        <w:t>销售文件，均具有同等法律效力【特别提示：理财产品的《代理销售协议书》《客户权益须知》《风险揭示书》，以投资者通过销售服务机构指定信息披露渠道获取的版本为准】</w:t>
      </w:r>
      <w:r>
        <w:rPr>
          <w:rFonts w:ascii="宋体" w:hAnsi="宋体" w:eastAsia="宋体"/>
          <w:b/>
          <w:spacing w:val="-2"/>
          <w:szCs w:val="21"/>
        </w:rPr>
        <w:t>。</w:t>
      </w:r>
      <w:r>
        <w:rPr>
          <w:rFonts w:hint="eastAsia" w:ascii="宋体" w:hAnsi="宋体" w:eastAsia="宋体"/>
          <w:spacing w:val="-2"/>
          <w:szCs w:val="21"/>
        </w:rPr>
        <w:t>平安理财有限责任公司</w:t>
      </w:r>
      <w:r>
        <w:rPr>
          <w:rFonts w:ascii="宋体" w:hAnsi="宋体" w:eastAsia="宋体"/>
          <w:spacing w:val="-2"/>
          <w:szCs w:val="21"/>
        </w:rPr>
        <w:t>建议投资者在</w:t>
      </w:r>
      <w:r>
        <w:rPr>
          <w:rFonts w:hint="eastAsia" w:ascii="宋体" w:hAnsi="宋体" w:eastAsia="宋体"/>
          <w:spacing w:val="-2"/>
          <w:szCs w:val="21"/>
        </w:rPr>
        <w:t>购买</w:t>
      </w:r>
      <w:r>
        <w:rPr>
          <w:rFonts w:ascii="宋体" w:hAnsi="宋体" w:eastAsia="宋体"/>
          <w:spacing w:val="-2"/>
          <w:szCs w:val="21"/>
        </w:rPr>
        <w:t>本</w:t>
      </w:r>
      <w:r>
        <w:rPr>
          <w:rFonts w:hint="eastAsia" w:ascii="宋体" w:hAnsi="宋体" w:eastAsia="宋体"/>
          <w:spacing w:val="-2"/>
          <w:szCs w:val="21"/>
        </w:rPr>
        <w:t>理财</w:t>
      </w:r>
      <w:r>
        <w:rPr>
          <w:rFonts w:ascii="宋体" w:hAnsi="宋体" w:eastAsia="宋体"/>
          <w:spacing w:val="-2"/>
          <w:szCs w:val="21"/>
        </w:rPr>
        <w:t>产品前认真阅读</w:t>
      </w:r>
      <w:r>
        <w:rPr>
          <w:rFonts w:hint="eastAsia" w:ascii="宋体" w:hAnsi="宋体" w:eastAsia="宋体"/>
          <w:spacing w:val="-2"/>
          <w:szCs w:val="21"/>
        </w:rPr>
        <w:t>销售文件，并可</w:t>
      </w:r>
      <w:r>
        <w:rPr>
          <w:rFonts w:ascii="宋体" w:hAnsi="宋体" w:eastAsia="宋体"/>
          <w:spacing w:val="-2"/>
          <w:szCs w:val="21"/>
        </w:rPr>
        <w:t>咨询专业理财经理</w:t>
      </w:r>
      <w:r>
        <w:rPr>
          <w:rFonts w:hint="eastAsia" w:ascii="宋体" w:hAnsi="宋体" w:eastAsia="宋体"/>
          <w:spacing w:val="-2"/>
          <w:szCs w:val="21"/>
        </w:rPr>
        <w:t>。</w:t>
      </w:r>
      <w:r>
        <w:rPr>
          <w:rFonts w:hint="eastAsia" w:ascii="宋体" w:hAnsi="宋体" w:eastAsia="宋体"/>
          <w:b/>
          <w:spacing w:val="-2"/>
          <w:szCs w:val="21"/>
        </w:rPr>
        <w:t>投资者</w:t>
      </w:r>
      <w:r>
        <w:rPr>
          <w:rFonts w:ascii="宋体" w:hAnsi="宋体" w:eastAsia="宋体"/>
          <w:b/>
          <w:spacing w:val="-2"/>
          <w:szCs w:val="21"/>
        </w:rPr>
        <w:t>签署本协议</w:t>
      </w:r>
      <w:r>
        <w:rPr>
          <w:rFonts w:hint="eastAsia" w:ascii="宋体" w:hAnsi="宋体" w:eastAsia="宋体"/>
          <w:b/>
          <w:spacing w:val="-2"/>
          <w:szCs w:val="21"/>
        </w:rPr>
        <w:t>（含电子渠道确认）</w:t>
      </w:r>
      <w:r>
        <w:rPr>
          <w:rFonts w:ascii="宋体" w:hAnsi="宋体" w:eastAsia="宋体"/>
          <w:b/>
          <w:spacing w:val="-2"/>
          <w:szCs w:val="21"/>
        </w:rPr>
        <w:t>则被视为已详细阅读</w:t>
      </w:r>
      <w:r>
        <w:rPr>
          <w:rFonts w:hint="eastAsia" w:ascii="宋体" w:hAnsi="宋体" w:eastAsia="宋体"/>
          <w:b/>
          <w:spacing w:val="-2"/>
          <w:szCs w:val="21"/>
        </w:rPr>
        <w:t>销售文件</w:t>
      </w:r>
      <w:r>
        <w:rPr>
          <w:rFonts w:ascii="宋体" w:hAnsi="宋体" w:eastAsia="宋体"/>
          <w:b/>
          <w:spacing w:val="-2"/>
          <w:szCs w:val="21"/>
        </w:rPr>
        <w:t>，并充分理解</w:t>
      </w:r>
      <w:r>
        <w:rPr>
          <w:rFonts w:hint="eastAsia" w:ascii="宋体" w:hAnsi="宋体" w:eastAsia="宋体"/>
          <w:b/>
          <w:spacing w:val="-2"/>
          <w:szCs w:val="21"/>
        </w:rPr>
        <w:t>销售文件所有条款</w:t>
      </w:r>
      <w:r>
        <w:rPr>
          <w:rFonts w:ascii="宋体" w:hAnsi="宋体" w:eastAsia="宋体"/>
          <w:b/>
          <w:spacing w:val="-2"/>
          <w:szCs w:val="21"/>
        </w:rPr>
        <w:t>和潜在风险，自愿购买</w:t>
      </w:r>
      <w:r>
        <w:rPr>
          <w:rFonts w:hint="eastAsia" w:ascii="宋体" w:hAnsi="宋体" w:eastAsia="宋体"/>
          <w:b/>
          <w:spacing w:val="-2"/>
          <w:szCs w:val="21"/>
        </w:rPr>
        <w:t>本</w:t>
      </w:r>
      <w:r>
        <w:rPr>
          <w:rFonts w:ascii="宋体" w:hAnsi="宋体" w:eastAsia="宋体"/>
          <w:b/>
          <w:spacing w:val="-2"/>
          <w:szCs w:val="21"/>
        </w:rPr>
        <w:t>理财产品，并遵守</w:t>
      </w:r>
      <w:r>
        <w:rPr>
          <w:rFonts w:hint="eastAsia" w:ascii="宋体" w:hAnsi="宋体" w:eastAsia="宋体"/>
          <w:b/>
          <w:spacing w:val="-2"/>
          <w:szCs w:val="21"/>
        </w:rPr>
        <w:t>销售文件</w:t>
      </w:r>
      <w:r>
        <w:rPr>
          <w:rFonts w:ascii="宋体" w:hAnsi="宋体" w:eastAsia="宋体"/>
          <w:b/>
          <w:spacing w:val="-2"/>
          <w:szCs w:val="21"/>
        </w:rPr>
        <w:t>的各项规定。</w:t>
      </w:r>
    </w:p>
    <w:p w14:paraId="785071D4">
      <w:pPr>
        <w:spacing w:line="360" w:lineRule="auto"/>
        <w:ind w:firstLine="421"/>
        <w:rPr>
          <w:rFonts w:ascii="宋体" w:hAnsi="宋体" w:eastAsia="宋体" w:cs="宋体"/>
          <w:b/>
          <w:bCs/>
          <w:szCs w:val="21"/>
        </w:rPr>
      </w:pPr>
      <w:r>
        <w:rPr>
          <w:rFonts w:ascii="宋体" w:hAnsi="宋体" w:eastAsia="宋体"/>
          <w:spacing w:val="-2"/>
          <w:szCs w:val="21"/>
        </w:rPr>
        <w:t>本理财产品不保证本金和收益。受各种市场波动因素影响，本</w:t>
      </w:r>
      <w:r>
        <w:rPr>
          <w:rFonts w:hint="eastAsia" w:ascii="宋体" w:hAnsi="宋体" w:eastAsia="宋体"/>
          <w:spacing w:val="-2"/>
          <w:szCs w:val="21"/>
        </w:rPr>
        <w:t>理财</w:t>
      </w:r>
      <w:r>
        <w:rPr>
          <w:rFonts w:ascii="宋体" w:hAnsi="宋体" w:eastAsia="宋体"/>
          <w:spacing w:val="-2"/>
          <w:szCs w:val="21"/>
        </w:rPr>
        <w:t>产品可能存在但不限于政策风险、信用风险、市场风险、流动性风险等风险，具体风险因素在</w:t>
      </w:r>
      <w:r>
        <w:rPr>
          <w:rFonts w:hint="eastAsia" w:ascii="宋体" w:hAnsi="宋体" w:eastAsia="宋体"/>
          <w:spacing w:val="-2"/>
          <w:szCs w:val="21"/>
        </w:rPr>
        <w:t>本协议对应的理财</w:t>
      </w:r>
      <w:r>
        <w:rPr>
          <w:rFonts w:ascii="宋体" w:hAnsi="宋体" w:eastAsia="宋体"/>
          <w:spacing w:val="-2"/>
          <w:szCs w:val="21"/>
        </w:rPr>
        <w:t>产品</w:t>
      </w:r>
      <w:r>
        <w:rPr>
          <w:rFonts w:hint="eastAsia" w:ascii="宋体" w:hAnsi="宋体" w:eastAsia="宋体"/>
          <w:spacing w:val="-2"/>
          <w:szCs w:val="21"/>
        </w:rPr>
        <w:t>《风险揭示书》</w:t>
      </w:r>
      <w:r>
        <w:rPr>
          <w:rFonts w:ascii="宋体" w:hAnsi="宋体" w:eastAsia="宋体"/>
          <w:spacing w:val="-2"/>
          <w:szCs w:val="21"/>
        </w:rPr>
        <w:t>中揭示。请您充分认识投资风险，谨慎投资。</w:t>
      </w:r>
      <w:bookmarkStart w:id="0" w:name="_GoBack"/>
      <w:bookmarkEnd w:id="0"/>
    </w:p>
    <w:p w14:paraId="541DB011">
      <w:pPr>
        <w:spacing w:line="360" w:lineRule="auto"/>
        <w:rPr>
          <w:rFonts w:ascii="宋体" w:hAnsi="宋体" w:eastAsia="宋体" w:cs="宋体"/>
          <w:b/>
          <w:bCs/>
          <w:szCs w:val="21"/>
        </w:rPr>
      </w:pPr>
      <w:r>
        <w:rPr>
          <w:rFonts w:hint="eastAsia" w:ascii="宋体" w:hAnsi="宋体" w:eastAsia="宋体" w:cs="宋体"/>
          <w:b/>
          <w:bCs/>
          <w:szCs w:val="21"/>
        </w:rPr>
        <w:t>二、双方权利和义务</w:t>
      </w:r>
    </w:p>
    <w:p w14:paraId="073106CF">
      <w:pPr>
        <w:spacing w:line="360" w:lineRule="auto"/>
        <w:ind w:firstLine="422" w:firstLineChars="200"/>
        <w:rPr>
          <w:rFonts w:ascii="宋体" w:hAnsi="宋体" w:eastAsia="宋体" w:cs="宋体"/>
          <w:b/>
          <w:bCs/>
          <w:szCs w:val="21"/>
        </w:rPr>
      </w:pPr>
      <w:r>
        <w:rPr>
          <w:rFonts w:hint="eastAsia" w:ascii="宋体" w:hAnsi="宋体" w:eastAsia="宋体" w:cs="宋体"/>
          <w:b/>
          <w:bCs/>
          <w:szCs w:val="21"/>
        </w:rPr>
        <w:t>（一）甲方的权利义务</w:t>
      </w:r>
    </w:p>
    <w:p w14:paraId="3E9C369F">
      <w:pPr>
        <w:spacing w:line="360" w:lineRule="auto"/>
        <w:ind w:firstLine="421"/>
        <w:rPr>
          <w:rFonts w:ascii="宋体" w:hAnsi="宋体" w:eastAsia="宋体"/>
          <w:spacing w:val="-2"/>
          <w:szCs w:val="21"/>
        </w:rPr>
      </w:pPr>
      <w:r>
        <w:rPr>
          <w:rFonts w:hint="eastAsia" w:ascii="宋体" w:hAnsi="宋体" w:eastAsia="宋体"/>
          <w:spacing w:val="-2"/>
          <w:szCs w:val="21"/>
        </w:rPr>
        <w:t>1、投资者</w:t>
      </w:r>
      <w:r>
        <w:rPr>
          <w:rFonts w:ascii="宋体" w:hAnsi="宋体" w:eastAsia="宋体"/>
          <w:spacing w:val="-2"/>
          <w:szCs w:val="21"/>
        </w:rPr>
        <w:t>保证</w:t>
      </w:r>
      <w:r>
        <w:rPr>
          <w:rFonts w:hint="eastAsia" w:ascii="宋体" w:hAnsi="宋体" w:eastAsia="宋体"/>
          <w:spacing w:val="-2"/>
          <w:szCs w:val="21"/>
        </w:rPr>
        <w:t>购买理财产品的资金来源合法合规，为其</w:t>
      </w:r>
      <w:r>
        <w:rPr>
          <w:rFonts w:ascii="宋体" w:hAnsi="宋体" w:eastAsia="宋体"/>
          <w:spacing w:val="-2"/>
          <w:szCs w:val="21"/>
        </w:rPr>
        <w:t>合法</w:t>
      </w:r>
      <w:r>
        <w:rPr>
          <w:rFonts w:hint="eastAsia" w:ascii="宋体" w:hAnsi="宋体" w:eastAsia="宋体"/>
          <w:spacing w:val="-2"/>
          <w:szCs w:val="21"/>
        </w:rPr>
        <w:t>的自有</w:t>
      </w:r>
      <w:r>
        <w:rPr>
          <w:rFonts w:ascii="宋体" w:hAnsi="宋体" w:eastAsia="宋体"/>
          <w:spacing w:val="-2"/>
          <w:szCs w:val="21"/>
        </w:rPr>
        <w:t>资金，</w:t>
      </w:r>
      <w:r>
        <w:rPr>
          <w:rFonts w:hint="eastAsia" w:ascii="宋体" w:hAnsi="宋体" w:eastAsia="宋体"/>
          <w:spacing w:val="-2"/>
          <w:szCs w:val="21"/>
        </w:rPr>
        <w:t>不存在使用贷款、发行债券等筹集的非自有资金投资理财产品的情况；投资者承诺</w:t>
      </w:r>
      <w:r>
        <w:rPr>
          <w:rFonts w:ascii="宋体" w:hAnsi="宋体" w:eastAsia="宋体"/>
          <w:spacing w:val="-2"/>
          <w:szCs w:val="21"/>
        </w:rPr>
        <w:t>订立和履行</w:t>
      </w:r>
      <w:r>
        <w:rPr>
          <w:rFonts w:hint="eastAsia" w:ascii="宋体" w:hAnsi="宋体" w:eastAsia="宋体"/>
          <w:spacing w:val="-2"/>
          <w:szCs w:val="21"/>
        </w:rPr>
        <w:t>本协议</w:t>
      </w:r>
      <w:r>
        <w:rPr>
          <w:rFonts w:ascii="宋体" w:hAnsi="宋体" w:eastAsia="宋体"/>
          <w:spacing w:val="-2"/>
          <w:szCs w:val="21"/>
        </w:rPr>
        <w:t>并不违反任何</w:t>
      </w:r>
      <w:r>
        <w:rPr>
          <w:rFonts w:hint="eastAsia" w:ascii="宋体" w:hAnsi="宋体" w:eastAsia="宋体"/>
          <w:spacing w:val="-2"/>
          <w:szCs w:val="21"/>
        </w:rPr>
        <w:t>法律、法规</w:t>
      </w:r>
      <w:r>
        <w:rPr>
          <w:rFonts w:ascii="宋体" w:hAnsi="宋体" w:eastAsia="宋体"/>
          <w:spacing w:val="-2"/>
          <w:szCs w:val="21"/>
        </w:rPr>
        <w:t>，且不违反任何约束或影响</w:t>
      </w:r>
      <w:r>
        <w:rPr>
          <w:rFonts w:hint="eastAsia" w:ascii="宋体" w:hAnsi="宋体" w:eastAsia="宋体"/>
          <w:spacing w:val="-2"/>
          <w:szCs w:val="21"/>
        </w:rPr>
        <w:t>投资者</w:t>
      </w:r>
      <w:r>
        <w:rPr>
          <w:rFonts w:ascii="宋体" w:hAnsi="宋体" w:eastAsia="宋体"/>
          <w:spacing w:val="-2"/>
          <w:szCs w:val="21"/>
        </w:rPr>
        <w:t>或其资产的合同、协议或承诺。</w:t>
      </w:r>
    </w:p>
    <w:p w14:paraId="7B9C1FC2">
      <w:pPr>
        <w:spacing w:line="360" w:lineRule="auto"/>
        <w:ind w:firstLine="421"/>
        <w:rPr>
          <w:rFonts w:ascii="宋体" w:hAnsi="宋体" w:eastAsia="宋体"/>
          <w:spacing w:val="-2"/>
          <w:szCs w:val="21"/>
        </w:rPr>
      </w:pPr>
      <w:r>
        <w:rPr>
          <w:rFonts w:hint="eastAsia" w:ascii="宋体" w:hAnsi="宋体" w:eastAsia="宋体"/>
          <w:spacing w:val="-2"/>
          <w:szCs w:val="21"/>
        </w:rPr>
        <w:t>2、投资者应当配合管理人平安理财及销售服务机构开展投资者身份识别及尽职调查等反洗钱、反恐怖融资、反扩散融资及非居民金融账户涉税信息尽职调查等工作，并配合提供金融资产证明、收入证明或纳税凭证等材料（如需），及时、真实、准确、完整提供身份信息及资金来源等信息。投资者承诺所提供的所有资料真实、完整、合法、有效，如有变更，投资者应及时按照销售服务机构要求办理变更手续。</w:t>
      </w:r>
      <w:r>
        <w:rPr>
          <w:rFonts w:hint="eastAsia" w:ascii="宋体" w:hAnsi="宋体" w:eastAsia="宋体"/>
          <w:b/>
          <w:spacing w:val="-2"/>
          <w:szCs w:val="21"/>
        </w:rPr>
        <w:t>若投资者未及时办理相关变更手续，由此导致的一切后果由投资者自行承担，平安理财不承担责任。</w:t>
      </w:r>
    </w:p>
    <w:p w14:paraId="0E2BFBD5">
      <w:pPr>
        <w:spacing w:line="360" w:lineRule="auto"/>
        <w:ind w:firstLine="421"/>
        <w:rPr>
          <w:rFonts w:ascii="宋体" w:hAnsi="宋体" w:eastAsia="宋体"/>
          <w:spacing w:val="-2"/>
          <w:szCs w:val="21"/>
        </w:rPr>
      </w:pPr>
      <w:r>
        <w:rPr>
          <w:rFonts w:hint="eastAsia" w:ascii="宋体" w:hAnsi="宋体" w:eastAsia="宋体"/>
          <w:spacing w:val="-2"/>
          <w:szCs w:val="21"/>
        </w:rPr>
        <w:t>3、投资者知悉并确认本理财产品非存款，而是管理人平安理财按照产品销售文件约定条件和实际投资收益情况向投资者支付收益、不保证本金支付和收益水平的非保本理财产品，其投资本金仅按照理财产品销售文件的约定承担投资风险及分享投资收益，并非按照存款计付利息。</w:t>
      </w:r>
    </w:p>
    <w:p w14:paraId="1D9F25C5">
      <w:pPr>
        <w:spacing w:line="360" w:lineRule="auto"/>
        <w:ind w:firstLine="421"/>
        <w:rPr>
          <w:rFonts w:ascii="宋体" w:hAnsi="宋体" w:eastAsia="宋体"/>
          <w:spacing w:val="-2"/>
          <w:szCs w:val="21"/>
        </w:rPr>
      </w:pPr>
      <w:r>
        <w:rPr>
          <w:rFonts w:hint="eastAsia" w:ascii="宋体" w:hAnsi="宋体" w:eastAsia="宋体"/>
          <w:spacing w:val="-2"/>
          <w:szCs w:val="21"/>
        </w:rPr>
        <w:t>4、</w:t>
      </w:r>
      <w:r>
        <w:rPr>
          <w:rFonts w:hint="eastAsia" w:ascii="宋体" w:hAnsi="宋体" w:eastAsia="宋体"/>
          <w:b/>
          <w:spacing w:val="-2"/>
          <w:szCs w:val="21"/>
        </w:rPr>
        <w:t>在产品认购</w:t>
      </w:r>
      <w:r>
        <w:rPr>
          <w:rFonts w:ascii="宋体" w:hAnsi="宋体" w:eastAsia="宋体"/>
          <w:b/>
          <w:spacing w:val="-2"/>
          <w:szCs w:val="21"/>
        </w:rPr>
        <w:t>/申购期内，如因投资者原因导致投资本金不能从其指定账户足额划转的，</w:t>
      </w:r>
      <w:r>
        <w:rPr>
          <w:rFonts w:hint="eastAsia" w:ascii="宋体" w:hAnsi="宋体" w:eastAsia="宋体"/>
          <w:b/>
          <w:spacing w:val="-2"/>
          <w:szCs w:val="21"/>
        </w:rPr>
        <w:t>则投资者对相关理财产品的购买不成功，该理财产品的相关法律协议对其不生效，平安理财不承担责任。</w:t>
      </w:r>
    </w:p>
    <w:p w14:paraId="31C6B02D">
      <w:pPr>
        <w:spacing w:line="360" w:lineRule="auto"/>
        <w:ind w:firstLine="421"/>
        <w:rPr>
          <w:rFonts w:ascii="宋体" w:hAnsi="宋体" w:eastAsia="宋体"/>
          <w:spacing w:val="-2"/>
          <w:szCs w:val="21"/>
        </w:rPr>
      </w:pPr>
      <w:r>
        <w:rPr>
          <w:rFonts w:hint="eastAsia" w:ascii="宋体" w:hAnsi="宋体" w:eastAsia="宋体"/>
          <w:spacing w:val="-2"/>
          <w:szCs w:val="21"/>
        </w:rPr>
        <w:t>5、如通过销售服务机构认购/申购本产品的，则投资者</w:t>
      </w:r>
      <w:r>
        <w:rPr>
          <w:rFonts w:ascii="宋体" w:hAnsi="宋体" w:eastAsia="宋体"/>
          <w:spacing w:val="-2"/>
          <w:szCs w:val="21"/>
        </w:rPr>
        <w:t>在此</w:t>
      </w:r>
      <w:r>
        <w:rPr>
          <w:rFonts w:hint="eastAsia" w:ascii="宋体" w:hAnsi="宋体" w:eastAsia="宋体"/>
          <w:spacing w:val="-2"/>
          <w:szCs w:val="21"/>
        </w:rPr>
        <w:t>特别</w:t>
      </w:r>
      <w:r>
        <w:rPr>
          <w:rFonts w:ascii="宋体" w:hAnsi="宋体" w:eastAsia="宋体"/>
          <w:spacing w:val="-2"/>
          <w:szCs w:val="21"/>
        </w:rPr>
        <w:t>声明：</w:t>
      </w:r>
      <w:r>
        <w:rPr>
          <w:rFonts w:hint="eastAsia" w:ascii="宋体" w:hAnsi="宋体" w:eastAsia="宋体"/>
          <w:spacing w:val="-2"/>
          <w:szCs w:val="21"/>
        </w:rPr>
        <w:t>授权销售服务机构按委托金额直接从客户指定资金账户扣划相应的认/申购资金，而无需通过任何方式与客户进行最后确认。对于风险较高或客户单笔购买金额较大的理财产品，同样适用上述划款规则。同时，客户知晓并接受，在扣款期间，乙方不向甲方计付利息，销售服务机构是否计付利息以销售服务机构相关规则为准。</w:t>
      </w:r>
    </w:p>
    <w:p w14:paraId="5EA06A5D">
      <w:pPr>
        <w:spacing w:line="360" w:lineRule="auto"/>
        <w:ind w:firstLine="421"/>
        <w:rPr>
          <w:rFonts w:ascii="宋体" w:hAnsi="宋体" w:eastAsia="宋体"/>
          <w:spacing w:val="-2"/>
          <w:szCs w:val="21"/>
        </w:rPr>
      </w:pPr>
      <w:r>
        <w:rPr>
          <w:rFonts w:hint="eastAsia" w:ascii="宋体" w:hAnsi="宋体" w:eastAsia="宋体"/>
          <w:spacing w:val="-2"/>
          <w:szCs w:val="21"/>
        </w:rPr>
        <w:t>6、如通过销售服务机构的网上银行、电话银行、手机银行等电子渠道购买理财产品的，投资者确认并接受通过电子渠道签署销售文件及在该等渠道操作行为（包括但不限于购买、赎回、撤单）的合法有效性，并确认上述系统对投资者操作行为的记录为最终证据，客户的具体操作行为以该等记录为准。</w:t>
      </w:r>
    </w:p>
    <w:p w14:paraId="77666108">
      <w:pPr>
        <w:spacing w:line="360" w:lineRule="auto"/>
        <w:ind w:firstLine="422" w:firstLineChars="200"/>
        <w:rPr>
          <w:rFonts w:ascii="宋体" w:hAnsi="宋体" w:eastAsia="宋体" w:cs="宋体"/>
          <w:b/>
          <w:bCs/>
          <w:szCs w:val="21"/>
        </w:rPr>
      </w:pPr>
      <w:r>
        <w:rPr>
          <w:rFonts w:hint="eastAsia" w:ascii="宋体" w:hAnsi="宋体" w:eastAsia="宋体" w:cs="宋体"/>
          <w:b/>
          <w:bCs/>
          <w:szCs w:val="21"/>
        </w:rPr>
        <w:t>（二）乙方的权利义务</w:t>
      </w:r>
    </w:p>
    <w:p w14:paraId="7FBC189B">
      <w:pPr>
        <w:spacing w:line="360" w:lineRule="auto"/>
        <w:ind w:firstLine="421"/>
        <w:rPr>
          <w:rFonts w:ascii="宋体" w:hAnsi="宋体" w:eastAsia="宋体"/>
          <w:spacing w:val="-2"/>
          <w:szCs w:val="21"/>
        </w:rPr>
      </w:pPr>
      <w:r>
        <w:rPr>
          <w:rFonts w:hint="eastAsia" w:ascii="宋体" w:hAnsi="宋体" w:eastAsia="宋体"/>
          <w:spacing w:val="-2"/>
          <w:szCs w:val="21"/>
        </w:rPr>
        <w:t>1、平安理财有权向投资者收取理财产品的相关费用，具体收费项目、条件、标准和方式等，以《产品说明书》及对应理财产品相关公告中载明为准。平安理财亦有权根据服务项目或服务内容，对服务费用、优惠措施及其生效和终止日期、与费用相关的例外条款和限制性条款、咨询（投诉）的联系方式等信息通过平安理财官方网站（https://wm.pingan.com）及平安理财授权销售服务机构指定信息披露渠道（指定信息披露渠道以《产品说明书》及/或《代理销售协议书》约定为准）向投资者进行信息披露。平安理财信息披露内容构成本协议不可分割的一部分，与本协议具有同等效力，投资者应在充分知晓、理解有关信息披露内容效力后签署本协议，并在签署本协议后持续关注。</w:t>
      </w:r>
      <w:r>
        <w:rPr>
          <w:rFonts w:ascii="宋体" w:hAnsi="宋体" w:eastAsia="宋体"/>
          <w:spacing w:val="-2"/>
          <w:szCs w:val="21"/>
        </w:rPr>
        <w:t xml:space="preserve"> </w:t>
      </w:r>
    </w:p>
    <w:p w14:paraId="0CF0A473">
      <w:pPr>
        <w:spacing w:line="360" w:lineRule="auto"/>
        <w:ind w:firstLine="421"/>
        <w:rPr>
          <w:rFonts w:ascii="宋体" w:hAnsi="宋体" w:eastAsia="宋体"/>
          <w:spacing w:val="-2"/>
          <w:szCs w:val="21"/>
        </w:rPr>
      </w:pPr>
      <w:r>
        <w:rPr>
          <w:rFonts w:ascii="宋体" w:hAnsi="宋体" w:eastAsia="宋体"/>
          <w:spacing w:val="-2"/>
          <w:szCs w:val="21"/>
        </w:rPr>
        <w:t>2</w:t>
      </w:r>
      <w:r>
        <w:rPr>
          <w:rFonts w:hint="eastAsia" w:ascii="宋体" w:hAnsi="宋体" w:eastAsia="宋体"/>
          <w:spacing w:val="-2"/>
          <w:szCs w:val="21"/>
        </w:rPr>
        <w:t>、平安理财及</w:t>
      </w:r>
      <w:r>
        <w:rPr>
          <w:rFonts w:ascii="宋体" w:hAnsi="宋体" w:eastAsia="宋体"/>
          <w:spacing w:val="-2"/>
          <w:szCs w:val="21"/>
        </w:rPr>
        <w:t>/</w:t>
      </w:r>
      <w:r>
        <w:rPr>
          <w:rFonts w:hint="eastAsia" w:ascii="宋体" w:hAnsi="宋体" w:eastAsia="宋体"/>
          <w:spacing w:val="-2"/>
          <w:szCs w:val="21"/>
        </w:rPr>
        <w:t>或销售服务机构按照《产品说明书》约定向投资者进行理财产品份额的收益分配并将对应资金划入投资者账户后，即视为平安理财已向投资者完成收益分配和资金的清算分配。因投资者账户冻结、挂失、换卡、销户、长期不动户等原因造成账户变更或异常，投资者应及时到销售服务机构办理变更手续。</w:t>
      </w:r>
      <w:r>
        <w:rPr>
          <w:rFonts w:hint="eastAsia" w:ascii="宋体" w:hAnsi="宋体" w:eastAsia="宋体"/>
          <w:b/>
          <w:spacing w:val="-2"/>
          <w:szCs w:val="21"/>
        </w:rPr>
        <w:t>如因投资者未及时办理变更手续而造成平安理财及</w:t>
      </w:r>
      <w:r>
        <w:rPr>
          <w:rFonts w:ascii="宋体" w:hAnsi="宋体" w:eastAsia="宋体"/>
          <w:b/>
          <w:spacing w:val="-2"/>
          <w:szCs w:val="21"/>
        </w:rPr>
        <w:t>/</w:t>
      </w:r>
      <w:r>
        <w:rPr>
          <w:rFonts w:hint="eastAsia" w:ascii="宋体" w:hAnsi="宋体" w:eastAsia="宋体"/>
          <w:b/>
          <w:spacing w:val="-2"/>
          <w:szCs w:val="21"/>
        </w:rPr>
        <w:t>或销售服务机构无法向投资者进行正常收益分配和资金清算分配，由此导致投资者损失的，由投资者自行承担，平安理财及</w:t>
      </w:r>
      <w:r>
        <w:rPr>
          <w:rFonts w:ascii="宋体" w:hAnsi="宋体" w:eastAsia="宋体"/>
          <w:b/>
          <w:spacing w:val="-2"/>
          <w:szCs w:val="21"/>
        </w:rPr>
        <w:t>/或销售服务机构</w:t>
      </w:r>
      <w:r>
        <w:rPr>
          <w:rFonts w:hint="eastAsia" w:ascii="宋体" w:hAnsi="宋体" w:eastAsia="宋体"/>
          <w:b/>
          <w:spacing w:val="-2"/>
          <w:szCs w:val="21"/>
        </w:rPr>
        <w:t>不承担责任。</w:t>
      </w:r>
    </w:p>
    <w:p w14:paraId="724C8140">
      <w:pPr>
        <w:spacing w:line="360" w:lineRule="auto"/>
        <w:ind w:firstLine="421"/>
        <w:rPr>
          <w:rFonts w:ascii="宋体" w:hAnsi="宋体" w:eastAsia="宋体"/>
          <w:spacing w:val="-2"/>
          <w:szCs w:val="21"/>
        </w:rPr>
      </w:pPr>
      <w:r>
        <w:rPr>
          <w:rFonts w:ascii="宋体" w:hAnsi="宋体" w:eastAsia="宋体"/>
          <w:spacing w:val="-2"/>
          <w:szCs w:val="21"/>
        </w:rPr>
        <w:t>3</w:t>
      </w:r>
      <w:r>
        <w:rPr>
          <w:rFonts w:hint="eastAsia" w:ascii="宋体" w:hAnsi="宋体" w:eastAsia="宋体"/>
          <w:spacing w:val="-2"/>
          <w:szCs w:val="21"/>
        </w:rPr>
        <w:t>、平安理财应按照《产品说明书》的约定披露产品相关信息。</w:t>
      </w:r>
      <w:r>
        <w:rPr>
          <w:rFonts w:ascii="宋体" w:hAnsi="宋体" w:eastAsia="宋体"/>
          <w:spacing w:val="-2"/>
          <w:szCs w:val="21"/>
        </w:rPr>
        <w:t xml:space="preserve"> </w:t>
      </w:r>
    </w:p>
    <w:p w14:paraId="7C9E763A">
      <w:pPr>
        <w:spacing w:line="360" w:lineRule="auto"/>
        <w:ind w:firstLine="421"/>
        <w:rPr>
          <w:rFonts w:ascii="宋体" w:hAnsi="宋体" w:eastAsia="宋体"/>
          <w:spacing w:val="-2"/>
          <w:szCs w:val="21"/>
        </w:rPr>
      </w:pPr>
      <w:r>
        <w:rPr>
          <w:rFonts w:ascii="宋体" w:hAnsi="宋体" w:eastAsia="宋体"/>
          <w:spacing w:val="-2"/>
          <w:szCs w:val="21"/>
        </w:rPr>
        <w:t>4</w:t>
      </w:r>
      <w:r>
        <w:rPr>
          <w:rFonts w:hint="eastAsia" w:ascii="宋体" w:hAnsi="宋体" w:eastAsia="宋体"/>
          <w:spacing w:val="-2"/>
          <w:szCs w:val="21"/>
        </w:rPr>
        <w:t>、未经投资者书面许可，平安理财不得向任何组织、个人提供或泄露与投资者有关的业务资料及信息，但法律法规及金融监管机构另有规定、</w:t>
      </w:r>
      <w:r>
        <w:rPr>
          <w:rFonts w:hint="eastAsia" w:ascii="宋体" w:hAnsi="宋体" w:eastAsia="宋体"/>
          <w:spacing w:val="-2"/>
          <w:szCs w:val="21"/>
          <w:lang w:eastAsia="zh-CN"/>
        </w:rPr>
        <w:t>为履行本合同所必需、为履行法定职责或法定义务所必需</w:t>
      </w:r>
      <w:r>
        <w:rPr>
          <w:rFonts w:hint="eastAsia" w:ascii="宋体" w:hAnsi="宋体" w:eastAsia="宋体"/>
          <w:spacing w:val="-2"/>
          <w:szCs w:val="21"/>
        </w:rPr>
        <w:t>或协议双方另有约定的其他情况除外。</w:t>
      </w:r>
      <w:r>
        <w:rPr>
          <w:rFonts w:ascii="宋体" w:hAnsi="宋体" w:eastAsia="宋体"/>
          <w:spacing w:val="-2"/>
          <w:szCs w:val="21"/>
        </w:rPr>
        <w:t xml:space="preserve"> </w:t>
      </w:r>
    </w:p>
    <w:p w14:paraId="4E1483D4">
      <w:pPr>
        <w:spacing w:line="360" w:lineRule="auto"/>
        <w:ind w:firstLine="421"/>
        <w:rPr>
          <w:rFonts w:ascii="宋体" w:hAnsi="宋体" w:eastAsia="宋体"/>
          <w:spacing w:val="-2"/>
          <w:szCs w:val="21"/>
        </w:rPr>
      </w:pPr>
      <w:r>
        <w:rPr>
          <w:rFonts w:ascii="宋体" w:hAnsi="宋体" w:eastAsia="宋体"/>
          <w:spacing w:val="-2"/>
          <w:szCs w:val="21"/>
        </w:rPr>
        <w:t>5</w:t>
      </w:r>
      <w:r>
        <w:rPr>
          <w:rFonts w:hint="eastAsia" w:ascii="宋体" w:hAnsi="宋体" w:eastAsia="宋体"/>
          <w:spacing w:val="-2"/>
          <w:szCs w:val="21"/>
        </w:rPr>
        <w:t>、平安理财作为理财产品管理人，根据法律法规、监管规定和销售文件的约定全权负责理财产品资金的运用和理财产品资产的管理，有权参加与理财产品所投资资产相关的所有会议，并对相关事项进行表决；平安理财并有权代表投资者利益，根据法律法规、监管规定和销售文件对理财产品投资产生的风险资产进行多种方式的处置，包括但不限于转让、重组、债转股、资产证券化、委外催收、抵债资产收取与处置、破产重整等。</w:t>
      </w:r>
      <w:r>
        <w:rPr>
          <w:rFonts w:ascii="宋体" w:hAnsi="宋体" w:eastAsia="宋体"/>
          <w:spacing w:val="-2"/>
          <w:szCs w:val="21"/>
        </w:rPr>
        <w:t xml:space="preserve"> </w:t>
      </w:r>
    </w:p>
    <w:p w14:paraId="429D47EC">
      <w:pPr>
        <w:spacing w:line="360" w:lineRule="auto"/>
        <w:ind w:firstLine="421"/>
        <w:rPr>
          <w:rFonts w:ascii="宋体" w:hAnsi="宋体" w:eastAsia="宋体"/>
          <w:spacing w:val="-2"/>
          <w:szCs w:val="21"/>
        </w:rPr>
      </w:pPr>
      <w:r>
        <w:rPr>
          <w:rFonts w:ascii="宋体" w:hAnsi="宋体" w:eastAsia="宋体"/>
          <w:spacing w:val="-2"/>
          <w:szCs w:val="21"/>
        </w:rPr>
        <w:t>6</w:t>
      </w:r>
      <w:r>
        <w:rPr>
          <w:rFonts w:hint="eastAsia" w:ascii="宋体" w:hAnsi="宋体" w:eastAsia="宋体"/>
          <w:spacing w:val="-2"/>
          <w:szCs w:val="21"/>
        </w:rPr>
        <w:t>、平安理财有权按照法律法规和监管要求，报送投资者身份信息、持有理财产品信息、交易明细信息及对应的销售结算资金流水。</w:t>
      </w:r>
    </w:p>
    <w:p w14:paraId="773899F8">
      <w:pPr>
        <w:spacing w:line="360" w:lineRule="auto"/>
        <w:ind w:firstLine="421"/>
        <w:rPr>
          <w:rFonts w:ascii="宋体" w:hAnsi="宋体" w:eastAsia="宋体"/>
          <w:spacing w:val="-2"/>
          <w:szCs w:val="21"/>
        </w:rPr>
      </w:pPr>
      <w:r>
        <w:rPr>
          <w:rFonts w:ascii="宋体" w:hAnsi="宋体" w:eastAsia="宋体"/>
          <w:spacing w:val="-2"/>
          <w:szCs w:val="21"/>
        </w:rPr>
        <w:t>7</w:t>
      </w:r>
      <w:r>
        <w:rPr>
          <w:rFonts w:hint="eastAsia" w:ascii="宋体" w:hAnsi="宋体" w:eastAsia="宋体"/>
          <w:spacing w:val="-2"/>
          <w:szCs w:val="21"/>
        </w:rPr>
        <w:t>、除按《产品说明书》约定平安理财或投资者享有的提前终止权外，投资者有违约行为时</w:t>
      </w:r>
      <w:r>
        <w:rPr>
          <w:rFonts w:hint="eastAsia" w:ascii="宋体" w:hAnsi="宋体" w:eastAsia="宋体" w:cs="宋体"/>
          <w:szCs w:val="21"/>
        </w:rPr>
        <w:t>或投资者交易资金被国家有权机关采取保全措施时</w:t>
      </w:r>
      <w:r>
        <w:rPr>
          <w:rFonts w:hint="eastAsia" w:ascii="宋体" w:hAnsi="宋体" w:eastAsia="宋体"/>
          <w:spacing w:val="-2"/>
          <w:szCs w:val="21"/>
        </w:rPr>
        <w:t>，平安理财</w:t>
      </w:r>
      <w:r>
        <w:rPr>
          <w:rFonts w:hint="eastAsia" w:ascii="宋体" w:hAnsi="宋体" w:eastAsia="宋体"/>
          <w:spacing w:val="-2"/>
          <w:szCs w:val="21"/>
          <w:lang w:eastAsia="zh-CN"/>
        </w:rPr>
        <w:t>可</w:t>
      </w:r>
      <w:r>
        <w:rPr>
          <w:rFonts w:hint="eastAsia" w:ascii="宋体" w:hAnsi="宋体" w:eastAsia="宋体"/>
          <w:spacing w:val="-2"/>
          <w:szCs w:val="21"/>
        </w:rPr>
        <w:t>提前终止本协议。</w:t>
      </w:r>
      <w:r>
        <w:rPr>
          <w:rFonts w:ascii="宋体" w:hAnsi="宋体" w:eastAsia="宋体"/>
          <w:spacing w:val="-2"/>
          <w:szCs w:val="21"/>
        </w:rPr>
        <w:t xml:space="preserve"> </w:t>
      </w:r>
    </w:p>
    <w:p w14:paraId="7B78839F">
      <w:pPr>
        <w:spacing w:line="360" w:lineRule="auto"/>
        <w:ind w:firstLine="421"/>
        <w:rPr>
          <w:rFonts w:ascii="宋体" w:hAnsi="宋体" w:eastAsia="宋体"/>
          <w:spacing w:val="-2"/>
          <w:szCs w:val="21"/>
        </w:rPr>
      </w:pPr>
      <w:r>
        <w:rPr>
          <w:rFonts w:ascii="宋体" w:hAnsi="宋体" w:eastAsia="宋体"/>
          <w:spacing w:val="-2"/>
          <w:szCs w:val="21"/>
        </w:rPr>
        <w:t>8</w:t>
      </w:r>
      <w:r>
        <w:rPr>
          <w:rFonts w:hint="eastAsia" w:ascii="宋体" w:hAnsi="宋体" w:eastAsia="宋体"/>
          <w:spacing w:val="-2"/>
          <w:szCs w:val="21"/>
        </w:rPr>
        <w:t>、</w:t>
      </w:r>
      <w:r>
        <w:rPr>
          <w:rFonts w:hint="eastAsia" w:ascii="宋体" w:hAnsi="宋体" w:eastAsia="宋体"/>
          <w:b/>
          <w:spacing w:val="-2"/>
          <w:szCs w:val="21"/>
        </w:rPr>
        <w:t>平安理财或销售服务机构发现或有合理理由怀疑投资者或其资金存在洗钱、恐怖融资、逃税等嫌疑，平安理财有权提前终止本协议或限制投资者正常申购</w:t>
      </w:r>
      <w:r>
        <w:rPr>
          <w:rFonts w:ascii="宋体" w:hAnsi="宋体" w:eastAsia="宋体"/>
          <w:b/>
          <w:spacing w:val="-2"/>
          <w:szCs w:val="21"/>
        </w:rPr>
        <w:t>/认购、赎回/清算事项</w:t>
      </w:r>
      <w:r>
        <w:rPr>
          <w:rFonts w:hint="eastAsia" w:ascii="宋体" w:hAnsi="宋体" w:eastAsia="宋体"/>
          <w:b/>
          <w:spacing w:val="-2"/>
          <w:szCs w:val="21"/>
        </w:rPr>
        <w:t>，造成投资者损失的，平安理财不承担责任。</w:t>
      </w:r>
      <w:r>
        <w:rPr>
          <w:rFonts w:ascii="宋体" w:hAnsi="宋体" w:eastAsia="宋体"/>
          <w:b/>
          <w:spacing w:val="-2"/>
          <w:szCs w:val="21"/>
        </w:rPr>
        <w:t xml:space="preserve"> </w:t>
      </w:r>
    </w:p>
    <w:p w14:paraId="57C1986F">
      <w:pPr>
        <w:spacing w:line="360" w:lineRule="auto"/>
        <w:ind w:firstLine="421"/>
        <w:rPr>
          <w:rFonts w:ascii="宋体" w:hAnsi="宋体" w:eastAsia="宋体"/>
          <w:spacing w:val="-2"/>
          <w:szCs w:val="21"/>
        </w:rPr>
      </w:pPr>
      <w:r>
        <w:rPr>
          <w:rFonts w:ascii="宋体" w:hAnsi="宋体" w:eastAsia="宋体"/>
          <w:spacing w:val="-2"/>
          <w:szCs w:val="21"/>
        </w:rPr>
        <w:t>9</w:t>
      </w:r>
      <w:r>
        <w:rPr>
          <w:rFonts w:hint="eastAsia" w:ascii="宋体" w:hAnsi="宋体" w:eastAsia="宋体"/>
          <w:spacing w:val="-2"/>
          <w:szCs w:val="21"/>
        </w:rPr>
        <w:t>、根据法律法规、监管规定及《产品说明书》等的相关约定，平安理财所应享有的其他权利和应履行的其他义务。</w:t>
      </w:r>
      <w:r>
        <w:rPr>
          <w:rFonts w:ascii="宋体" w:hAnsi="宋体" w:eastAsia="宋体"/>
          <w:spacing w:val="-2"/>
          <w:szCs w:val="21"/>
        </w:rPr>
        <w:t xml:space="preserve"> </w:t>
      </w:r>
    </w:p>
    <w:p w14:paraId="7DB3C107">
      <w:pPr>
        <w:spacing w:line="360" w:lineRule="auto"/>
        <w:rPr>
          <w:rFonts w:ascii="宋体" w:hAnsi="宋体" w:eastAsia="宋体" w:cs="宋体"/>
          <w:b/>
          <w:bCs/>
          <w:szCs w:val="21"/>
        </w:rPr>
      </w:pPr>
      <w:r>
        <w:rPr>
          <w:rFonts w:hint="eastAsia" w:ascii="宋体" w:hAnsi="宋体" w:eastAsia="宋体" w:cs="宋体"/>
          <w:b/>
          <w:bCs/>
          <w:szCs w:val="21"/>
        </w:rPr>
        <w:t>三、免责条款</w:t>
      </w:r>
    </w:p>
    <w:p w14:paraId="587734D2">
      <w:pPr>
        <w:tabs>
          <w:tab w:val="left" w:pos="720"/>
        </w:tabs>
        <w:spacing w:line="360" w:lineRule="auto"/>
        <w:ind w:firstLine="421"/>
        <w:rPr>
          <w:rFonts w:ascii="宋体" w:hAnsi="宋体" w:eastAsia="宋体" w:cs="宋体"/>
          <w:b/>
          <w:szCs w:val="21"/>
          <w:u w:val="single"/>
        </w:rPr>
      </w:pPr>
      <w:r>
        <w:rPr>
          <w:rFonts w:hint="eastAsia" w:ascii="宋体" w:hAnsi="宋体" w:eastAsia="宋体" w:cs="宋体"/>
          <w:b/>
          <w:szCs w:val="21"/>
          <w:u w:val="single"/>
        </w:rPr>
        <w:t>1、由于自然灾害、战争</w:t>
      </w:r>
      <w:r>
        <w:rPr>
          <w:rFonts w:hint="eastAsia" w:ascii="宋体" w:hAnsi="宋体" w:eastAsia="宋体" w:cs="宋体"/>
          <w:b/>
          <w:szCs w:val="21"/>
          <w:u w:val="single"/>
          <w:lang w:eastAsia="zh-CN"/>
        </w:rPr>
        <w:t>、</w:t>
      </w:r>
      <w:r>
        <w:rPr>
          <w:rFonts w:hint="eastAsia" w:ascii="宋体" w:hAnsi="宋体" w:eastAsia="宋体" w:cs="宋体"/>
          <w:b/>
          <w:szCs w:val="21"/>
          <w:u w:val="single"/>
        </w:rPr>
        <w:t>国家法律法规或监管政策变化、紧急措施的出台</w:t>
      </w:r>
      <w:r>
        <w:rPr>
          <w:rFonts w:hint="eastAsia" w:ascii="宋体" w:hAnsi="宋体" w:eastAsia="宋体" w:cs="宋体"/>
          <w:b/>
          <w:szCs w:val="21"/>
          <w:u w:val="single"/>
          <w:lang w:eastAsia="zh-CN"/>
        </w:rPr>
        <w:t>、突发性公共卫生事件等不能预见、不能避免并不能克服的不可抗力，或</w:t>
      </w:r>
      <w:r>
        <w:rPr>
          <w:rFonts w:hint="eastAsia" w:ascii="宋体" w:hAnsi="宋体" w:eastAsia="宋体" w:cs="宋体"/>
          <w:b/>
          <w:szCs w:val="21"/>
          <w:u w:val="single"/>
        </w:rPr>
        <w:t>系统故障、设备故障、通讯故障、停电</w:t>
      </w:r>
      <w:r>
        <w:rPr>
          <w:rFonts w:hint="eastAsia" w:ascii="宋体" w:hAnsi="宋体" w:eastAsia="宋体" w:cs="宋体"/>
          <w:b/>
          <w:szCs w:val="21"/>
          <w:u w:val="single"/>
          <w:lang w:eastAsia="zh-CN"/>
        </w:rPr>
        <w:t>等非</w:t>
      </w:r>
      <w:r>
        <w:rPr>
          <w:rFonts w:hint="eastAsia" w:ascii="宋体" w:hAnsi="宋体" w:eastAsia="宋体" w:cs="宋体"/>
          <w:b/>
          <w:szCs w:val="21"/>
          <w:u w:val="single"/>
        </w:rPr>
        <w:t>平安理财</w:t>
      </w:r>
      <w:r>
        <w:rPr>
          <w:rFonts w:hint="eastAsia" w:ascii="宋体" w:hAnsi="宋体" w:eastAsia="宋体" w:cs="宋体"/>
          <w:b/>
          <w:szCs w:val="21"/>
          <w:u w:val="single"/>
          <w:lang w:eastAsia="zh-CN"/>
        </w:rPr>
        <w:t>所引起或能控制的</w:t>
      </w:r>
      <w:r>
        <w:rPr>
          <w:rFonts w:hint="eastAsia" w:ascii="宋体" w:hAnsi="宋体" w:eastAsia="宋体" w:cs="宋体"/>
          <w:b/>
          <w:szCs w:val="21"/>
          <w:u w:val="single"/>
        </w:rPr>
        <w:t>因素导致投资风险或投资者损失的，平安理财不承担赔偿责任</w:t>
      </w:r>
      <w:r>
        <w:rPr>
          <w:rFonts w:hint="eastAsia" w:ascii="宋体" w:hAnsi="宋体" w:eastAsia="宋体" w:cs="宋体"/>
          <w:b/>
          <w:szCs w:val="21"/>
          <w:u w:val="single"/>
          <w:lang w:eastAsia="zh-CN"/>
        </w:rPr>
        <w:t>。</w:t>
      </w:r>
      <w:r>
        <w:rPr>
          <w:rFonts w:hint="eastAsia" w:ascii="宋体" w:hAnsi="宋体" w:eastAsia="宋体" w:cs="宋体"/>
          <w:b/>
          <w:szCs w:val="21"/>
          <w:u w:val="single"/>
        </w:rPr>
        <w:t>前述约定不免除因</w:t>
      </w:r>
      <w:r>
        <w:rPr>
          <w:rFonts w:hint="eastAsia" w:ascii="宋体" w:hAnsi="宋体" w:eastAsia="宋体" w:cs="宋体"/>
          <w:b/>
          <w:szCs w:val="21"/>
          <w:u w:val="single"/>
          <w:lang w:val="en-US" w:eastAsia="zh-CN"/>
        </w:rPr>
        <w:t>平安</w:t>
      </w:r>
      <w:r>
        <w:rPr>
          <w:rFonts w:hint="eastAsia" w:ascii="宋体" w:hAnsi="宋体" w:eastAsia="宋体" w:cs="宋体"/>
          <w:b/>
          <w:szCs w:val="21"/>
          <w:u w:val="single"/>
        </w:rPr>
        <w:t>理财过错导致依法应由产品管理人承担的责任。管理人应在条件允许的情况下，采取必要的补救措施以减少不可抗力造成的损失。</w:t>
      </w:r>
    </w:p>
    <w:p w14:paraId="4A650C06">
      <w:pPr>
        <w:tabs>
          <w:tab w:val="left" w:pos="720"/>
        </w:tabs>
        <w:spacing w:line="360" w:lineRule="auto"/>
        <w:ind w:firstLine="421"/>
        <w:rPr>
          <w:rFonts w:ascii="宋体" w:hAnsi="宋体" w:eastAsia="宋体" w:cs="宋体"/>
          <w:b/>
          <w:szCs w:val="21"/>
          <w:u w:val="single"/>
        </w:rPr>
      </w:pPr>
      <w:r>
        <w:rPr>
          <w:rFonts w:ascii="宋体" w:hAnsi="宋体" w:eastAsia="宋体" w:cs="宋体"/>
          <w:b/>
          <w:szCs w:val="21"/>
          <w:u w:val="single"/>
        </w:rPr>
        <w:t>2</w:t>
      </w:r>
      <w:r>
        <w:rPr>
          <w:rFonts w:hint="eastAsia" w:ascii="宋体" w:hAnsi="宋体" w:eastAsia="宋体" w:cs="宋体"/>
          <w:b/>
          <w:szCs w:val="21"/>
          <w:u w:val="single"/>
        </w:rPr>
        <w:t>、非因平安理财原因（包括但不限于本协议交易账户被司法机关等有权部门冻结、扣划等原因）造成的损失，平安理财不承担责任。</w:t>
      </w:r>
    </w:p>
    <w:p w14:paraId="3D8B89DD">
      <w:pPr>
        <w:spacing w:line="360" w:lineRule="auto"/>
        <w:rPr>
          <w:rFonts w:ascii="宋体" w:hAnsi="宋体" w:eastAsia="宋体" w:cs="宋体"/>
          <w:b/>
          <w:bCs/>
          <w:szCs w:val="21"/>
        </w:rPr>
      </w:pPr>
      <w:r>
        <w:rPr>
          <w:rFonts w:hint="eastAsia" w:ascii="宋体" w:hAnsi="宋体" w:eastAsia="宋体" w:cs="宋体"/>
          <w:b/>
          <w:bCs/>
          <w:szCs w:val="21"/>
        </w:rPr>
        <w:t>四、投诉处理</w:t>
      </w:r>
    </w:p>
    <w:p w14:paraId="0F5C03A0">
      <w:pPr>
        <w:spacing w:line="360" w:lineRule="auto"/>
        <w:ind w:firstLine="440"/>
        <w:rPr>
          <w:rFonts w:ascii="宋体" w:hAnsi="宋体" w:eastAsia="宋体" w:cs="宋体"/>
          <w:szCs w:val="21"/>
        </w:rPr>
      </w:pPr>
      <w:r>
        <w:rPr>
          <w:rFonts w:hint="eastAsia" w:ascii="宋体" w:hAnsi="宋体" w:eastAsia="宋体" w:cs="宋体"/>
          <w:szCs w:val="21"/>
        </w:rPr>
        <w:t>投资者可通过销售服务机构的营业网点、客服电话、网络在线客服等（具体方式以投资者与销售服务机构签订的《代理销售协议书》为准）或平安理财在《产品说明书》、相关公告中约定的其他渠道（如有）反映问题。</w:t>
      </w:r>
    </w:p>
    <w:p w14:paraId="7F718CC1">
      <w:pPr>
        <w:spacing w:line="360" w:lineRule="auto"/>
        <w:ind w:firstLine="440"/>
        <w:rPr>
          <w:rFonts w:ascii="宋体" w:hAnsi="宋体" w:eastAsia="宋体" w:cs="宋体"/>
          <w:szCs w:val="21"/>
        </w:rPr>
      </w:pPr>
      <w:r>
        <w:rPr>
          <w:rFonts w:hint="eastAsia" w:ascii="宋体" w:hAnsi="宋体" w:eastAsia="宋体" w:cs="宋体"/>
          <w:szCs w:val="21"/>
        </w:rPr>
        <w:t>涉及投资者提出的与理财产品销售文件、理财产品项下资金运用、管理人职责、理财产品收益的计算和分配、清算等相关咨询、投诉、纠纷，销售服务机构按照其内部客户服务流程了解投资者投诉或异议的详细内容，并及时反馈给平安理财；平安理财在收到销售服务机构反馈的投资者咨询后，将及时形成答复意见，并将处置意见反馈给销售服务机构，并由销售服务机构按照其内部客户服务流程答复投资者。管理人客户服务邮箱为Pawm_kf@pingan.com.cn，管理人客户服务热线为【</w:t>
      </w:r>
      <w:r>
        <w:rPr>
          <w:rFonts w:ascii="宋体" w:hAnsi="宋体" w:eastAsia="宋体" w:cs="宋体"/>
          <w:szCs w:val="21"/>
        </w:rPr>
        <w:t>4000195511</w:t>
      </w:r>
      <w:r>
        <w:rPr>
          <w:rFonts w:hint="eastAsia" w:ascii="宋体" w:hAnsi="宋体" w:eastAsia="宋体" w:cs="宋体"/>
          <w:szCs w:val="21"/>
        </w:rPr>
        <w:t>】。</w:t>
      </w:r>
    </w:p>
    <w:p w14:paraId="146CBC86">
      <w:pPr>
        <w:spacing w:line="360" w:lineRule="auto"/>
        <w:rPr>
          <w:rFonts w:ascii="宋体" w:hAnsi="宋体" w:eastAsia="宋体" w:cs="宋体"/>
          <w:b/>
          <w:bCs/>
          <w:szCs w:val="21"/>
        </w:rPr>
      </w:pPr>
      <w:r>
        <w:rPr>
          <w:rFonts w:hint="eastAsia" w:ascii="宋体" w:hAnsi="宋体" w:eastAsia="宋体" w:cs="宋体"/>
          <w:b/>
          <w:bCs/>
          <w:szCs w:val="21"/>
        </w:rPr>
        <w:t>五、协议的生效及终止</w:t>
      </w:r>
    </w:p>
    <w:p w14:paraId="2208A2CD">
      <w:pPr>
        <w:tabs>
          <w:tab w:val="left" w:pos="720"/>
        </w:tabs>
        <w:spacing w:line="360" w:lineRule="auto"/>
        <w:ind w:firstLine="420"/>
        <w:rPr>
          <w:rFonts w:ascii="宋体" w:hAnsi="宋体" w:eastAsia="宋体" w:cs="宋体"/>
          <w:szCs w:val="21"/>
        </w:rPr>
      </w:pPr>
      <w:r>
        <w:rPr>
          <w:rFonts w:hint="eastAsia" w:ascii="宋体" w:hAnsi="宋体" w:eastAsia="宋体" w:cs="宋体"/>
          <w:szCs w:val="21"/>
        </w:rPr>
        <w:t>1、投资者通过销售服务机构营业网点柜面或管理人直销柜面等渠道购买本理财产品的，本协议经投资者签字和管理人加盖公章后生效。投资者通过销售服务机构的网上银行、电话银行、手机银行等电子渠道购买本理财产品的，本协议经投资者通过点击确认或完成电子签署流程后生效。投资者通过平安理财电子渠道购买本理财产品的，投资者按照平安理财提供的电子渠道完成购买流程操作后即视同生效。</w:t>
      </w:r>
    </w:p>
    <w:p w14:paraId="292A4D13">
      <w:pPr>
        <w:tabs>
          <w:tab w:val="left" w:pos="720"/>
        </w:tabs>
        <w:spacing w:line="360" w:lineRule="auto"/>
        <w:ind w:firstLine="420"/>
        <w:rPr>
          <w:rFonts w:ascii="宋体" w:hAnsi="宋体" w:eastAsia="宋体" w:cs="宋体"/>
          <w:szCs w:val="21"/>
        </w:rPr>
      </w:pPr>
      <w:r>
        <w:rPr>
          <w:rFonts w:hint="eastAsia" w:ascii="宋体" w:hAnsi="宋体" w:eastAsia="宋体" w:cs="宋体"/>
          <w:szCs w:val="21"/>
        </w:rPr>
        <w:t>2、如投资者购买理财产品后，又变更该笔理财销售文件的具体内容（包括但不限于交易变更、金额变更、资金账户变更、投资者信息变更等），则以双方最近一次交易达成的交易内容为准。</w:t>
      </w:r>
    </w:p>
    <w:p w14:paraId="478F9A4C">
      <w:pPr>
        <w:tabs>
          <w:tab w:val="left" w:pos="720"/>
        </w:tabs>
        <w:spacing w:line="360" w:lineRule="auto"/>
        <w:ind w:firstLine="420"/>
        <w:rPr>
          <w:rFonts w:ascii="宋体" w:hAnsi="宋体" w:eastAsia="宋体" w:cs="宋体"/>
          <w:szCs w:val="21"/>
        </w:rPr>
      </w:pPr>
      <w:r>
        <w:rPr>
          <w:rFonts w:ascii="宋体" w:hAnsi="宋体" w:eastAsia="宋体" w:cs="宋体"/>
          <w:szCs w:val="21"/>
        </w:rPr>
        <w:t>3</w:t>
      </w:r>
      <w:r>
        <w:rPr>
          <w:rFonts w:hint="eastAsia" w:ascii="宋体" w:hAnsi="宋体" w:eastAsia="宋体" w:cs="宋体"/>
          <w:szCs w:val="21"/>
        </w:rPr>
        <w:t>、除按《产品说明书》约定的终止情形以外，投资者有违约行为或交易资金被国家有权机关采取保全措施时，平安理财有权提前终止本协议。</w:t>
      </w:r>
      <w:r>
        <w:rPr>
          <w:rFonts w:ascii="宋体" w:hAnsi="宋体" w:eastAsia="宋体" w:cs="宋体"/>
          <w:szCs w:val="21"/>
        </w:rPr>
        <w:t xml:space="preserve"> </w:t>
      </w:r>
    </w:p>
    <w:p w14:paraId="78788E63">
      <w:pPr>
        <w:tabs>
          <w:tab w:val="left" w:pos="720"/>
        </w:tabs>
        <w:spacing w:line="360" w:lineRule="auto"/>
        <w:ind w:firstLine="420"/>
        <w:rPr>
          <w:rFonts w:ascii="宋体" w:hAnsi="宋体" w:eastAsia="宋体" w:cs="宋体"/>
          <w:szCs w:val="21"/>
        </w:rPr>
      </w:pPr>
      <w:r>
        <w:rPr>
          <w:rFonts w:ascii="宋体" w:hAnsi="宋体" w:eastAsia="宋体" w:cs="宋体"/>
          <w:szCs w:val="21"/>
        </w:rPr>
        <w:t>4</w:t>
      </w:r>
      <w:r>
        <w:rPr>
          <w:rFonts w:hint="eastAsia" w:ascii="宋体" w:hAnsi="宋体" w:eastAsia="宋体" w:cs="宋体"/>
          <w:szCs w:val="21"/>
        </w:rPr>
        <w:t>、投资者认购理财产品失败、平安理财或投资者提前终止以及理财产品到期并完成清算分配后，本协议自动终止。</w:t>
      </w:r>
      <w:r>
        <w:rPr>
          <w:rFonts w:ascii="宋体" w:hAnsi="宋体" w:eastAsia="宋体" w:cs="宋体"/>
          <w:szCs w:val="21"/>
        </w:rPr>
        <w:t xml:space="preserve"> </w:t>
      </w:r>
    </w:p>
    <w:p w14:paraId="30EE5623">
      <w:pPr>
        <w:tabs>
          <w:tab w:val="left" w:pos="720"/>
        </w:tabs>
        <w:spacing w:line="360" w:lineRule="auto"/>
        <w:ind w:firstLine="420"/>
      </w:pPr>
      <w:r>
        <w:rPr>
          <w:rFonts w:ascii="宋体" w:hAnsi="宋体" w:eastAsia="宋体" w:cs="宋体"/>
          <w:szCs w:val="21"/>
        </w:rPr>
        <w:t>5</w:t>
      </w:r>
      <w:r>
        <w:rPr>
          <w:rFonts w:hint="eastAsia" w:ascii="宋体" w:hAnsi="宋体" w:eastAsia="宋体" w:cs="宋体"/>
          <w:szCs w:val="21"/>
        </w:rPr>
        <w:t>、本协议及《产品说明书》项下各方权利义务履行完毕之日，本协议自动终止。</w:t>
      </w:r>
    </w:p>
    <w:p w14:paraId="1C44B76F">
      <w:pPr>
        <w:spacing w:line="360" w:lineRule="auto"/>
        <w:rPr>
          <w:rFonts w:hint="eastAsia" w:ascii="宋体" w:hAnsi="宋体" w:eastAsia="宋体" w:cs="宋体"/>
          <w:b/>
          <w:bCs/>
          <w:szCs w:val="21"/>
          <w:lang w:eastAsia="zh-CN"/>
        </w:rPr>
      </w:pPr>
      <w:r>
        <w:rPr>
          <w:rFonts w:hint="eastAsia" w:ascii="宋体" w:hAnsi="宋体" w:eastAsia="宋体" w:cs="宋体"/>
          <w:b/>
          <w:bCs/>
          <w:szCs w:val="21"/>
        </w:rPr>
        <w:t>六、</w:t>
      </w:r>
      <w:r>
        <w:rPr>
          <w:rFonts w:hint="eastAsia" w:ascii="宋体" w:hAnsi="宋体" w:eastAsia="宋体" w:cs="宋体"/>
          <w:b/>
          <w:bCs/>
          <w:szCs w:val="21"/>
          <w:lang w:eastAsia="zh-CN"/>
        </w:rPr>
        <w:t>违约责任</w:t>
      </w:r>
    </w:p>
    <w:p w14:paraId="392610BC">
      <w:pPr>
        <w:tabs>
          <w:tab w:val="left" w:pos="720"/>
        </w:tabs>
        <w:spacing w:line="360" w:lineRule="auto"/>
        <w:ind w:firstLine="420"/>
        <w:rPr>
          <w:rFonts w:hint="eastAsia" w:ascii="宋体" w:hAnsi="宋体" w:eastAsia="宋体" w:cs="宋体"/>
          <w:szCs w:val="21"/>
        </w:rPr>
      </w:pPr>
      <w:r>
        <w:rPr>
          <w:rFonts w:hint="eastAsia" w:ascii="宋体" w:hAnsi="宋体" w:eastAsia="宋体" w:cs="宋体"/>
          <w:szCs w:val="21"/>
          <w:lang w:eastAsia="zh-CN"/>
        </w:rPr>
        <w:t>1、</w:t>
      </w:r>
      <w:r>
        <w:rPr>
          <w:rFonts w:hint="eastAsia" w:ascii="宋体" w:hAnsi="宋体" w:eastAsia="宋体" w:cs="宋体"/>
          <w:szCs w:val="21"/>
        </w:rPr>
        <w:t>任何一方违约的，除本</w:t>
      </w:r>
      <w:r>
        <w:rPr>
          <w:rFonts w:hint="eastAsia" w:ascii="宋体" w:hAnsi="宋体" w:eastAsia="宋体" w:cs="宋体"/>
          <w:szCs w:val="21"/>
          <w:lang w:eastAsia="zh-CN"/>
        </w:rPr>
        <w:t>协议</w:t>
      </w:r>
      <w:r>
        <w:rPr>
          <w:rFonts w:hint="eastAsia" w:ascii="宋体" w:hAnsi="宋体" w:eastAsia="宋体" w:cs="宋体"/>
          <w:szCs w:val="21"/>
        </w:rPr>
        <w:t>另有规定之外，违约方应对对方因此发生的直接且实际的经济损失给予赔偿。</w:t>
      </w:r>
    </w:p>
    <w:p w14:paraId="6C1774CF">
      <w:pPr>
        <w:tabs>
          <w:tab w:val="left" w:pos="720"/>
        </w:tabs>
        <w:spacing w:line="360" w:lineRule="auto"/>
        <w:ind w:firstLine="420"/>
        <w:rPr>
          <w:rFonts w:hint="eastAsia" w:ascii="宋体" w:hAnsi="宋体" w:eastAsia="宋体" w:cs="宋体"/>
          <w:szCs w:val="21"/>
        </w:rPr>
      </w:pPr>
      <w:r>
        <w:rPr>
          <w:rFonts w:hint="eastAsia" w:ascii="宋体" w:hAnsi="宋体" w:eastAsia="宋体" w:cs="宋体"/>
          <w:szCs w:val="21"/>
          <w:lang w:eastAsia="zh-CN"/>
        </w:rPr>
        <w:t>2、</w:t>
      </w:r>
      <w:r>
        <w:rPr>
          <w:rFonts w:hint="eastAsia" w:ascii="宋体" w:hAnsi="宋体" w:eastAsia="宋体" w:cs="宋体"/>
          <w:szCs w:val="21"/>
        </w:rPr>
        <w:t>在发生违约且在最大限度地保护投资者合法权益的前提下，理财产品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2EE433A1">
      <w:pPr>
        <w:spacing w:line="360" w:lineRule="auto"/>
        <w:rPr>
          <w:rFonts w:ascii="宋体" w:hAnsi="宋体" w:eastAsia="宋体" w:cs="宋体"/>
          <w:b/>
          <w:bCs/>
          <w:szCs w:val="21"/>
        </w:rPr>
      </w:pPr>
      <w:r>
        <w:rPr>
          <w:rFonts w:hint="eastAsia" w:ascii="宋体" w:hAnsi="宋体" w:eastAsia="宋体" w:cs="宋体"/>
          <w:b/>
          <w:bCs/>
          <w:szCs w:val="21"/>
          <w:lang w:eastAsia="zh-CN"/>
        </w:rPr>
        <w:t>七</w:t>
      </w:r>
      <w:r>
        <w:rPr>
          <w:rFonts w:hint="eastAsia" w:ascii="宋体" w:hAnsi="宋体" w:eastAsia="宋体" w:cs="宋体"/>
          <w:b/>
          <w:bCs/>
          <w:szCs w:val="21"/>
        </w:rPr>
        <w:t>、法律适用及争议处理</w:t>
      </w:r>
    </w:p>
    <w:p w14:paraId="3CAD21F2">
      <w:pPr>
        <w:tabs>
          <w:tab w:val="left" w:pos="720"/>
        </w:tabs>
        <w:spacing w:line="360" w:lineRule="auto"/>
        <w:ind w:firstLine="420"/>
        <w:rPr>
          <w:rFonts w:ascii="宋体" w:hAnsi="宋体" w:eastAsia="宋体" w:cs="宋体"/>
          <w:szCs w:val="21"/>
        </w:rPr>
      </w:pPr>
      <w:r>
        <w:rPr>
          <w:rFonts w:hint="eastAsia" w:ascii="宋体" w:hAnsi="宋体" w:eastAsia="宋体" w:cs="宋体"/>
          <w:szCs w:val="21"/>
        </w:rPr>
        <w:t>1、本协议适用中国法律并依据中国法律解释。为本协议之目的，中国法律指中华人民共和国大陆地区的法律，不包括香港特别行政区、澳门特别行政区和台湾地区的法律。</w:t>
      </w:r>
      <w:r>
        <w:rPr>
          <w:rFonts w:ascii="宋体" w:hAnsi="宋体" w:eastAsia="宋体" w:cs="宋体"/>
          <w:szCs w:val="21"/>
        </w:rPr>
        <w:t xml:space="preserve"> </w:t>
      </w:r>
    </w:p>
    <w:p w14:paraId="060A0DF5">
      <w:pPr>
        <w:tabs>
          <w:tab w:val="left" w:pos="720"/>
        </w:tabs>
        <w:spacing w:line="360" w:lineRule="auto"/>
        <w:ind w:firstLine="420"/>
        <w:rPr>
          <w:rFonts w:ascii="宋体" w:hAnsi="宋体" w:eastAsia="宋体" w:cs="宋体"/>
          <w:szCs w:val="21"/>
        </w:rPr>
      </w:pPr>
      <w:r>
        <w:rPr>
          <w:rFonts w:hint="eastAsia" w:ascii="宋体" w:hAnsi="宋体" w:eastAsia="宋体" w:cs="宋体"/>
          <w:szCs w:val="21"/>
        </w:rPr>
        <w:t>2、由本协议引起的或与本协议有关的，包括本协议的效力、无效、违约或终止的任何争议、争论或主张，应由双方协商解决。协商解决不成的，双方应将该等争议、争论或主张提交</w:t>
      </w:r>
      <w:r>
        <w:rPr>
          <w:rFonts w:hint="eastAsia" w:ascii="宋体" w:hAnsi="宋体" w:eastAsia="宋体" w:cs="宋体"/>
          <w:b/>
          <w:szCs w:val="21"/>
        </w:rPr>
        <w:t>深圳国际仲裁院</w:t>
      </w:r>
      <w:r>
        <w:rPr>
          <w:rFonts w:hint="eastAsia" w:ascii="宋体" w:hAnsi="宋体" w:eastAsia="宋体" w:cs="宋体"/>
          <w:szCs w:val="21"/>
        </w:rPr>
        <w:t>仲裁，仲裁地点在深圳。仲裁裁决是终局性的，对双方均有约束力。除非仲裁裁决另有规定，双方为仲裁而实际支付的费用（包括但不限于仲裁费和律师费）由败诉方承担。</w:t>
      </w:r>
      <w:r>
        <w:rPr>
          <w:rFonts w:ascii="宋体" w:hAnsi="宋体" w:eastAsia="宋体" w:cs="宋体"/>
          <w:szCs w:val="21"/>
        </w:rPr>
        <w:t xml:space="preserve"> </w:t>
      </w:r>
    </w:p>
    <w:p w14:paraId="67B621AB">
      <w:pPr>
        <w:pStyle w:val="16"/>
        <w:ind w:firstLine="420" w:firstLineChars="200"/>
        <w:rPr>
          <w:rFonts w:ascii="宋体" w:hAnsi="宋体" w:eastAsia="宋体" w:cs="宋体"/>
          <w:color w:val="auto"/>
          <w:kern w:val="2"/>
          <w:sz w:val="21"/>
          <w:szCs w:val="21"/>
        </w:rPr>
      </w:pPr>
      <w:r>
        <w:rPr>
          <w:rFonts w:hint="eastAsia" w:ascii="宋体" w:hAnsi="宋体" w:eastAsia="宋体" w:cs="宋体"/>
          <w:color w:val="auto"/>
          <w:kern w:val="2"/>
          <w:sz w:val="21"/>
          <w:szCs w:val="21"/>
        </w:rPr>
        <w:t>3、在协商或仲裁期间，对于本协议不涉及争议部分的条款，协议当事人仍须履行。</w:t>
      </w:r>
      <w:r>
        <w:rPr>
          <w:rFonts w:ascii="宋体" w:hAnsi="宋体" w:eastAsia="宋体" w:cs="宋体"/>
          <w:color w:val="auto"/>
          <w:kern w:val="2"/>
          <w:sz w:val="21"/>
          <w:szCs w:val="21"/>
        </w:rPr>
        <w:t xml:space="preserve"> </w:t>
      </w:r>
    </w:p>
    <w:p w14:paraId="42B948BE">
      <w:pPr>
        <w:spacing w:line="360" w:lineRule="auto"/>
        <w:rPr>
          <w:rFonts w:ascii="宋体" w:hAnsi="宋体" w:eastAsia="宋体" w:cs="宋体"/>
          <w:b/>
          <w:bCs/>
          <w:szCs w:val="21"/>
        </w:rPr>
      </w:pPr>
      <w:r>
        <w:rPr>
          <w:rFonts w:hint="eastAsia" w:ascii="宋体" w:hAnsi="宋体" w:eastAsia="宋体" w:cs="宋体"/>
          <w:b/>
          <w:bCs/>
          <w:szCs w:val="21"/>
          <w:lang w:eastAsia="zh-CN"/>
        </w:rPr>
        <w:t>八</w:t>
      </w:r>
      <w:r>
        <w:rPr>
          <w:rFonts w:hint="eastAsia" w:ascii="宋体" w:hAnsi="宋体" w:eastAsia="宋体" w:cs="宋体"/>
          <w:b/>
          <w:bCs/>
          <w:szCs w:val="21"/>
        </w:rPr>
        <w:t>、本协议一式三份，投资者和平安理财分别保留一份，另一份由销售服务机构留存，每份具有同等的法律效力。</w:t>
      </w:r>
    </w:p>
    <w:p w14:paraId="0B9E0018">
      <w:pPr>
        <w:spacing w:line="360" w:lineRule="auto"/>
        <w:rPr>
          <w:rFonts w:ascii="宋体" w:hAnsi="宋体" w:eastAsia="宋体" w:cs="宋体"/>
          <w:b/>
          <w:bCs/>
          <w:szCs w:val="21"/>
        </w:rPr>
      </w:pPr>
      <w:r>
        <w:rPr>
          <w:rFonts w:hint="eastAsia" w:ascii="宋体" w:hAnsi="宋体" w:eastAsia="宋体" w:cs="宋体"/>
          <w:b/>
          <w:bCs/>
          <w:szCs w:val="21"/>
          <w:lang w:eastAsia="zh-CN"/>
        </w:rPr>
        <w:t>九</w:t>
      </w:r>
      <w:r>
        <w:rPr>
          <w:rFonts w:hint="eastAsia" w:ascii="宋体" w:hAnsi="宋体" w:eastAsia="宋体" w:cs="宋体"/>
          <w:b/>
          <w:bCs/>
          <w:szCs w:val="21"/>
        </w:rPr>
        <w:t>、本协议未尽事宜，以理财产品</w:t>
      </w:r>
      <w:r>
        <w:rPr>
          <w:rFonts w:hint="eastAsia" w:ascii="宋体" w:hAnsi="宋体" w:eastAsia="宋体"/>
          <w:b/>
          <w:spacing w:val="-2"/>
          <w:szCs w:val="21"/>
        </w:rPr>
        <w:t>《产品说明书》《风险揭示书》《代理销售协议书》及《客户权益须知》</w:t>
      </w:r>
      <w:r>
        <w:rPr>
          <w:rFonts w:hint="eastAsia" w:ascii="宋体" w:hAnsi="宋体" w:eastAsia="宋体" w:cs="宋体"/>
          <w:b/>
          <w:bCs/>
          <w:szCs w:val="21"/>
        </w:rPr>
        <w:t>的内容为准。</w:t>
      </w:r>
    </w:p>
    <w:p w14:paraId="25453ED0">
      <w:pPr>
        <w:spacing w:line="360" w:lineRule="auto"/>
        <w:jc w:val="left"/>
        <w:rPr>
          <w:rFonts w:ascii="宋体" w:hAnsi="宋体" w:eastAsia="宋体" w:cs="宋体"/>
          <w:b/>
          <w:bCs/>
          <w:color w:val="000000"/>
          <w:szCs w:val="21"/>
        </w:rPr>
      </w:pPr>
    </w:p>
    <w:p w14:paraId="25F2C83B">
      <w:pPr>
        <w:spacing w:line="360" w:lineRule="auto"/>
        <w:ind w:firstLine="1051" w:firstLineChars="500"/>
        <w:rPr>
          <w:rFonts w:ascii="宋体" w:hAnsi="宋体" w:cs="仿宋"/>
          <w:b/>
          <w:bCs/>
          <w:color w:val="000000"/>
          <w:szCs w:val="21"/>
        </w:rPr>
      </w:pPr>
    </w:p>
    <w:p w14:paraId="4E030EF6">
      <w:pPr>
        <w:spacing w:line="360" w:lineRule="auto"/>
        <w:rPr>
          <w:rFonts w:ascii="宋体" w:hAnsi="宋体" w:eastAsia="宋体" w:cstheme="minorEastAsia"/>
          <w:b/>
          <w:bCs/>
          <w:color w:val="000000"/>
          <w:szCs w:val="21"/>
        </w:rPr>
      </w:pPr>
      <w:r>
        <w:rPr>
          <w:rFonts w:hint="eastAsia" w:ascii="宋体" w:hAnsi="宋体" w:eastAsia="宋体" w:cstheme="minorEastAsia"/>
          <w:b/>
          <w:bCs/>
          <w:color w:val="000000"/>
          <w:szCs w:val="21"/>
        </w:rPr>
        <w:t xml:space="preserve">甲方： </w:t>
      </w:r>
      <w:r>
        <w:rPr>
          <w:rFonts w:ascii="宋体" w:hAnsi="宋体" w:eastAsia="宋体" w:cstheme="minorEastAsia"/>
          <w:b/>
          <w:bCs/>
          <w:color w:val="000000"/>
          <w:szCs w:val="21"/>
        </w:rPr>
        <w:t xml:space="preserve">                                             </w:t>
      </w:r>
      <w:r>
        <w:rPr>
          <w:rFonts w:hint="eastAsia" w:ascii="宋体" w:hAnsi="宋体" w:eastAsia="宋体" w:cstheme="minorEastAsia"/>
          <w:b/>
          <w:bCs/>
          <w:color w:val="000000"/>
          <w:szCs w:val="21"/>
        </w:rPr>
        <w:t>乙方：</w:t>
      </w:r>
    </w:p>
    <w:p w14:paraId="0FFEFD1B">
      <w:pPr>
        <w:spacing w:line="360" w:lineRule="auto"/>
        <w:rPr>
          <w:rFonts w:ascii="宋体" w:hAnsi="宋体" w:eastAsia="宋体" w:cstheme="minorEastAsia"/>
          <w:b/>
          <w:bCs/>
          <w:color w:val="000000"/>
          <w:szCs w:val="21"/>
        </w:rPr>
      </w:pPr>
      <w:r>
        <w:rPr>
          <w:rFonts w:hint="eastAsia" w:ascii="宋体" w:hAnsi="宋体" w:eastAsia="宋体" w:cstheme="minorEastAsia"/>
          <w:b/>
          <w:bCs/>
          <w:color w:val="000000"/>
          <w:szCs w:val="21"/>
        </w:rPr>
        <w:t xml:space="preserve">签署时间： </w:t>
      </w:r>
      <w:r>
        <w:rPr>
          <w:rFonts w:ascii="宋体" w:hAnsi="宋体" w:eastAsia="宋体" w:cstheme="minorEastAsia"/>
          <w:b/>
          <w:bCs/>
          <w:color w:val="000000"/>
          <w:szCs w:val="21"/>
        </w:rPr>
        <w:t xml:space="preserve">   </w:t>
      </w:r>
      <w:r>
        <w:rPr>
          <w:rFonts w:hint="eastAsia" w:ascii="宋体" w:hAnsi="宋体" w:eastAsia="宋体" w:cstheme="minorEastAsia"/>
          <w:b/>
          <w:bCs/>
          <w:color w:val="000000"/>
          <w:szCs w:val="21"/>
        </w:rPr>
        <w:t xml:space="preserve">年 </w:t>
      </w:r>
      <w:r>
        <w:rPr>
          <w:rFonts w:ascii="宋体" w:hAnsi="宋体" w:eastAsia="宋体" w:cstheme="minorEastAsia"/>
          <w:b/>
          <w:bCs/>
          <w:color w:val="000000"/>
          <w:szCs w:val="21"/>
        </w:rPr>
        <w:t xml:space="preserve">  </w:t>
      </w:r>
      <w:r>
        <w:rPr>
          <w:rFonts w:hint="eastAsia" w:ascii="宋体" w:hAnsi="宋体" w:eastAsia="宋体" w:cstheme="minorEastAsia"/>
          <w:b/>
          <w:bCs/>
          <w:color w:val="000000"/>
          <w:szCs w:val="21"/>
        </w:rPr>
        <w:t xml:space="preserve">月 </w:t>
      </w:r>
      <w:r>
        <w:rPr>
          <w:rFonts w:ascii="宋体" w:hAnsi="宋体" w:eastAsia="宋体" w:cstheme="minorEastAsia"/>
          <w:b/>
          <w:bCs/>
          <w:color w:val="000000"/>
          <w:szCs w:val="21"/>
        </w:rPr>
        <w:t xml:space="preserve">  </w:t>
      </w:r>
      <w:r>
        <w:rPr>
          <w:rFonts w:hint="eastAsia" w:ascii="宋体" w:hAnsi="宋体" w:eastAsia="宋体" w:cstheme="minorEastAsia"/>
          <w:b/>
          <w:bCs/>
          <w:color w:val="000000"/>
          <w:szCs w:val="21"/>
        </w:rPr>
        <w:t xml:space="preserve">日 </w:t>
      </w:r>
      <w:r>
        <w:rPr>
          <w:rFonts w:ascii="宋体" w:hAnsi="宋体" w:eastAsia="宋体" w:cstheme="minorEastAsia"/>
          <w:b/>
          <w:bCs/>
          <w:color w:val="000000"/>
          <w:szCs w:val="21"/>
        </w:rPr>
        <w:t xml:space="preserve">                         </w:t>
      </w:r>
      <w:r>
        <w:rPr>
          <w:rFonts w:hint="eastAsia" w:ascii="宋体" w:hAnsi="宋体" w:eastAsia="宋体" w:cstheme="minorEastAsia"/>
          <w:b/>
          <w:bCs/>
          <w:color w:val="000000"/>
          <w:szCs w:val="21"/>
        </w:rPr>
        <w:t xml:space="preserve">签署时间： </w:t>
      </w:r>
      <w:r>
        <w:rPr>
          <w:rFonts w:ascii="宋体" w:hAnsi="宋体" w:eastAsia="宋体" w:cstheme="minorEastAsia"/>
          <w:b/>
          <w:bCs/>
          <w:color w:val="000000"/>
          <w:szCs w:val="21"/>
        </w:rPr>
        <w:t xml:space="preserve">   </w:t>
      </w:r>
      <w:r>
        <w:rPr>
          <w:rFonts w:hint="eastAsia" w:ascii="宋体" w:hAnsi="宋体" w:eastAsia="宋体" w:cstheme="minorEastAsia"/>
          <w:b/>
          <w:bCs/>
          <w:color w:val="000000"/>
          <w:szCs w:val="21"/>
        </w:rPr>
        <w:t xml:space="preserve">年 </w:t>
      </w:r>
      <w:r>
        <w:rPr>
          <w:rFonts w:ascii="宋体" w:hAnsi="宋体" w:eastAsia="宋体" w:cstheme="minorEastAsia"/>
          <w:b/>
          <w:bCs/>
          <w:color w:val="000000"/>
          <w:szCs w:val="21"/>
        </w:rPr>
        <w:t xml:space="preserve">  </w:t>
      </w:r>
      <w:r>
        <w:rPr>
          <w:rFonts w:hint="eastAsia" w:ascii="宋体" w:hAnsi="宋体" w:eastAsia="宋体" w:cstheme="minorEastAsia"/>
          <w:b/>
          <w:bCs/>
          <w:color w:val="000000"/>
          <w:szCs w:val="21"/>
        </w:rPr>
        <w:t xml:space="preserve">月 </w:t>
      </w:r>
      <w:r>
        <w:rPr>
          <w:rFonts w:ascii="宋体" w:hAnsi="宋体" w:eastAsia="宋体" w:cstheme="minorEastAsia"/>
          <w:b/>
          <w:bCs/>
          <w:color w:val="000000"/>
          <w:szCs w:val="21"/>
        </w:rPr>
        <w:t xml:space="preserve">  </w:t>
      </w:r>
      <w:r>
        <w:rPr>
          <w:rFonts w:hint="eastAsia" w:ascii="宋体" w:hAnsi="宋体" w:eastAsia="宋体" w:cstheme="minorEastAsia"/>
          <w:b/>
          <w:bCs/>
          <w:color w:val="000000"/>
          <w:szCs w:val="21"/>
        </w:rPr>
        <w:t>日</w:t>
      </w:r>
    </w:p>
    <w:p w14:paraId="49FB39FF"/>
    <w:sectPr>
      <w:headerReference r:id="rId3" w:type="default"/>
      <w:footerReference r:id="rId4" w:type="default"/>
      <w:pgSz w:w="11906" w:h="16838"/>
      <w:pgMar w:top="1440" w:right="1286" w:bottom="1440" w:left="138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swiss"/>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8626847"/>
    </w:sdtPr>
    <w:sdtContent>
      <w:sdt>
        <w:sdtPr>
          <w:id w:val="171357217"/>
        </w:sdtPr>
        <w:sdtContent>
          <w:p w14:paraId="53C32454">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4</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FC69F">
    <w:pPr>
      <w:pStyle w:val="5"/>
      <w:ind w:right="360"/>
      <w:jc w:val="right"/>
      <w:rPr>
        <w:rFonts w:ascii="宋体" w:hAnsi="宋体" w:eastAsia="宋体"/>
        <w:u w:val="single"/>
      </w:rPr>
    </w:pPr>
    <w:r>
      <w:rPr>
        <w:rFonts w:hint="eastAsia" w:ascii="宋体" w:hAnsi="宋体" w:eastAsia="宋体"/>
        <w:u w:val="single"/>
      </w:rPr>
      <w:t>平安理财有限责任公司理财产品投资协议书</w:t>
    </w:r>
    <w:r>
      <w:rPr>
        <w:rFonts w:hint="eastAsia" w:ascii="Times New Roman" w:hAnsi="Times New Roman" w:eastAsia="宋体" w:cs="Times New Roman"/>
        <w:u w:val="single"/>
      </w:rPr>
      <w:t>（</w:t>
    </w:r>
    <w:r>
      <w:rPr>
        <w:rFonts w:ascii="Times New Roman" w:hAnsi="Times New Roman" w:eastAsia="宋体" w:cs="Times New Roman"/>
        <w:u w:val="single"/>
      </w:rPr>
      <w:t>202</w:t>
    </w:r>
    <w:r>
      <w:rPr>
        <w:rFonts w:hint="eastAsia" w:ascii="Times New Roman" w:hAnsi="Times New Roman" w:eastAsia="宋体" w:cs="Times New Roman"/>
        <w:u w:val="single"/>
        <w:lang w:val="en-US" w:eastAsia="zh-CN"/>
      </w:rPr>
      <w:t>5</w:t>
    </w:r>
    <w:r>
      <w:rPr>
        <w:rFonts w:ascii="Times New Roman" w:hAnsi="Times New Roman" w:eastAsia="宋体" w:cs="Times New Roman"/>
        <w:u w:val="single"/>
      </w:rPr>
      <w:t>12</w:t>
    </w:r>
    <w:r>
      <w:rPr>
        <w:rFonts w:hint="eastAsia" w:ascii="Times New Roman" w:hAnsi="Times New Roman" w:eastAsia="宋体" w:cs="Times New Roman"/>
        <w:u w:val="single"/>
      </w:rPr>
      <w:t>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605"/>
    <w:rsid w:val="00010049"/>
    <w:rsid w:val="00012F8D"/>
    <w:rsid w:val="00017E13"/>
    <w:rsid w:val="00032ACE"/>
    <w:rsid w:val="00033BE5"/>
    <w:rsid w:val="000447EA"/>
    <w:rsid w:val="000545F8"/>
    <w:rsid w:val="000621C3"/>
    <w:rsid w:val="00064C64"/>
    <w:rsid w:val="0008007C"/>
    <w:rsid w:val="00086AE9"/>
    <w:rsid w:val="000D0A2A"/>
    <w:rsid w:val="000D0F2C"/>
    <w:rsid w:val="000D35A9"/>
    <w:rsid w:val="000D378A"/>
    <w:rsid w:val="000D6952"/>
    <w:rsid w:val="000E052D"/>
    <w:rsid w:val="000F0680"/>
    <w:rsid w:val="000F181F"/>
    <w:rsid w:val="0010101D"/>
    <w:rsid w:val="001129E9"/>
    <w:rsid w:val="001324E7"/>
    <w:rsid w:val="00141B74"/>
    <w:rsid w:val="00141DD3"/>
    <w:rsid w:val="00142D96"/>
    <w:rsid w:val="00152739"/>
    <w:rsid w:val="001564B4"/>
    <w:rsid w:val="00174311"/>
    <w:rsid w:val="00181453"/>
    <w:rsid w:val="00183E50"/>
    <w:rsid w:val="00184C57"/>
    <w:rsid w:val="001874CC"/>
    <w:rsid w:val="001C224E"/>
    <w:rsid w:val="001C2A72"/>
    <w:rsid w:val="001C4863"/>
    <w:rsid w:val="001D17E3"/>
    <w:rsid w:val="001D2731"/>
    <w:rsid w:val="001D29D2"/>
    <w:rsid w:val="001D4068"/>
    <w:rsid w:val="001D5162"/>
    <w:rsid w:val="001E4D10"/>
    <w:rsid w:val="001E5A0D"/>
    <w:rsid w:val="001E65C3"/>
    <w:rsid w:val="001F2EA4"/>
    <w:rsid w:val="001F37B9"/>
    <w:rsid w:val="001F3A03"/>
    <w:rsid w:val="001F5F8F"/>
    <w:rsid w:val="00201790"/>
    <w:rsid w:val="00201D3C"/>
    <w:rsid w:val="00207394"/>
    <w:rsid w:val="00213EBE"/>
    <w:rsid w:val="00217CC9"/>
    <w:rsid w:val="00242B48"/>
    <w:rsid w:val="00257DF2"/>
    <w:rsid w:val="00262169"/>
    <w:rsid w:val="0026734E"/>
    <w:rsid w:val="0027064C"/>
    <w:rsid w:val="00271611"/>
    <w:rsid w:val="00275CD7"/>
    <w:rsid w:val="00276278"/>
    <w:rsid w:val="00292101"/>
    <w:rsid w:val="00296E20"/>
    <w:rsid w:val="00297E9D"/>
    <w:rsid w:val="002B3F78"/>
    <w:rsid w:val="002B437F"/>
    <w:rsid w:val="002B4A6B"/>
    <w:rsid w:val="002C2F55"/>
    <w:rsid w:val="002C5FD0"/>
    <w:rsid w:val="002C6256"/>
    <w:rsid w:val="002D76EA"/>
    <w:rsid w:val="002E7D1E"/>
    <w:rsid w:val="00301AC8"/>
    <w:rsid w:val="00305605"/>
    <w:rsid w:val="00317426"/>
    <w:rsid w:val="00325BD0"/>
    <w:rsid w:val="00327AD6"/>
    <w:rsid w:val="00344934"/>
    <w:rsid w:val="00350C27"/>
    <w:rsid w:val="0036082F"/>
    <w:rsid w:val="00364FE3"/>
    <w:rsid w:val="0036532D"/>
    <w:rsid w:val="00397C6E"/>
    <w:rsid w:val="003A2519"/>
    <w:rsid w:val="003A2830"/>
    <w:rsid w:val="003A4678"/>
    <w:rsid w:val="003B0D22"/>
    <w:rsid w:val="003B45FF"/>
    <w:rsid w:val="003B4F9F"/>
    <w:rsid w:val="003C1513"/>
    <w:rsid w:val="003C4DB7"/>
    <w:rsid w:val="003D774B"/>
    <w:rsid w:val="003E05ED"/>
    <w:rsid w:val="004061B4"/>
    <w:rsid w:val="004144ED"/>
    <w:rsid w:val="004222F1"/>
    <w:rsid w:val="0042349A"/>
    <w:rsid w:val="0042510D"/>
    <w:rsid w:val="004373A5"/>
    <w:rsid w:val="00453B77"/>
    <w:rsid w:val="00457297"/>
    <w:rsid w:val="00462E55"/>
    <w:rsid w:val="0046574D"/>
    <w:rsid w:val="004765A8"/>
    <w:rsid w:val="0048408B"/>
    <w:rsid w:val="00484DF3"/>
    <w:rsid w:val="00492BA6"/>
    <w:rsid w:val="004A0D29"/>
    <w:rsid w:val="004A3C4B"/>
    <w:rsid w:val="004B5EE2"/>
    <w:rsid w:val="004C008A"/>
    <w:rsid w:val="004C3703"/>
    <w:rsid w:val="004D2C61"/>
    <w:rsid w:val="004E2EED"/>
    <w:rsid w:val="004E4ADC"/>
    <w:rsid w:val="004E67EB"/>
    <w:rsid w:val="004E725C"/>
    <w:rsid w:val="004F5511"/>
    <w:rsid w:val="00501C94"/>
    <w:rsid w:val="00505E1A"/>
    <w:rsid w:val="00515D1F"/>
    <w:rsid w:val="0052614D"/>
    <w:rsid w:val="00531B16"/>
    <w:rsid w:val="0055090A"/>
    <w:rsid w:val="00550A1A"/>
    <w:rsid w:val="00555765"/>
    <w:rsid w:val="00564CA1"/>
    <w:rsid w:val="00570F5B"/>
    <w:rsid w:val="0058165A"/>
    <w:rsid w:val="00581CF1"/>
    <w:rsid w:val="005854F6"/>
    <w:rsid w:val="0058683A"/>
    <w:rsid w:val="00595A4E"/>
    <w:rsid w:val="00596284"/>
    <w:rsid w:val="0059687C"/>
    <w:rsid w:val="00597265"/>
    <w:rsid w:val="005A4BFA"/>
    <w:rsid w:val="005B788A"/>
    <w:rsid w:val="005C447A"/>
    <w:rsid w:val="005D56AC"/>
    <w:rsid w:val="005D6D97"/>
    <w:rsid w:val="005F0B69"/>
    <w:rsid w:val="005F340C"/>
    <w:rsid w:val="005F76F0"/>
    <w:rsid w:val="0060393E"/>
    <w:rsid w:val="0060406D"/>
    <w:rsid w:val="0060681A"/>
    <w:rsid w:val="00617C5F"/>
    <w:rsid w:val="0062048C"/>
    <w:rsid w:val="0062684E"/>
    <w:rsid w:val="00634066"/>
    <w:rsid w:val="00641061"/>
    <w:rsid w:val="00646860"/>
    <w:rsid w:val="0065594A"/>
    <w:rsid w:val="00656E8B"/>
    <w:rsid w:val="00661379"/>
    <w:rsid w:val="0067034A"/>
    <w:rsid w:val="0067442F"/>
    <w:rsid w:val="0067765A"/>
    <w:rsid w:val="006832CB"/>
    <w:rsid w:val="00686F1A"/>
    <w:rsid w:val="00694C8C"/>
    <w:rsid w:val="00695152"/>
    <w:rsid w:val="006A1913"/>
    <w:rsid w:val="006A3BF2"/>
    <w:rsid w:val="006D309D"/>
    <w:rsid w:val="006E10D8"/>
    <w:rsid w:val="006E69F3"/>
    <w:rsid w:val="006F12DD"/>
    <w:rsid w:val="00702803"/>
    <w:rsid w:val="00704402"/>
    <w:rsid w:val="00707977"/>
    <w:rsid w:val="00713E9B"/>
    <w:rsid w:val="007141ED"/>
    <w:rsid w:val="00714AC3"/>
    <w:rsid w:val="00717D5B"/>
    <w:rsid w:val="00723B9F"/>
    <w:rsid w:val="00725EB7"/>
    <w:rsid w:val="00730127"/>
    <w:rsid w:val="00734664"/>
    <w:rsid w:val="00735723"/>
    <w:rsid w:val="00744A19"/>
    <w:rsid w:val="00747483"/>
    <w:rsid w:val="0074795D"/>
    <w:rsid w:val="00757EC6"/>
    <w:rsid w:val="00760150"/>
    <w:rsid w:val="007637C6"/>
    <w:rsid w:val="00766FE2"/>
    <w:rsid w:val="00773ECE"/>
    <w:rsid w:val="0077580D"/>
    <w:rsid w:val="007B641E"/>
    <w:rsid w:val="007B7FB8"/>
    <w:rsid w:val="007C722C"/>
    <w:rsid w:val="007D37F8"/>
    <w:rsid w:val="007D6C70"/>
    <w:rsid w:val="007E26ED"/>
    <w:rsid w:val="007F02F9"/>
    <w:rsid w:val="007F273A"/>
    <w:rsid w:val="007F27E7"/>
    <w:rsid w:val="0081067C"/>
    <w:rsid w:val="00811FFC"/>
    <w:rsid w:val="00821287"/>
    <w:rsid w:val="008242F4"/>
    <w:rsid w:val="00832AC6"/>
    <w:rsid w:val="0083637A"/>
    <w:rsid w:val="00837B3C"/>
    <w:rsid w:val="00852668"/>
    <w:rsid w:val="0086682B"/>
    <w:rsid w:val="0087570C"/>
    <w:rsid w:val="0087743A"/>
    <w:rsid w:val="008807A7"/>
    <w:rsid w:val="00892F11"/>
    <w:rsid w:val="008950A4"/>
    <w:rsid w:val="008A454B"/>
    <w:rsid w:val="008A6169"/>
    <w:rsid w:val="008B73FF"/>
    <w:rsid w:val="008B7E6C"/>
    <w:rsid w:val="008D0972"/>
    <w:rsid w:val="008E0BA1"/>
    <w:rsid w:val="008E325E"/>
    <w:rsid w:val="008F5679"/>
    <w:rsid w:val="0090567F"/>
    <w:rsid w:val="00955723"/>
    <w:rsid w:val="00955E50"/>
    <w:rsid w:val="009623E8"/>
    <w:rsid w:val="0096313A"/>
    <w:rsid w:val="00966D24"/>
    <w:rsid w:val="009708F8"/>
    <w:rsid w:val="00974DDD"/>
    <w:rsid w:val="00975BA4"/>
    <w:rsid w:val="00987601"/>
    <w:rsid w:val="009A36D5"/>
    <w:rsid w:val="009B29FE"/>
    <w:rsid w:val="009B478F"/>
    <w:rsid w:val="009B638E"/>
    <w:rsid w:val="009B7A0B"/>
    <w:rsid w:val="009C173D"/>
    <w:rsid w:val="009C43E5"/>
    <w:rsid w:val="009D54A1"/>
    <w:rsid w:val="009D77B3"/>
    <w:rsid w:val="009E3C22"/>
    <w:rsid w:val="009E6D9C"/>
    <w:rsid w:val="00A00AA4"/>
    <w:rsid w:val="00A06862"/>
    <w:rsid w:val="00A1247C"/>
    <w:rsid w:val="00A15B2E"/>
    <w:rsid w:val="00A33742"/>
    <w:rsid w:val="00A3608F"/>
    <w:rsid w:val="00A4155C"/>
    <w:rsid w:val="00A44201"/>
    <w:rsid w:val="00A51162"/>
    <w:rsid w:val="00A80AD3"/>
    <w:rsid w:val="00A82500"/>
    <w:rsid w:val="00A82623"/>
    <w:rsid w:val="00A91C97"/>
    <w:rsid w:val="00AA0B8A"/>
    <w:rsid w:val="00AA55DE"/>
    <w:rsid w:val="00AB01EF"/>
    <w:rsid w:val="00AC1C66"/>
    <w:rsid w:val="00AD006A"/>
    <w:rsid w:val="00AD2574"/>
    <w:rsid w:val="00AE0823"/>
    <w:rsid w:val="00B02067"/>
    <w:rsid w:val="00B119E5"/>
    <w:rsid w:val="00B11E96"/>
    <w:rsid w:val="00B130CF"/>
    <w:rsid w:val="00B14EE3"/>
    <w:rsid w:val="00B14F49"/>
    <w:rsid w:val="00B16F7B"/>
    <w:rsid w:val="00B17C36"/>
    <w:rsid w:val="00B17CFC"/>
    <w:rsid w:val="00B25CA7"/>
    <w:rsid w:val="00B2737C"/>
    <w:rsid w:val="00B37A0A"/>
    <w:rsid w:val="00B4242E"/>
    <w:rsid w:val="00B632B4"/>
    <w:rsid w:val="00B7365D"/>
    <w:rsid w:val="00B760FB"/>
    <w:rsid w:val="00B76946"/>
    <w:rsid w:val="00B8229E"/>
    <w:rsid w:val="00B96E40"/>
    <w:rsid w:val="00B97F12"/>
    <w:rsid w:val="00BA7222"/>
    <w:rsid w:val="00BB03F1"/>
    <w:rsid w:val="00BB34D5"/>
    <w:rsid w:val="00BB6142"/>
    <w:rsid w:val="00BC595C"/>
    <w:rsid w:val="00BD0D6A"/>
    <w:rsid w:val="00BD13E4"/>
    <w:rsid w:val="00BD1909"/>
    <w:rsid w:val="00BD272B"/>
    <w:rsid w:val="00BE2C19"/>
    <w:rsid w:val="00C1100C"/>
    <w:rsid w:val="00C23BD0"/>
    <w:rsid w:val="00C267D2"/>
    <w:rsid w:val="00C36529"/>
    <w:rsid w:val="00C415FC"/>
    <w:rsid w:val="00C45AF3"/>
    <w:rsid w:val="00C5275B"/>
    <w:rsid w:val="00C636A3"/>
    <w:rsid w:val="00C638D8"/>
    <w:rsid w:val="00C67875"/>
    <w:rsid w:val="00C75B5A"/>
    <w:rsid w:val="00C762A1"/>
    <w:rsid w:val="00C834CF"/>
    <w:rsid w:val="00C90EBC"/>
    <w:rsid w:val="00CA482D"/>
    <w:rsid w:val="00CB7260"/>
    <w:rsid w:val="00CC002C"/>
    <w:rsid w:val="00CC6283"/>
    <w:rsid w:val="00CC62E2"/>
    <w:rsid w:val="00CC73D8"/>
    <w:rsid w:val="00CC7950"/>
    <w:rsid w:val="00CD1DB9"/>
    <w:rsid w:val="00CD63D9"/>
    <w:rsid w:val="00CE4AC0"/>
    <w:rsid w:val="00CE6186"/>
    <w:rsid w:val="00D028DA"/>
    <w:rsid w:val="00D068FE"/>
    <w:rsid w:val="00D07A39"/>
    <w:rsid w:val="00D14594"/>
    <w:rsid w:val="00D17C17"/>
    <w:rsid w:val="00D3492F"/>
    <w:rsid w:val="00D34AD6"/>
    <w:rsid w:val="00D56F14"/>
    <w:rsid w:val="00D71769"/>
    <w:rsid w:val="00D82C90"/>
    <w:rsid w:val="00D87C3B"/>
    <w:rsid w:val="00D93A73"/>
    <w:rsid w:val="00D96A6B"/>
    <w:rsid w:val="00DA1C35"/>
    <w:rsid w:val="00DA49BF"/>
    <w:rsid w:val="00DB0D43"/>
    <w:rsid w:val="00DB4D4B"/>
    <w:rsid w:val="00DC5757"/>
    <w:rsid w:val="00DC657A"/>
    <w:rsid w:val="00DC7AFD"/>
    <w:rsid w:val="00DD422C"/>
    <w:rsid w:val="00DD5286"/>
    <w:rsid w:val="00DE1938"/>
    <w:rsid w:val="00DE2555"/>
    <w:rsid w:val="00E04EBD"/>
    <w:rsid w:val="00E06585"/>
    <w:rsid w:val="00E07795"/>
    <w:rsid w:val="00E16859"/>
    <w:rsid w:val="00E318C7"/>
    <w:rsid w:val="00E408CF"/>
    <w:rsid w:val="00E43265"/>
    <w:rsid w:val="00E53B01"/>
    <w:rsid w:val="00E6052A"/>
    <w:rsid w:val="00E60957"/>
    <w:rsid w:val="00E67635"/>
    <w:rsid w:val="00E678F4"/>
    <w:rsid w:val="00E74E0F"/>
    <w:rsid w:val="00E77E8C"/>
    <w:rsid w:val="00E855F5"/>
    <w:rsid w:val="00EA06E6"/>
    <w:rsid w:val="00EA082D"/>
    <w:rsid w:val="00EA48E9"/>
    <w:rsid w:val="00EB024E"/>
    <w:rsid w:val="00EB2B1B"/>
    <w:rsid w:val="00EB4F66"/>
    <w:rsid w:val="00EC65BE"/>
    <w:rsid w:val="00EE2016"/>
    <w:rsid w:val="00EF2598"/>
    <w:rsid w:val="00EF3BD7"/>
    <w:rsid w:val="00EF406F"/>
    <w:rsid w:val="00EF75C9"/>
    <w:rsid w:val="00F04D1E"/>
    <w:rsid w:val="00F07138"/>
    <w:rsid w:val="00F1281E"/>
    <w:rsid w:val="00F44B6B"/>
    <w:rsid w:val="00F47920"/>
    <w:rsid w:val="00F545DE"/>
    <w:rsid w:val="00F65C42"/>
    <w:rsid w:val="00F74170"/>
    <w:rsid w:val="00F80620"/>
    <w:rsid w:val="00F8709C"/>
    <w:rsid w:val="00F90C37"/>
    <w:rsid w:val="00F97332"/>
    <w:rsid w:val="00FA2D96"/>
    <w:rsid w:val="00FA3FC0"/>
    <w:rsid w:val="00FA7E22"/>
    <w:rsid w:val="00FB2005"/>
    <w:rsid w:val="00FB74E9"/>
    <w:rsid w:val="00FB7E76"/>
    <w:rsid w:val="00FC7967"/>
    <w:rsid w:val="00FD38CB"/>
    <w:rsid w:val="00FD44EC"/>
    <w:rsid w:val="00FE685B"/>
    <w:rsid w:val="00FE7703"/>
    <w:rsid w:val="00FF174C"/>
    <w:rsid w:val="0D3F4C47"/>
    <w:rsid w:val="27A91370"/>
    <w:rsid w:val="4F84367E"/>
    <w:rsid w:val="56D44016"/>
    <w:rsid w:val="59CC3DD9"/>
    <w:rsid w:val="5F250328"/>
    <w:rsid w:val="6DEA2046"/>
    <w:rsid w:val="79BA6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alloon Text"/>
    <w:basedOn w:val="1"/>
    <w:link w:val="15"/>
    <w:semiHidden/>
    <w:unhideWhenUsed/>
    <w:qFormat/>
    <w:uiPriority w:val="0"/>
    <w:rPr>
      <w:sz w:val="18"/>
      <w:szCs w:val="18"/>
    </w:rPr>
  </w:style>
  <w:style w:type="paragraph" w:styleId="4">
    <w:name w:val="footer"/>
    <w:basedOn w:val="1"/>
    <w:link w:val="11"/>
    <w:qFormat/>
    <w:uiPriority w:val="99"/>
    <w:pPr>
      <w:tabs>
        <w:tab w:val="center" w:pos="4153"/>
        <w:tab w:val="right" w:pos="8306"/>
      </w:tabs>
      <w:snapToGrid w:val="0"/>
      <w:jc w:val="left"/>
    </w:pPr>
    <w:rPr>
      <w:sz w:val="18"/>
    </w:rPr>
  </w:style>
  <w:style w:type="paragraph" w:styleId="5">
    <w:name w:val="header"/>
    <w:basedOn w:val="1"/>
    <w:link w:val="1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annotation subject"/>
    <w:basedOn w:val="2"/>
    <w:next w:val="2"/>
    <w:link w:val="14"/>
    <w:semiHidden/>
    <w:unhideWhenUsed/>
    <w:qFormat/>
    <w:uiPriority w:val="99"/>
    <w:rPr>
      <w:b/>
      <w:bCs/>
    </w:rPr>
  </w:style>
  <w:style w:type="character" w:styleId="9">
    <w:name w:val="Hyperlink"/>
    <w:basedOn w:val="8"/>
    <w:unhideWhenUsed/>
    <w:qFormat/>
    <w:uiPriority w:val="99"/>
    <w:rPr>
      <w:color w:val="0563C1" w:themeColor="hyperlink"/>
      <w:u w:val="single"/>
      <w14:textFill>
        <w14:solidFill>
          <w14:schemeClr w14:val="hlink"/>
        </w14:solidFill>
      </w14:textFill>
    </w:rPr>
  </w:style>
  <w:style w:type="character" w:styleId="10">
    <w:name w:val="annotation reference"/>
    <w:basedOn w:val="8"/>
    <w:qFormat/>
    <w:uiPriority w:val="0"/>
    <w:rPr>
      <w:sz w:val="21"/>
      <w:szCs w:val="21"/>
    </w:rPr>
  </w:style>
  <w:style w:type="character" w:customStyle="1" w:styleId="11">
    <w:name w:val="页脚 字符"/>
    <w:basedOn w:val="8"/>
    <w:link w:val="4"/>
    <w:qFormat/>
    <w:uiPriority w:val="99"/>
    <w:rPr>
      <w:rFonts w:ascii="Calibri" w:hAnsi="Calibri"/>
      <w:sz w:val="18"/>
    </w:rPr>
  </w:style>
  <w:style w:type="character" w:customStyle="1" w:styleId="12">
    <w:name w:val="页眉 字符"/>
    <w:basedOn w:val="8"/>
    <w:link w:val="5"/>
    <w:qFormat/>
    <w:uiPriority w:val="99"/>
    <w:rPr>
      <w:rFonts w:ascii="Calibri" w:hAnsi="Calibri"/>
      <w:sz w:val="18"/>
    </w:rPr>
  </w:style>
  <w:style w:type="character" w:customStyle="1" w:styleId="13">
    <w:name w:val="批注文字 字符"/>
    <w:basedOn w:val="8"/>
    <w:link w:val="2"/>
    <w:semiHidden/>
    <w:qFormat/>
    <w:uiPriority w:val="99"/>
    <w:rPr>
      <w:rFonts w:ascii="Calibri" w:hAnsi="Calibri"/>
    </w:rPr>
  </w:style>
  <w:style w:type="character" w:customStyle="1" w:styleId="14">
    <w:name w:val="批注主题 字符"/>
    <w:basedOn w:val="13"/>
    <w:link w:val="6"/>
    <w:semiHidden/>
    <w:qFormat/>
    <w:uiPriority w:val="99"/>
    <w:rPr>
      <w:rFonts w:ascii="Calibri" w:hAnsi="Calibri"/>
      <w:b/>
      <w:bCs/>
    </w:rPr>
  </w:style>
  <w:style w:type="character" w:customStyle="1" w:styleId="15">
    <w:name w:val="批注框文本 字符"/>
    <w:basedOn w:val="8"/>
    <w:link w:val="3"/>
    <w:semiHidden/>
    <w:qFormat/>
    <w:uiPriority w:val="99"/>
    <w:rPr>
      <w:rFonts w:ascii="Calibri" w:hAnsi="Calibri"/>
      <w:sz w:val="18"/>
      <w:szCs w:val="18"/>
    </w:rPr>
  </w:style>
  <w:style w:type="paragraph" w:customStyle="1" w:styleId="16">
    <w:name w:val="Default"/>
    <w:qFormat/>
    <w:uiPriority w:val="0"/>
    <w:pPr>
      <w:widowControl w:val="0"/>
      <w:autoSpaceDE w:val="0"/>
      <w:autoSpaceDN w:val="0"/>
      <w:adjustRightInd w:val="0"/>
    </w:pPr>
    <w:rPr>
      <w:rFonts w:ascii="仿宋" w:eastAsia="仿宋" w:cs="仿宋" w:hAnsiTheme="minorHAnsi"/>
      <w:color w:val="000000"/>
      <w:kern w:val="0"/>
      <w:sz w:val="24"/>
      <w:szCs w:val="24"/>
      <w:lang w:val="en-US" w:eastAsia="zh-CN" w:bidi="ar-SA"/>
    </w:rPr>
  </w:style>
  <w:style w:type="character" w:customStyle="1" w:styleId="17">
    <w:name w:val="bjh-p"/>
    <w:basedOn w:val="8"/>
    <w:qFormat/>
    <w:uiPriority w:val="0"/>
  </w:style>
  <w:style w:type="paragraph" w:customStyle="1" w:styleId="18">
    <w:name w:val="Revision"/>
    <w:hidden/>
    <w:semiHidden/>
    <w:qFormat/>
    <w:uiPriority w:val="99"/>
    <w:rPr>
      <w:rFonts w:ascii="Calibri" w:hAnsi="Calibr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57367-A6C2-4B24-B710-3577B201EB96}">
  <ds:schemaRefs/>
</ds:datastoreItem>
</file>

<file path=docProps/app.xml><?xml version="1.0" encoding="utf-8"?>
<Properties xmlns="http://schemas.openxmlformats.org/officeDocument/2006/extended-properties" xmlns:vt="http://schemas.openxmlformats.org/officeDocument/2006/docPropsVTypes">
  <Template>Normal.dotm</Template>
  <Company>PAIG</Company>
  <Pages>5</Pages>
  <Words>4117</Words>
  <Characters>4254</Characters>
  <Lines>29</Lines>
  <Paragraphs>8</Paragraphs>
  <TotalTime>43</TotalTime>
  <ScaleCrop>false</ScaleCrop>
  <LinksUpToDate>false</LinksUpToDate>
  <CharactersWithSpaces>4363</CharactersWithSpaces>
  <Application>WPS Office_12.8.2.17134_F1E327BC-269C-435d-A152-05C5408002CA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2022-02-15T09:05:00Z</dcterms:created>
  <dc:creator>樊毓雯</dc:creator>
  <cp:lastModifiedBy>SUNDANFENG531</cp:lastModifiedBy>
  <cp:lastPrinted>2023-04-04T07:45:00Z</cp:lastPrinted>
  <dcterms:modified xsi:type="dcterms:W3CDTF">2025-12-24T00:23:44Z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2052-12.8.2.17134</vt:lpwstr>
  </property>
  <property fmtid="{D5CDD505-2E9C-101B-9397-08002B2CF9AE}" pid="3" name="ICV">
    <vt:lpwstr>77E7EEA4327041B2AEF2517BEC25313B_13</vt:lpwstr>
  </property>
</Properties>
</file>