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left="0" w:leftChars="0" w:firstLine="0" w:firstLineChars="0"/>
        <w:jc w:val="center"/>
        <w:outlineLvl w:val="0"/>
        <w:rPr>
          <w:rFonts w:hint="eastAsia" w:ascii="宋体" w:hAnsi="宋体" w:cs="宋体"/>
          <w:b/>
          <w:bCs/>
          <w:sz w:val="44"/>
          <w:szCs w:val="44"/>
          <w:highlight w:val="none"/>
        </w:rPr>
      </w:pPr>
      <w:r>
        <w:rPr>
          <w:rFonts w:hint="eastAsia" w:ascii="宋体" w:hAnsi="宋体" w:eastAsia="宋体" w:cs="宋体"/>
          <w:b/>
          <w:bCs/>
          <w:kern w:val="2"/>
          <w:sz w:val="44"/>
          <w:szCs w:val="44"/>
          <w:highlight w:val="none"/>
          <w:lang w:val="en-US" w:eastAsia="zh" w:bidi="ar-SA"/>
        </w:rPr>
        <w:t>幸福99丰裕固收386天26056期理财</w:t>
      </w:r>
      <w:r>
        <w:rPr>
          <w:rFonts w:hint="eastAsia" w:ascii="宋体" w:hAnsi="宋体" w:cs="宋体"/>
          <w:b/>
          <w:bCs/>
          <w:sz w:val="44"/>
          <w:szCs w:val="44"/>
          <w:highlight w:val="none"/>
        </w:rPr>
        <w:t>风险揭示书</w:t>
      </w:r>
    </w:p>
    <w:p>
      <w:pPr>
        <w:jc w:val="center"/>
        <w:outlineLvl w:val="1"/>
        <w:rPr>
          <w:rFonts w:hint="eastAsia" w:ascii="宋体" w:hAnsi="宋体" w:cs="宋体"/>
          <w:sz w:val="28"/>
          <w:szCs w:val="28"/>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left"/>
        <w:rPr>
          <w:rFonts w:hint="eastAsia" w:ascii="宋体" w:hAnsi="宋体" w:cs="宋体"/>
          <w:sz w:val="24"/>
          <w:highlight w:val="none"/>
        </w:rPr>
      </w:pPr>
      <w:r>
        <w:rPr>
          <w:rFonts w:hint="eastAsia" w:ascii="宋体" w:hAnsi="宋体" w:cs="宋体"/>
          <w:sz w:val="24"/>
          <w:highlight w:val="none"/>
        </w:rPr>
        <w:t>尊敬的理财投资者：</w:t>
      </w:r>
    </w:p>
    <w:p>
      <w:pPr>
        <w:spacing w:line="360" w:lineRule="auto"/>
        <w:jc w:val="center"/>
        <w:outlineLvl w:val="2"/>
        <w:rPr>
          <w:rFonts w:hint="eastAsia" w:ascii="宋体" w:hAnsi="宋体" w:cs="宋体"/>
          <w:b/>
          <w:bCs/>
          <w:sz w:val="24"/>
          <w:highlight w:val="none"/>
          <w:u w:val="single"/>
        </w:rPr>
      </w:pPr>
      <w:r>
        <w:rPr>
          <w:rFonts w:hint="eastAsia" w:ascii="宋体" w:hAnsi="宋体" w:cs="宋体"/>
          <w:b/>
          <w:bCs/>
          <w:sz w:val="24"/>
          <w:highlight w:val="none"/>
          <w:u w:val="single"/>
        </w:rPr>
        <w:t>理财非存款、产品有风险、投资</w:t>
      </w:r>
      <w:r>
        <w:rPr>
          <w:rFonts w:hint="eastAsia" w:ascii="宋体" w:hAnsi="宋体" w:cs="宋体"/>
          <w:b/>
          <w:bCs/>
          <w:sz w:val="24"/>
          <w:highlight w:val="none"/>
          <w:u w:val="single"/>
          <w:lang w:eastAsia="zh-CN"/>
        </w:rPr>
        <w:t>须</w:t>
      </w:r>
      <w:r>
        <w:rPr>
          <w:rFonts w:hint="eastAsia" w:ascii="宋体" w:hAnsi="宋体" w:cs="宋体"/>
          <w:b/>
          <w:bCs/>
          <w:sz w:val="24"/>
          <w:highlight w:val="none"/>
          <w:u w:val="single"/>
        </w:rPr>
        <w:t>谨慎</w:t>
      </w:r>
    </w:p>
    <w:p>
      <w:pPr>
        <w:spacing w:line="360" w:lineRule="auto"/>
        <w:ind w:firstLine="480" w:firstLineChars="200"/>
        <w:jc w:val="left"/>
        <w:rPr>
          <w:rFonts w:hint="eastAsia" w:ascii="宋体" w:hAnsi="宋体" w:cs="宋体"/>
          <w:b/>
          <w:sz w:val="24"/>
          <w:highlight w:val="none"/>
        </w:rPr>
      </w:pPr>
      <w:r>
        <w:rPr>
          <w:rFonts w:hint="eastAsia" w:ascii="宋体" w:hAnsi="宋体" w:cs="宋体"/>
          <w:bCs/>
          <w:sz w:val="24"/>
          <w:highlight w:val="none"/>
        </w:rPr>
        <w:t>根据</w:t>
      </w:r>
      <w:r>
        <w:rPr>
          <w:rFonts w:hint="eastAsia" w:ascii="宋体" w:hAnsi="宋体" w:cs="宋体"/>
          <w:bCs/>
          <w:sz w:val="24"/>
          <w:highlight w:val="none"/>
          <w:lang w:eastAsia="zh-CN"/>
        </w:rPr>
        <w:t>国家金融监督管理总局</w:t>
      </w:r>
      <w:r>
        <w:rPr>
          <w:rFonts w:hint="eastAsia" w:ascii="宋体" w:hAnsi="宋体" w:cs="宋体"/>
          <w:bCs/>
          <w:sz w:val="24"/>
          <w:highlight w:val="none"/>
        </w:rPr>
        <w:t>相关监督规定，杭银理财有限责任公司作为本理财计划的管理人郑重提示：在购买理财计划前，请仔细阅读本理财计划完整合同（包括但不限于</w:t>
      </w:r>
      <w:r>
        <w:rPr>
          <w:rFonts w:hint="eastAsia" w:ascii="宋体" w:hAnsi="宋体" w:cs="宋体"/>
          <w:bCs/>
          <w:sz w:val="24"/>
          <w:highlight w:val="none"/>
          <w:lang w:eastAsia="zh-CN"/>
        </w:rPr>
        <w:t>理财计划</w:t>
      </w:r>
      <w:r>
        <w:rPr>
          <w:rFonts w:hint="eastAsia" w:ascii="宋体" w:hAnsi="宋体" w:cs="宋体"/>
          <w:bCs/>
          <w:sz w:val="24"/>
          <w:highlight w:val="none"/>
        </w:rPr>
        <w:t>风险揭示书、理财计划说明书、投资者权益须知</w:t>
      </w:r>
      <w:r>
        <w:rPr>
          <w:rFonts w:hint="eastAsia" w:ascii="宋体" w:hAnsi="宋体" w:cs="宋体"/>
          <w:bCs/>
          <w:sz w:val="24"/>
          <w:highlight w:val="none"/>
          <w:lang w:eastAsia="zh-CN"/>
        </w:rPr>
        <w:t>、</w:t>
      </w:r>
      <w:r>
        <w:rPr>
          <w:rFonts w:hint="eastAsia" w:ascii="宋体" w:hAnsi="宋体" w:cs="宋体"/>
          <w:bCs/>
          <w:sz w:val="24"/>
          <w:highlight w:val="none"/>
        </w:rPr>
        <w:t>理财计划投资协议书</w:t>
      </w:r>
      <w:r>
        <w:rPr>
          <w:rFonts w:hint="eastAsia" w:ascii="宋体" w:hAnsi="宋体" w:cs="宋体"/>
          <w:bCs/>
          <w:sz w:val="24"/>
          <w:highlight w:val="none"/>
          <w:lang w:eastAsia="zh-CN"/>
        </w:rPr>
        <w:t>和理财计划（</w:t>
      </w:r>
      <w:r>
        <w:rPr>
          <w:rFonts w:hint="eastAsia" w:ascii="宋体" w:hAnsi="宋体" w:cs="宋体"/>
          <w:bCs/>
          <w:sz w:val="24"/>
          <w:highlight w:val="none"/>
          <w:lang w:val="en-US" w:eastAsia="zh-CN"/>
        </w:rPr>
        <w:t>代理销售</w:t>
      </w:r>
      <w:r>
        <w:rPr>
          <w:rFonts w:hint="eastAsia" w:ascii="宋体" w:hAnsi="宋体" w:cs="宋体"/>
          <w:bCs/>
          <w:sz w:val="24"/>
          <w:highlight w:val="none"/>
          <w:lang w:eastAsia="zh-CN"/>
        </w:rPr>
        <w:t>）销售协议书</w:t>
      </w:r>
      <w:r>
        <w:rPr>
          <w:rFonts w:hint="eastAsia" w:ascii="宋体" w:hAnsi="宋体" w:cs="宋体"/>
          <w:bCs/>
          <w:sz w:val="24"/>
          <w:highlight w:val="none"/>
        </w:rPr>
        <w:t>，</w:t>
      </w:r>
      <w:r>
        <w:rPr>
          <w:rFonts w:hint="eastAsia" w:ascii="宋体" w:hAnsi="宋体" w:cs="宋体"/>
          <w:b/>
          <w:bCs w:val="0"/>
          <w:sz w:val="24"/>
          <w:highlight w:val="none"/>
        </w:rPr>
        <w:t>若通过电子渠道购买的，成功交易后视同为投资者与管理人已完成理财计划交易合同的签订</w:t>
      </w:r>
      <w:r>
        <w:rPr>
          <w:rFonts w:hint="eastAsia" w:ascii="宋体" w:hAnsi="宋体" w:cs="宋体"/>
          <w:bCs/>
          <w:sz w:val="24"/>
          <w:highlight w:val="none"/>
        </w:rPr>
        <w:t>），了解理财计划相关具体情况，并确保已评估自身的风险承受能力和理财计划相关风险后，谨慎投资。</w:t>
      </w:r>
      <w:r>
        <w:rPr>
          <w:rFonts w:hint="eastAsia" w:ascii="宋体" w:hAnsi="宋体" w:cs="宋体"/>
          <w:b/>
          <w:sz w:val="24"/>
          <w:highlight w:val="none"/>
        </w:rPr>
        <w:t>如影响您风险承受能力的因素发生变化，请及时更新风险承受能力评估。</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请您根据自身理财目标、投资经验、财务状况、风险承受能力以及其他相关情况慎重购买理财计划。本风险揭示书列示的可能涉及的风险包括但不限于：</w:t>
      </w:r>
    </w:p>
    <w:p>
      <w:pPr>
        <w:numPr>
          <w:ilvl w:val="0"/>
          <w:numId w:val="1"/>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理财计划共性风险</w:t>
      </w:r>
    </w:p>
    <w:p>
      <w:pPr>
        <w:numPr>
          <w:ilvl w:val="0"/>
          <w:numId w:val="2"/>
        </w:numPr>
        <w:spacing w:line="360" w:lineRule="auto"/>
        <w:jc w:val="left"/>
        <w:outlineLvl w:val="9"/>
        <w:rPr>
          <w:rFonts w:ascii="宋体" w:hAnsi="宋体" w:cs="宋体"/>
          <w:b/>
          <w:sz w:val="24"/>
          <w:highlight w:val="none"/>
        </w:rPr>
      </w:pPr>
      <w:r>
        <w:rPr>
          <w:rFonts w:hint="eastAsia" w:ascii="宋体" w:hAnsi="宋体" w:cs="宋体"/>
          <w:b/>
          <w:sz w:val="24"/>
          <w:highlight w:val="none"/>
        </w:rPr>
        <w:t>信用风险：理财计划所投资产的相关义务人信用状况恶化，出现信用违约情形，则理财计划本金或收益蒙受部分或全部损失的风险。</w:t>
      </w:r>
    </w:p>
    <w:p>
      <w:pPr>
        <w:numPr>
          <w:ilvl w:val="0"/>
          <w:numId w:val="2"/>
        </w:numPr>
        <w:spacing w:line="360" w:lineRule="auto"/>
        <w:jc w:val="left"/>
        <w:outlineLvl w:val="9"/>
        <w:rPr>
          <w:rFonts w:ascii="宋体" w:hAnsi="宋体" w:cs="宋体"/>
          <w:b/>
          <w:sz w:val="24"/>
          <w:highlight w:val="none"/>
        </w:rPr>
      </w:pPr>
      <w:r>
        <w:rPr>
          <w:rFonts w:hint="eastAsia" w:ascii="宋体" w:hAnsi="宋体" w:cs="宋体"/>
          <w:b/>
          <w:sz w:val="24"/>
          <w:highlight w:val="none"/>
        </w:rPr>
        <w:t>市场风险：理财计划可能面临国家政策、经济周期、利率、汇率等因素的变化，所投资产价值可能出现波动，从而影响理财计划的收益，导致理财计划本金或收益蒙受部分或全部损失的风险，主要包括：</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政策风险：因国家宏观政策（如财政政策、货币政策、监管政策等）发生变化，导致市场价格波动而产生风险，从而对理财计划收益产生影响。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经济周期风险：随经济运行周期变化，证券市场的收益水平也呈周期性变化，从而对理财计划收益产生影响。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购买力风险：如发生通货膨胀，则所投资产的收益可能会被通货膨胀抵消，从而对理财计划收益</w:t>
      </w:r>
      <w:r>
        <w:rPr>
          <w:rFonts w:hint="eastAsia" w:ascii="宋体" w:hAnsi="宋体" w:cs="宋体"/>
          <w:b/>
          <w:sz w:val="24"/>
          <w:highlight w:val="none"/>
          <w:lang w:eastAsia="zh-CN"/>
        </w:rPr>
        <w:t>的实际购买力</w:t>
      </w:r>
      <w:r>
        <w:rPr>
          <w:rFonts w:hint="eastAsia" w:ascii="宋体" w:hAnsi="宋体" w:cs="宋体"/>
          <w:b/>
          <w:sz w:val="24"/>
          <w:highlight w:val="none"/>
        </w:rPr>
        <w:t>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利率风险：金融市场利率波动会导致证券市场价格和收益率波动，从而对理财计划收益产生影响。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汇率风险：理财计划如投资涉及非本国货币，则外汇市场可能会出现汇率波动，从而对理财计划收益产生影响。</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流动性风险：理财计划投资组合内的资产不能迅速变现，或因资产变现而导致的额外资金成本增加的风险。从投资者角度，如理财计划为封闭式，则理财计划封闭期内无法提前赎回，应考虑理财计划期限并合理安排自身投资计划；如理财计划为开放式，投资者只能在开放期的交易时间进行申购、赎回，若开放期内发生巨额赎回，则可能面临不能及时赎回理财资金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政策风险：理财计划根据当前的相关法规和政策设计，如国家宏观政策以及相关市场</w:t>
      </w:r>
      <w:r>
        <w:rPr>
          <w:rFonts w:hint="eastAsia" w:ascii="宋体" w:hAnsi="宋体" w:cs="宋体"/>
          <w:b/>
          <w:sz w:val="24"/>
          <w:highlight w:val="none"/>
          <w:lang w:val="en-US" w:eastAsia="zh-CN"/>
        </w:rPr>
        <w:t>法律、</w:t>
      </w:r>
      <w:r>
        <w:rPr>
          <w:rFonts w:hint="eastAsia" w:ascii="宋体" w:hAnsi="宋体" w:cs="宋体"/>
          <w:b/>
          <w:sz w:val="24"/>
          <w:highlight w:val="none"/>
        </w:rPr>
        <w:t>法规发生变化，可能会影响理财计划的发行、投资、兑付等正常工作流程的进行，导致理财计划本金或收益蒙受部分或全部损失的风险。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操作风险：理财计划由于内部作业、人员管理、系统操作、交易对手交易处理不当或失误等，导致理财计划本金或收益蒙受部分或全部损失的风险。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管理风险：理财计划在投资管理运作过程中，投资管理各方受经验、技能、执行力等综合因素的限制，可能会对理财计划的投资与运作产生一定影响，导致理财计划本金或收益蒙受部分或全部损失的风险。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理财计划不成立风险：如理财计划认购总金额未达到最低发行规模，或因理财计划资产运作模式等与法律法规的规定或者监管机构的要求存在冲突，或因国家法律法规或者监管部门发布的通知、决定等导致本理财计划无法按原先约定条件成立，或市场发生剧烈波动、经管理人合理判断难以按照说明书规定向投资者提供本理财计划，管理人有权宣布本理财计划不成立，投资者将面临不成立再投资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兑付延期风险：如理财计划到期或投资者决定赎回本理财计划时，若出现所投资产无法顺利变现、市场发生重大变化或其他管理人认为需要延期兑付的情形时，投资者将面临本理财计划无法按时支付相关款项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提前</w:t>
      </w:r>
      <w:r>
        <w:rPr>
          <w:rFonts w:hint="eastAsia" w:ascii="宋体" w:hAnsi="宋体" w:cs="宋体"/>
          <w:b/>
          <w:sz w:val="24"/>
          <w:highlight w:val="none"/>
          <w:lang w:eastAsia="zh-CN"/>
        </w:rPr>
        <w:t>或延期</w:t>
      </w:r>
      <w:r>
        <w:rPr>
          <w:rFonts w:hint="eastAsia" w:ascii="宋体" w:hAnsi="宋体" w:cs="宋体"/>
          <w:b/>
          <w:sz w:val="24"/>
          <w:highlight w:val="none"/>
        </w:rPr>
        <w:t>终止风险：为保护投资者利益，在理财计划存续期间，管理人可根据理财计划说明书约定的情形提前</w:t>
      </w:r>
      <w:r>
        <w:rPr>
          <w:rFonts w:hint="eastAsia" w:ascii="宋体" w:hAnsi="宋体" w:cs="宋体"/>
          <w:b/>
          <w:sz w:val="24"/>
          <w:highlight w:val="none"/>
          <w:lang w:eastAsia="zh-CN"/>
        </w:rPr>
        <w:t>或延期</w:t>
      </w:r>
      <w:r>
        <w:rPr>
          <w:rFonts w:hint="eastAsia" w:ascii="宋体" w:hAnsi="宋体" w:cs="宋体"/>
          <w:b/>
          <w:sz w:val="24"/>
          <w:highlight w:val="none"/>
        </w:rPr>
        <w:t>终止本理财计划。如理财计划被提前</w:t>
      </w:r>
      <w:r>
        <w:rPr>
          <w:rFonts w:hint="eastAsia" w:ascii="宋体" w:hAnsi="宋体" w:cs="宋体"/>
          <w:b/>
          <w:sz w:val="24"/>
          <w:highlight w:val="none"/>
          <w:lang w:eastAsia="zh-CN"/>
        </w:rPr>
        <w:t>或延期</w:t>
      </w:r>
      <w:r>
        <w:rPr>
          <w:rFonts w:hint="eastAsia" w:ascii="宋体" w:hAnsi="宋体" w:cs="宋体"/>
          <w:b/>
          <w:sz w:val="24"/>
          <w:highlight w:val="none"/>
        </w:rPr>
        <w:t>终止，则投资者将面临提前终止再投资</w:t>
      </w:r>
      <w:r>
        <w:rPr>
          <w:rFonts w:hint="eastAsia" w:ascii="宋体" w:hAnsi="宋体" w:cs="宋体"/>
          <w:b/>
          <w:sz w:val="24"/>
          <w:highlight w:val="none"/>
          <w:lang w:eastAsia="zh-CN"/>
        </w:rPr>
        <w:t>或延期兑付</w:t>
      </w:r>
      <w:r>
        <w:rPr>
          <w:rFonts w:hint="eastAsia" w:ascii="宋体" w:hAnsi="宋体" w:cs="宋体"/>
          <w:b/>
          <w:sz w:val="24"/>
          <w:highlight w:val="none"/>
        </w:rPr>
        <w:t>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信息传递风险：</w:t>
      </w:r>
      <w:r>
        <w:rPr>
          <w:rFonts w:hint="eastAsia" w:ascii="宋体" w:hAnsi="宋体" w:cs="宋体"/>
          <w:b/>
          <w:sz w:val="24"/>
          <w:highlight w:val="none"/>
          <w:lang w:val="en-US" w:eastAsia="zh-CN"/>
        </w:rPr>
        <w:t>1.理财计划管理人将按照本理财计划销售文件中约定的信息披露方式、途径向投资者公示本理财计划的各类信息和重大事件，投资者应及时查询、了解。</w:t>
      </w:r>
      <w:r>
        <w:rPr>
          <w:rFonts w:hint="eastAsia" w:ascii="宋体" w:hAnsi="宋体" w:cs="宋体"/>
          <w:b/>
          <w:sz w:val="24"/>
          <w:highlight w:val="none"/>
        </w:rPr>
        <w:t>由于投资者未能及时主动了解理财计划信息</w:t>
      </w:r>
      <w:r>
        <w:rPr>
          <w:rFonts w:hint="eastAsia" w:ascii="宋体" w:hAnsi="宋体" w:cs="宋体"/>
          <w:b/>
          <w:sz w:val="24"/>
          <w:highlight w:val="none"/>
          <w:lang w:val="en-US" w:eastAsia="zh-CN"/>
        </w:rPr>
        <w:t>或由于不可抗力及/或意外事件的影响导致投资者无法及时了解理财计划信息，从而影响投资者的投资决策，由此产生的责任和风险由投资者自行承担</w:t>
      </w:r>
      <w:r>
        <w:rPr>
          <w:rFonts w:hint="eastAsia" w:ascii="宋体" w:hAnsi="宋体" w:cs="宋体"/>
          <w:b/>
          <w:sz w:val="24"/>
          <w:highlight w:val="none"/>
        </w:rPr>
        <w:t>。</w:t>
      </w:r>
      <w:r>
        <w:rPr>
          <w:rFonts w:hint="eastAsia" w:ascii="宋体" w:hAnsi="宋体" w:cs="宋体"/>
          <w:b/>
          <w:sz w:val="24"/>
          <w:highlight w:val="none"/>
          <w:lang w:val="en-US" w:eastAsia="zh-CN"/>
        </w:rPr>
        <w:t>2.投资者预留的有效联系方式发生变更的，应及时通知理财计划管理人。如投资者未及时告知理财计划管理人联系方式变更或理财计划管理人在其认为必要时无法及时联系到投资者的，可能影响投资者的投资决策，由此产生责任和风险由投资者自行承担。</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不可抗力风险：由于战争、重大自然灾害、重大公共卫生安全事件等不可抗力因素的出现，严重影响金融市场的正常运行，从而导致理财计划受到干扰和破坏，甚至影响理财计划的受理、投资、兑付等事宜的正常进行，进而导致</w:t>
      </w:r>
      <w:r>
        <w:rPr>
          <w:rFonts w:hint="eastAsia" w:ascii="宋体" w:hAnsi="宋体" w:cs="宋体"/>
          <w:b/>
          <w:sz w:val="24"/>
          <w:highlight w:val="none"/>
          <w:lang w:eastAsia="zh-CN"/>
        </w:rPr>
        <w:t>理</w:t>
      </w:r>
      <w:r>
        <w:rPr>
          <w:rFonts w:hint="eastAsia" w:ascii="宋体" w:hAnsi="宋体" w:cs="宋体"/>
          <w:b/>
          <w:sz w:val="24"/>
          <w:highlight w:val="none"/>
        </w:rPr>
        <w:t>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估值风险：本理财计划将按照说明书约定的估值方法进行估值，产品估值与实际变现价值可能发生偏离。理财计划管理人估值仅作为参考，管理人不承担第三方再次使用该估值引发的其他风险。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建仓期风险：如理财计划设置建仓期，则在建仓期内理财计划的投资比例可能无法满足约定的投资比例限制，从而对理财计划收益产生影响。</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代销风险：本理财计划通过代销渠道销售，投资者认购理财计划的资金由销售机构从投资者资金账户扣收；理财计划到期时，兑付资金按本理财计划合同约定划付至销售机构清算账户后，由销售机构向投资者划付投资者应得兑付资金。如因投资者清算账户余额不足，或销售机构未及时足额划付资金，或销售机构清算账户内资金被依法冻结或扣划，或销售机构清算账户处于被挂失、冻结、注销或其他非正常状态等原因而导致交易失败，对于因上述原因导致的交易失败可能带来的任何损失及预期损失，投资者须自行承担或向销售机构依法主张。</w:t>
      </w:r>
    </w:p>
    <w:p>
      <w:pPr>
        <w:numPr>
          <w:ilvl w:val="0"/>
          <w:numId w:val="4"/>
        </w:numPr>
        <w:spacing w:line="360" w:lineRule="auto"/>
        <w:ind w:firstLine="482" w:firstLineChars="200"/>
        <w:jc w:val="left"/>
        <w:outlineLvl w:val="9"/>
        <w:rPr>
          <w:rFonts w:ascii="宋体" w:hAnsi="宋体" w:cs="宋体"/>
          <w:b/>
          <w:sz w:val="24"/>
          <w:highlight w:val="none"/>
        </w:rPr>
      </w:pPr>
      <w:r>
        <w:rPr>
          <w:rFonts w:hint="eastAsia" w:ascii="宋体" w:hAnsi="宋体" w:cs="宋体"/>
          <w:b/>
          <w:sz w:val="24"/>
          <w:highlight w:val="none"/>
          <w:lang w:val="en-US" w:eastAsia="zh-CN"/>
        </w:rPr>
        <w:t>不同理财计划份额差异化风险：管理人可根据投资者购买理财计划的金额、销售渠道等因素，对投资者所持有的理财计划设置不同理财计划份额类别。不同类别的理财计划份额在销售名称、收费方式、销售服务费、销售代码、销售对象、销售起点金额（包括认购、申购等）、认申购和赎回的数量限额、持有理财计划的最高和最低限额、计算和公告理财计划份额净值方面等存在差异。</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lang w:eastAsia="zh-CN"/>
        </w:rPr>
        <w:t>关</w:t>
      </w:r>
      <w:r>
        <w:rPr>
          <w:rFonts w:ascii="宋体" w:hAnsi="宋体" w:cs="宋体"/>
          <w:b/>
          <w:sz w:val="24"/>
          <w:highlight w:val="none"/>
        </w:rPr>
        <w:t>联关系</w:t>
      </w:r>
      <w:r>
        <w:rPr>
          <w:rFonts w:hint="eastAsia" w:ascii="宋体" w:hAnsi="宋体" w:cs="宋体"/>
          <w:b/>
          <w:sz w:val="24"/>
          <w:highlight w:val="none"/>
          <w:lang w:val="en-US" w:eastAsia="zh-CN"/>
        </w:rPr>
        <w:t>及关联交易</w:t>
      </w:r>
      <w:r>
        <w:rPr>
          <w:rFonts w:ascii="宋体" w:hAnsi="宋体" w:cs="宋体"/>
          <w:b/>
          <w:sz w:val="24"/>
          <w:highlight w:val="none"/>
        </w:rPr>
        <w:t>风险：</w:t>
      </w:r>
      <w:r>
        <w:rPr>
          <w:rFonts w:hint="eastAsia" w:ascii="宋体" w:hAnsi="宋体" w:cs="宋体"/>
          <w:b/>
          <w:sz w:val="24"/>
          <w:highlight w:val="none"/>
          <w:lang w:val="en-US" w:eastAsia="zh-CN"/>
        </w:rPr>
        <w:t>本理财计划由杭银理财发行并管理，独立履行理财计划管理人职责，杭银理财有权委托销售服务机构进行代理销售，可能涉及委托</w:t>
      </w:r>
      <w:r>
        <w:rPr>
          <w:rFonts w:ascii="宋体" w:hAnsi="宋体" w:cs="宋体"/>
          <w:b/>
          <w:sz w:val="24"/>
          <w:highlight w:val="none"/>
        </w:rPr>
        <w:t>杭州银行股份有限公司</w:t>
      </w:r>
      <w:r>
        <w:rPr>
          <w:rFonts w:hint="eastAsia" w:ascii="宋体" w:hAnsi="宋体" w:cs="宋体"/>
          <w:b/>
          <w:sz w:val="24"/>
          <w:highlight w:val="none"/>
          <w:lang w:eastAsia="zh-CN"/>
        </w:rPr>
        <w:t>（</w:t>
      </w:r>
      <w:r>
        <w:rPr>
          <w:rFonts w:hint="eastAsia" w:ascii="宋体" w:hAnsi="宋体" w:cs="宋体"/>
          <w:b/>
          <w:sz w:val="24"/>
          <w:highlight w:val="none"/>
          <w:lang w:val="en-US" w:eastAsia="zh-CN"/>
        </w:rPr>
        <w:t>以下简称“杭州银行”</w:t>
      </w:r>
      <w:r>
        <w:rPr>
          <w:rFonts w:hint="eastAsia" w:ascii="宋体" w:hAnsi="宋体" w:cs="宋体"/>
          <w:b/>
          <w:sz w:val="24"/>
          <w:highlight w:val="none"/>
          <w:lang w:eastAsia="zh-CN"/>
        </w:rPr>
        <w:t>）</w:t>
      </w:r>
      <w:r>
        <w:rPr>
          <w:rFonts w:hint="eastAsia" w:ascii="宋体" w:hAnsi="宋体" w:cs="宋体"/>
          <w:b/>
          <w:sz w:val="24"/>
          <w:highlight w:val="none"/>
          <w:lang w:val="en-US" w:eastAsia="zh-CN"/>
        </w:rPr>
        <w:t>作为理财计划的销售服务机构</w:t>
      </w:r>
      <w:r>
        <w:rPr>
          <w:rFonts w:ascii="宋体" w:hAnsi="宋体" w:cs="宋体"/>
          <w:b/>
          <w:sz w:val="24"/>
          <w:highlight w:val="none"/>
        </w:rPr>
        <w:t>，</w:t>
      </w:r>
      <w:r>
        <w:rPr>
          <w:rFonts w:hint="eastAsia" w:ascii="宋体" w:hAnsi="宋体" w:cs="宋体"/>
          <w:b/>
          <w:sz w:val="24"/>
          <w:highlight w:val="none"/>
          <w:lang w:val="en-US" w:eastAsia="zh-CN"/>
        </w:rPr>
        <w:t>负责理财计划的代理销售工作。</w:t>
      </w:r>
      <w:r>
        <w:rPr>
          <w:rFonts w:ascii="宋体" w:hAnsi="宋体" w:cs="宋体"/>
          <w:b/>
          <w:sz w:val="24"/>
          <w:highlight w:val="none"/>
        </w:rPr>
        <w:t>杭银理财系杭州银行全资子公司，双方存在关联关系。</w:t>
      </w:r>
      <w:r>
        <w:rPr>
          <w:rFonts w:hint="eastAsia" w:ascii="宋体" w:hAnsi="宋体" w:cs="宋体"/>
          <w:b/>
          <w:sz w:val="24"/>
          <w:highlight w:val="none"/>
          <w:lang w:val="en-US" w:eastAsia="zh-CN"/>
        </w:rPr>
        <w:t>尽管杭银理财将严格遵守法律、行政法规、金融监管规定及行业自律组织建议对关联方进行准确识别，按照相关规定及时进行审批、备案并充分披露，不会以理财计划与关联方进行不正当交易、利益输送等行为，以降低关联交易风险，但仍存在无法完全排除关联交易的可能而导致影响投资者收益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lang w:val="en-US" w:eastAsia="zh-CN"/>
        </w:rPr>
        <w:t>投资者合规风险：</w:t>
      </w:r>
      <w:r>
        <w:rPr>
          <w:rFonts w:hint="eastAsia" w:ascii="宋体" w:hAnsi="宋体" w:cs="宋体"/>
          <w:b/>
          <w:bCs w:val="0"/>
          <w:color w:val="000000"/>
          <w:sz w:val="24"/>
          <w:highlight w:val="none"/>
          <w:lang w:val="en-US" w:eastAsia="zh-CN"/>
        </w:rPr>
        <w:t>根据</w:t>
      </w:r>
      <w:r>
        <w:rPr>
          <w:rFonts w:hint="eastAsia" w:ascii="宋体" w:hAnsi="宋体" w:cs="宋体"/>
          <w:b/>
          <w:bCs w:val="0"/>
          <w:color w:val="000000"/>
          <w:sz w:val="24"/>
          <w:highlight w:val="none"/>
        </w:rPr>
        <w:t>法律、行政法规、金融监管规定及</w:t>
      </w:r>
      <w:r>
        <w:rPr>
          <w:rFonts w:hint="eastAsia" w:ascii="宋体" w:hAnsi="宋体" w:cs="宋体"/>
          <w:b/>
          <w:bCs w:val="0"/>
          <w:color w:val="000000"/>
          <w:sz w:val="24"/>
          <w:highlight w:val="none"/>
          <w:lang w:val="en-US" w:eastAsia="zh-CN"/>
        </w:rPr>
        <w:t>与此相匹配的管理人或销售服务机构的风险控制制度，投资者在投资理财计划时、理财计划存续运作过程中，需配合理财计划管理人或销售服务机构满足包括但不限于反洗钱、反恐怖融资、制裁合规、反电信网络诈骗、非居民金融账户涉税尽职调查等合规要求。为履行前述合规义务，投资者需配合管理人或销售服务机构要求提供、更新身份资料、资金来源等各项信息；如遇高风险情形、事件或其他根据法律法规或管理人内控合规要求需采取相应措施的其他情形，管理人或销售服务机构可能会对相关投资者采取包括但不限于拒绝或暂停接受认购/申购申请、暂停接受赎回申请、冻结份额等交易限制措施，由此产生的损失及责任由投资者自行承担。</w:t>
      </w:r>
    </w:p>
    <w:p>
      <w:pPr>
        <w:numPr>
          <w:ilvl w:val="0"/>
          <w:numId w:val="1"/>
        </w:numPr>
        <w:spacing w:line="360" w:lineRule="auto"/>
        <w:jc w:val="left"/>
        <w:outlineLvl w:val="2"/>
        <w:rPr>
          <w:rFonts w:ascii="宋体" w:hAnsi="宋体" w:cs="宋体"/>
          <w:b/>
          <w:sz w:val="24"/>
          <w:highlight w:val="none"/>
        </w:rPr>
      </w:pPr>
      <w:r>
        <w:rPr>
          <w:rFonts w:hint="eastAsia" w:ascii="宋体" w:hAnsi="宋体" w:cs="宋体"/>
          <w:b/>
          <w:sz w:val="24"/>
          <w:highlight w:val="none"/>
        </w:rPr>
        <w:t>理财计划特定风险</w:t>
      </w:r>
    </w:p>
    <w:p>
      <w:pPr>
        <w:keepNext w:val="0"/>
        <w:keepLines w:val="0"/>
        <w:widowControl w:val="0"/>
        <w:numPr>
          <w:ilvl w:val="0"/>
          <w:numId w:val="5"/>
        </w:numPr>
        <w:suppressLineNumbers w:val="0"/>
        <w:spacing w:before="0" w:beforeAutospacing="0" w:after="0" w:afterAutospacing="0" w:line="360" w:lineRule="auto"/>
        <w:ind w:left="0" w:right="0" w:firstLine="42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资金流动性风险：本理财计划认购份额确认后，封闭式运作，产品终止前投资者不得提前赎回。</w:t>
      </w:r>
    </w:p>
    <w:p>
      <w:pPr>
        <w:keepNext w:val="0"/>
        <w:keepLines w:val="0"/>
        <w:widowControl w:val="0"/>
        <w:numPr>
          <w:ilvl w:val="0"/>
          <w:numId w:val="5"/>
        </w:numPr>
        <w:suppressLineNumbers w:val="0"/>
        <w:spacing w:before="0" w:beforeAutospacing="0" w:after="0" w:afterAutospacing="0" w:line="360" w:lineRule="auto"/>
        <w:ind w:left="0" w:right="0" w:firstLine="42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收益不达业绩比较基准风险：本理财计划可投资于债券及非标准化债权类资产等固定收益类及权益类资产，因融资人违约及市场波动或导致投资者的本金出现损失。</w:t>
      </w:r>
    </w:p>
    <w:p>
      <w:pPr>
        <w:numPr>
          <w:ilvl w:val="0"/>
          <w:numId w:val="0"/>
        </w:numPr>
        <w:spacing w:line="360" w:lineRule="auto"/>
        <w:ind w:left="420" w:leftChars="0"/>
        <w:jc w:val="left"/>
        <w:rPr>
          <w:rFonts w:hint="eastAsia" w:ascii="宋体" w:hAnsi="宋体" w:cs="宋体"/>
          <w:b/>
          <w:sz w:val="24"/>
          <w:highlight w:val="none"/>
        </w:rPr>
      </w:pPr>
    </w:p>
    <w:p>
      <w:pPr>
        <w:spacing w:line="360" w:lineRule="auto"/>
        <w:jc w:val="left"/>
        <w:rPr>
          <w:rFonts w:ascii="宋体" w:hAnsi="宋体" w:cs="宋体"/>
          <w:b/>
          <w:sz w:val="24"/>
          <w:highlight w:val="none"/>
        </w:rPr>
      </w:pPr>
      <w:r>
        <w:rPr>
          <w:rFonts w:hint="eastAsia" w:ascii="宋体" w:hAnsi="宋体" w:cs="宋体"/>
          <w:b/>
          <w:sz w:val="24"/>
          <w:highlight w:val="none"/>
        </w:rPr>
        <w:t xml:space="preserve">    上述理财计划共性与特定风险发生时，投资者的本金及收益可能遭受损失，在最不利情形下，将损失全部本金及收益</w:t>
      </w:r>
      <w:r>
        <w:rPr>
          <w:rFonts w:hint="eastAsia" w:ascii="宋体" w:hAnsi="宋体" w:cs="宋体"/>
          <w:b/>
          <w:sz w:val="24"/>
          <w:highlight w:val="none"/>
          <w:lang w:eastAsia="zh-CN"/>
        </w:rPr>
        <w:t>（</w:t>
      </w:r>
      <w:r>
        <w:rPr>
          <w:rFonts w:hint="eastAsia" w:ascii="宋体" w:hAnsi="宋体" w:cs="宋体"/>
          <w:b/>
          <w:sz w:val="24"/>
          <w:highlight w:val="none"/>
          <w:lang w:val="en-US" w:eastAsia="zh-CN"/>
        </w:rPr>
        <w:t>如有</w:t>
      </w:r>
      <w:r>
        <w:rPr>
          <w:rFonts w:hint="eastAsia" w:ascii="宋体" w:hAnsi="宋体" w:cs="宋体"/>
          <w:b/>
          <w:sz w:val="24"/>
          <w:highlight w:val="none"/>
          <w:lang w:eastAsia="zh-CN"/>
        </w:rPr>
        <w:t>）</w:t>
      </w:r>
      <w:r>
        <w:rPr>
          <w:rFonts w:hint="eastAsia" w:ascii="宋体" w:hAnsi="宋体" w:cs="宋体"/>
          <w:b/>
          <w:sz w:val="24"/>
          <w:highlight w:val="none"/>
        </w:rPr>
        <w:t>，由此产生的风险及损失将由投资者自行承担。</w:t>
      </w:r>
    </w:p>
    <w:p>
      <w:pPr>
        <w:numPr>
          <w:ilvl w:val="0"/>
          <w:numId w:val="1"/>
        </w:numPr>
        <w:spacing w:line="360" w:lineRule="auto"/>
        <w:jc w:val="left"/>
        <w:outlineLvl w:val="2"/>
        <w:rPr>
          <w:rFonts w:ascii="宋体" w:hAnsi="宋体" w:cs="宋体"/>
          <w:b/>
          <w:sz w:val="24"/>
          <w:highlight w:val="none"/>
        </w:rPr>
      </w:pPr>
      <w:r>
        <w:rPr>
          <w:rFonts w:hint="eastAsia" w:ascii="宋体" w:hAnsi="宋体" w:cs="宋体"/>
          <w:b/>
          <w:sz w:val="24"/>
          <w:highlight w:val="none"/>
        </w:rPr>
        <w:t>其他信息提示</w:t>
      </w:r>
    </w:p>
    <w:p>
      <w:pPr>
        <w:spacing w:line="360" w:lineRule="auto"/>
        <w:jc w:val="left"/>
        <w:rPr>
          <w:rFonts w:ascii="宋体" w:hAnsi="宋体" w:cs="宋体"/>
          <w:b/>
          <w:sz w:val="24"/>
          <w:highlight w:val="none"/>
        </w:rPr>
      </w:pPr>
      <w:r>
        <w:rPr>
          <w:rFonts w:hint="eastAsia" w:ascii="宋体" w:hAnsi="宋体" w:cs="宋体"/>
          <w:b/>
          <w:sz w:val="24"/>
          <w:highlight w:val="none"/>
        </w:rPr>
        <w:t xml:space="preserve">    </w:t>
      </w:r>
      <w:r>
        <w:rPr>
          <w:rFonts w:hint="eastAsia" w:ascii="宋体" w:hAnsi="宋体" w:cs="宋体"/>
          <w:bCs/>
          <w:sz w:val="24"/>
          <w:highlight w:val="none"/>
        </w:rPr>
        <w:t>根据现有法律法规及金融监管机构对于理财产品的相关分类，投资者还需了解以下信息：</w:t>
      </w:r>
    </w:p>
    <w:p>
      <w:pPr>
        <w:numPr>
          <w:ilvl w:val="0"/>
          <w:numId w:val="6"/>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根据募集方式的不同，理财产品分为公募理财产品和私募理财产品。</w:t>
      </w:r>
      <w:r>
        <w:rPr>
          <w:rFonts w:hint="eastAsia" w:ascii="宋体" w:hAnsi="宋体" w:cs="宋体"/>
          <w:bCs/>
          <w:sz w:val="24"/>
          <w:highlight w:val="none"/>
        </w:rPr>
        <w:t>公募理财产品是面向不特定社会公众公开发行的理财产品。公开发行的认定标准按照《中华人民共和国证券法》执行。私募理财产品是面向合格投资者非公开发行的理财产品。合格投资者是指具备相应风险识别能力和风险承受能力，投资于单只理财产品不低于一定金额且符合下列条件的自然人、法人或者依法成立的其他组织：</w:t>
      </w:r>
    </w:p>
    <w:p>
      <w:pPr>
        <w:numPr>
          <w:ilvl w:val="0"/>
          <w:numId w:val="7"/>
        </w:numPr>
        <w:spacing w:line="360" w:lineRule="auto"/>
        <w:jc w:val="left"/>
        <w:rPr>
          <w:rFonts w:hint="eastAsia" w:ascii="宋体" w:hAnsi="宋体" w:cs="宋体"/>
          <w:bCs/>
          <w:sz w:val="24"/>
          <w:highlight w:val="none"/>
        </w:rPr>
      </w:pPr>
      <w:r>
        <w:rPr>
          <w:rFonts w:hint="eastAsia" w:ascii="宋体" w:hAnsi="宋体" w:cs="宋体"/>
          <w:bCs/>
          <w:sz w:val="24"/>
          <w:highlight w:val="none"/>
        </w:rPr>
        <w:t>具有2年以上投资经历，且满足家庭金融净资产不低于300万元人民币，或者家庭金融资产不低于500万元人民币，或者近3年本人年均收入不低于40 万元人民币；</w:t>
      </w:r>
    </w:p>
    <w:p>
      <w:pPr>
        <w:numPr>
          <w:ilvl w:val="0"/>
          <w:numId w:val="7"/>
        </w:numPr>
        <w:spacing w:line="360" w:lineRule="auto"/>
        <w:jc w:val="left"/>
        <w:rPr>
          <w:rFonts w:hint="eastAsia" w:ascii="宋体" w:hAnsi="宋体" w:cs="宋体"/>
          <w:bCs/>
          <w:sz w:val="24"/>
          <w:highlight w:val="none"/>
        </w:rPr>
      </w:pPr>
      <w:r>
        <w:rPr>
          <w:rFonts w:hint="eastAsia" w:ascii="宋体" w:hAnsi="宋体" w:cs="宋体"/>
          <w:bCs/>
          <w:sz w:val="24"/>
          <w:highlight w:val="none"/>
        </w:rPr>
        <w:t>最近1年末净资产不低于1000万元人民币的法人或者依法成立的其他组织；</w:t>
      </w:r>
    </w:p>
    <w:p>
      <w:pPr>
        <w:numPr>
          <w:ilvl w:val="0"/>
          <w:numId w:val="7"/>
        </w:numPr>
        <w:spacing w:line="360" w:lineRule="auto"/>
        <w:jc w:val="left"/>
        <w:rPr>
          <w:rFonts w:hint="eastAsia" w:ascii="宋体" w:hAnsi="宋体" w:cs="宋体"/>
          <w:bCs/>
          <w:sz w:val="24"/>
          <w:highlight w:val="none"/>
        </w:rPr>
      </w:pPr>
      <w:r>
        <w:rPr>
          <w:rFonts w:hint="eastAsia" w:ascii="宋体" w:hAnsi="宋体" w:cs="宋体"/>
          <w:bCs/>
          <w:sz w:val="24"/>
          <w:highlight w:val="none"/>
        </w:rPr>
        <w:t>国务院银行业监督管理机构规定的其他情形。</w:t>
      </w:r>
    </w:p>
    <w:p>
      <w:pPr>
        <w:numPr>
          <w:ilvl w:val="0"/>
          <w:numId w:val="8"/>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根据投资性质的不同，理财产品分为固定收益类理财产品、权益类理财产品、商品及金融衍生品类理财产品和混合类理财产品。</w:t>
      </w:r>
      <w:r>
        <w:rPr>
          <w:rFonts w:hint="eastAsia" w:ascii="宋体" w:hAnsi="宋体" w:cs="宋体"/>
          <w:bCs/>
          <w:sz w:val="24"/>
          <w:highlight w:val="none"/>
        </w:rPr>
        <w:t>固定收益类理财产品投资于存款、债券等债权类资产的比例不低于80%；权益类理财产品投资于权益类资产的比例不低于80%；商品及金融衍生品类理财产品投资于商品及金融衍生品的比例不低于80%；混合类理财产品投资于债权类资产、权益类资产、商品及金融衍生品类资产且任一资产的投资比例未达到前三类理财产品标准。</w:t>
      </w:r>
    </w:p>
    <w:p>
      <w:pPr>
        <w:numPr>
          <w:ilvl w:val="0"/>
          <w:numId w:val="8"/>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根据运作方式的不同，将理财产品分为封闭式理财产品和开放式理财产品。</w:t>
      </w:r>
      <w:r>
        <w:rPr>
          <w:rFonts w:hint="eastAsia" w:ascii="宋体" w:hAnsi="宋体" w:cs="宋体"/>
          <w:bCs/>
          <w:sz w:val="24"/>
          <w:highlight w:val="none"/>
        </w:rPr>
        <w:t>封闭式理财产品是指有确定到期日，且自产品成立日至终止日期间，投资者不得进行申购或者赎回的理财产品。开放式理财产品是指自产品成立日至终止日期间，理财产品份额总额不固定，投资者可以按照协议约定，在开放日和相应场所进行申购或者赎回的理财产品。</w:t>
      </w:r>
    </w:p>
    <w:p>
      <w:p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本理财计划为</w:t>
      </w:r>
      <w:r>
        <w:rPr>
          <w:rFonts w:hint="eastAsia" w:ascii="宋体" w:hAnsi="宋体" w:eastAsia="宋体" w:cs="宋体"/>
          <w:b/>
          <w:kern w:val="2"/>
          <w:sz w:val="24"/>
          <w:szCs w:val="24"/>
          <w:highlight w:val="none"/>
          <w:lang w:val="en-US" w:eastAsia="zh-CN" w:bidi="ar-SA"/>
        </w:rPr>
        <w:t>公募</w:t>
      </w:r>
      <w:r>
        <w:rPr>
          <w:rFonts w:hint="eastAsia" w:ascii="宋体" w:hAnsi="宋体" w:cs="宋体"/>
          <w:b/>
          <w:sz w:val="24"/>
          <w:highlight w:val="none"/>
        </w:rPr>
        <w:t>、</w:t>
      </w:r>
      <w:r>
        <w:rPr>
          <w:rFonts w:hint="eastAsia" w:ascii="宋体" w:hAnsi="宋体" w:eastAsia="宋体" w:cs="宋体"/>
          <w:b/>
          <w:kern w:val="2"/>
          <w:sz w:val="24"/>
          <w:szCs w:val="24"/>
          <w:highlight w:val="none"/>
          <w:lang w:val="en-US" w:eastAsia="zh-CN" w:bidi="ar-SA"/>
        </w:rPr>
        <w:t>封闭式</w:t>
      </w:r>
      <w:r>
        <w:rPr>
          <w:rFonts w:hint="eastAsia" w:ascii="宋体" w:hAnsi="宋体" w:cs="宋体"/>
          <w:b/>
          <w:sz w:val="24"/>
          <w:highlight w:val="none"/>
        </w:rPr>
        <w:t>、〖</w:t>
      </w:r>
      <w:r>
        <w:rPr>
          <w:rFonts w:hint="eastAsia" w:ascii="宋体" w:hAnsi="宋体" w:eastAsia="宋体" w:cs="宋体"/>
          <w:b/>
          <w:kern w:val="2"/>
          <w:sz w:val="24"/>
          <w:szCs w:val="24"/>
          <w:highlight w:val="none"/>
          <w:lang w:val="en-US" w:eastAsia="zh-CN" w:bidi="ar-SA"/>
        </w:rPr>
        <w:t>固定收益类</w:t>
      </w:r>
      <w:r>
        <w:rPr>
          <w:rFonts w:hint="eastAsia" w:ascii="宋体" w:hAnsi="宋体" w:cs="宋体"/>
          <w:b/>
          <w:sz w:val="24"/>
          <w:highlight w:val="none"/>
        </w:rPr>
        <w:t>〗净值型理财计划，〖</w:t>
      </w:r>
      <w:r>
        <w:rPr>
          <w:rFonts w:hint="eastAsia" w:ascii="宋体" w:hAnsi="宋体" w:eastAsia="宋体" w:cs="宋体"/>
          <w:b/>
          <w:kern w:val="2"/>
          <w:sz w:val="24"/>
          <w:szCs w:val="24"/>
          <w:highlight w:val="none"/>
          <w:lang w:val="en-US" w:eastAsia="zh-CN" w:bidi="ar-SA"/>
        </w:rPr>
        <w:t>386</w:t>
      </w:r>
      <w:r>
        <w:rPr>
          <w:rFonts w:hint="eastAsia" w:ascii="宋体" w:hAnsi="宋体" w:cs="宋体"/>
          <w:b/>
          <w:sz w:val="24"/>
          <w:highlight w:val="none"/>
        </w:rPr>
        <w:t>〗</w:t>
      </w:r>
      <w:r>
        <w:rPr>
          <w:rFonts w:hint="eastAsia" w:ascii="宋体" w:hAnsi="宋体" w:cs="宋体"/>
          <w:b/>
          <w:sz w:val="24"/>
          <w:highlight w:val="none"/>
          <w:lang w:eastAsia="zh"/>
        </w:rPr>
        <w:t>天</w:t>
      </w:r>
      <w:r>
        <w:rPr>
          <w:rFonts w:hint="eastAsia" w:ascii="宋体" w:hAnsi="宋体" w:cs="宋体"/>
          <w:bCs/>
          <w:color w:val="000000"/>
          <w:sz w:val="24"/>
          <w:highlight w:val="none"/>
          <w:lang w:eastAsia="zh-CN"/>
        </w:rPr>
        <w:t>，</w:t>
      </w:r>
      <w:r>
        <w:rPr>
          <w:rFonts w:hint="eastAsia" w:ascii="宋体" w:hAnsi="宋体" w:cs="宋体"/>
          <w:b/>
          <w:sz w:val="24"/>
          <w:highlight w:val="none"/>
        </w:rPr>
        <w:t>不保证本金与收益。</w:t>
      </w:r>
      <w:r>
        <w:rPr>
          <w:rFonts w:hint="eastAsia" w:ascii="宋体" w:hAnsi="宋体" w:cs="宋体"/>
          <w:b/>
          <w:sz w:val="24"/>
          <w:highlight w:val="none"/>
          <w:lang w:val="en-US" w:eastAsia="zh-CN"/>
        </w:rPr>
        <w:t>理财计划过往业绩不代表其未来表现，不等于理财计划实际收益，投资须谨慎！</w:t>
      </w:r>
      <w:r>
        <w:rPr>
          <w:rFonts w:hint="eastAsia" w:ascii="宋体" w:hAnsi="宋体" w:cs="宋体"/>
          <w:b/>
          <w:sz w:val="24"/>
          <w:highlight w:val="none"/>
        </w:rPr>
        <w:t>根据本公司理财产品内部风险评级，该理财计划风险评级结果为〖</w:t>
      </w:r>
      <w:r>
        <w:rPr>
          <w:rFonts w:hint="eastAsia" w:ascii="宋体" w:hAnsi="宋体" w:eastAsia="宋体" w:cs="宋体"/>
          <w:b/>
          <w:kern w:val="2"/>
          <w:sz w:val="24"/>
          <w:szCs w:val="24"/>
          <w:highlight w:val="none"/>
          <w:lang w:val="en-US" w:eastAsia="zh-CN" w:bidi="ar-SA"/>
        </w:rPr>
        <w:t>R2</w:t>
      </w:r>
      <w:r>
        <w:rPr>
          <w:rFonts w:hint="eastAsia" w:ascii="宋体" w:hAnsi="宋体" w:cs="宋体"/>
          <w:b/>
          <w:sz w:val="24"/>
          <w:highlight w:val="none"/>
        </w:rPr>
        <w:t>〗,〖</w:t>
      </w:r>
      <w:r>
        <w:rPr>
          <w:rFonts w:hint="eastAsia" w:ascii="宋体" w:hAnsi="宋体" w:eastAsia="宋体" w:cs="宋体"/>
          <w:b/>
          <w:kern w:val="2"/>
          <w:sz w:val="24"/>
          <w:szCs w:val="24"/>
          <w:highlight w:val="none"/>
          <w:lang w:val="en-US" w:eastAsia="zh-CN" w:bidi="ar-SA"/>
        </w:rPr>
        <w:t>中低</w:t>
      </w:r>
      <w:r>
        <w:rPr>
          <w:rFonts w:hint="eastAsia" w:ascii="宋体" w:hAnsi="宋体" w:cs="宋体"/>
          <w:b/>
          <w:sz w:val="24"/>
          <w:highlight w:val="none"/>
        </w:rPr>
        <w:t>〗风险</w:t>
      </w:r>
      <w:r>
        <w:rPr>
          <w:rFonts w:hint="eastAsia" w:ascii="宋体" w:hAnsi="宋体" w:cs="宋体"/>
          <w:bCs/>
          <w:sz w:val="24"/>
          <w:highlight w:val="none"/>
        </w:rPr>
        <w:t>（本风险等级为我公司内部风险评级结果，仅供参考</w:t>
      </w:r>
      <w:r>
        <w:rPr>
          <w:rFonts w:hint="eastAsia" w:ascii="宋体" w:hAnsi="宋体" w:cs="宋体"/>
          <w:bCs/>
          <w:sz w:val="24"/>
          <w:highlight w:val="none"/>
          <w:lang w:val="en-US" w:eastAsia="zh-CN"/>
        </w:rPr>
        <w:t>,理财计划通过代理销售机构渠道销售的，理财计划产品评级应当以代理销售机构最终披露的评级结果为准</w:t>
      </w:r>
      <w:r>
        <w:rPr>
          <w:rFonts w:hint="eastAsia" w:ascii="宋体" w:hAnsi="宋体" w:cs="宋体"/>
          <w:bCs/>
          <w:sz w:val="24"/>
          <w:highlight w:val="none"/>
        </w:rPr>
        <w:t>），</w:t>
      </w:r>
      <w:r>
        <w:rPr>
          <w:rFonts w:hint="eastAsia" w:ascii="宋体" w:hAnsi="宋体" w:cs="宋体"/>
          <w:b/>
          <w:sz w:val="24"/>
          <w:highlight w:val="none"/>
        </w:rPr>
        <w:t>总体风险〖</w:t>
      </w:r>
      <w:r>
        <w:rPr>
          <w:rFonts w:hint="eastAsia" w:ascii="宋体" w:hAnsi="宋体" w:eastAsia="宋体" w:cs="宋体"/>
          <w:b/>
          <w:kern w:val="2"/>
          <w:sz w:val="24"/>
          <w:szCs w:val="24"/>
          <w:highlight w:val="none"/>
          <w:lang w:val="en-US" w:eastAsia="zh-CN" w:bidi="ar-SA"/>
        </w:rPr>
        <w:t>程度较低，收益波动较小，虽然存在一些可能对产品本金和收益安全产生不利影响的因素，但产品本金出现损失的可能性较小</w:t>
      </w:r>
      <w:r>
        <w:rPr>
          <w:rFonts w:hint="eastAsia" w:ascii="宋体" w:hAnsi="宋体" w:cs="宋体"/>
          <w:b/>
          <w:sz w:val="24"/>
          <w:highlight w:val="none"/>
        </w:rPr>
        <w:t>〗。</w:t>
      </w:r>
    </w:p>
    <w:p>
      <w:pPr>
        <w:spacing w:line="360" w:lineRule="auto"/>
        <w:ind w:firstLine="482" w:firstLineChars="200"/>
        <w:jc w:val="left"/>
        <w:rPr>
          <w:rFonts w:hint="eastAsia" w:ascii="宋体" w:hAnsi="宋体" w:cs="宋体"/>
          <w:bCs/>
          <w:sz w:val="24"/>
          <w:highlight w:val="none"/>
        </w:rPr>
      </w:pPr>
      <w:r>
        <w:rPr>
          <w:rFonts w:hint="eastAsia" w:ascii="宋体" w:hAnsi="宋体" w:cs="宋体"/>
          <w:b/>
          <w:sz w:val="24"/>
          <w:highlight w:val="none"/>
        </w:rPr>
        <w:t>本理财计划适合</w:t>
      </w:r>
      <w:r>
        <w:rPr>
          <w:rFonts w:hint="eastAsia" w:ascii="宋体" w:hAnsi="宋体" w:eastAsia="宋体" w:cs="宋体"/>
          <w:b/>
          <w:kern w:val="2"/>
          <w:sz w:val="24"/>
          <w:szCs w:val="24"/>
          <w:highlight w:val="none"/>
          <w:lang w:val="en-US" w:eastAsia="zh-CN" w:bidi="ar-SA"/>
        </w:rPr>
        <w:t>〖机构投资者〗以及〖稳健型、平衡型、成长型、进取型〗的个人投资者</w:t>
      </w:r>
      <w:r>
        <w:rPr>
          <w:rFonts w:hint="eastAsia" w:ascii="宋体" w:hAnsi="宋体" w:cs="宋体"/>
          <w:b/>
          <w:sz w:val="24"/>
          <w:highlight w:val="none"/>
          <w:lang w:eastAsia="zh-CN"/>
        </w:rPr>
        <w:t>。</w:t>
      </w:r>
      <w:r>
        <w:rPr>
          <w:rFonts w:hint="eastAsia" w:ascii="宋体" w:hAnsi="宋体" w:cs="宋体"/>
          <w:b w:val="0"/>
          <w:bCs/>
          <w:sz w:val="24"/>
          <w:highlight w:val="none"/>
          <w:lang w:val="en-US" w:eastAsia="zh-CN"/>
        </w:rPr>
        <w:t>本理财计划投资者适当性评估由销售机构负责，销售机构</w:t>
      </w:r>
      <w:r>
        <w:rPr>
          <w:rFonts w:hint="eastAsia" w:ascii="宋体" w:hAnsi="宋体" w:cs="宋体"/>
          <w:bCs/>
          <w:sz w:val="24"/>
          <w:highlight w:val="none"/>
        </w:rPr>
        <w:t>应确保个人投资者的风险承受能力不低于本理财计划风险评级。</w:t>
      </w:r>
      <w:r>
        <w:rPr>
          <w:rFonts w:hint="eastAsia" w:ascii="宋体" w:hAnsi="宋体" w:cs="宋体"/>
          <w:bCs/>
          <w:sz w:val="24"/>
          <w:highlight w:val="none"/>
          <w:lang w:val="en-US" w:eastAsia="zh-CN"/>
        </w:rPr>
        <w:t>如个人投资者的风险承受能力评估已超一年，或影响投资者风险承受能力的因素发生变化，请及时完成风险承受能力的重新评估，并对评估结果的有效性进行确认。</w:t>
      </w: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特别提示：杭银理财有限责任公司作为本</w:t>
      </w:r>
      <w:r>
        <w:rPr>
          <w:rFonts w:hint="eastAsia" w:ascii="宋体" w:hAnsi="宋体" w:cs="宋体"/>
          <w:bCs/>
          <w:sz w:val="24"/>
          <w:highlight w:val="none"/>
          <w:lang w:eastAsia="zh-CN"/>
        </w:rPr>
        <w:t>理财计划</w:t>
      </w:r>
      <w:r>
        <w:rPr>
          <w:rFonts w:hint="eastAsia" w:ascii="宋体" w:hAnsi="宋体" w:cs="宋体"/>
          <w:bCs/>
          <w:sz w:val="24"/>
          <w:highlight w:val="none"/>
        </w:rPr>
        <w:t>管理人</w:t>
      </w:r>
      <w:r>
        <w:rPr>
          <w:rFonts w:hint="eastAsia" w:ascii="宋体" w:hAnsi="宋体" w:cs="宋体"/>
          <w:bCs/>
          <w:sz w:val="24"/>
          <w:szCs w:val="24"/>
          <w:highlight w:val="none"/>
        </w:rPr>
        <w:t>有权按照</w:t>
      </w:r>
      <w:r>
        <w:rPr>
          <w:rFonts w:hint="eastAsia" w:ascii="宋体" w:hAnsi="宋体" w:cs="宋体"/>
          <w:bCs/>
          <w:sz w:val="24"/>
          <w:highlight w:val="none"/>
        </w:rPr>
        <w:t>国内外反洗钱相关适用的</w:t>
      </w:r>
      <w:r>
        <w:rPr>
          <w:rFonts w:hint="eastAsia" w:ascii="宋体" w:hAnsi="宋体" w:cs="宋体"/>
          <w:bCs/>
          <w:sz w:val="24"/>
          <w:szCs w:val="24"/>
          <w:highlight w:val="none"/>
        </w:rPr>
        <w:t>法律法规和监管要求，从</w:t>
      </w:r>
      <w:r>
        <w:rPr>
          <w:rFonts w:hint="eastAsia" w:ascii="宋体" w:hAnsi="宋体" w:cs="宋体"/>
          <w:bCs/>
          <w:sz w:val="24"/>
          <w:szCs w:val="24"/>
          <w:highlight w:val="none"/>
          <w:lang w:eastAsia="zh-CN"/>
        </w:rPr>
        <w:t>销售机构</w:t>
      </w:r>
      <w:r>
        <w:rPr>
          <w:rFonts w:hint="eastAsia" w:ascii="宋体" w:hAnsi="宋体" w:cs="宋体"/>
          <w:bCs/>
          <w:sz w:val="24"/>
          <w:szCs w:val="24"/>
          <w:highlight w:val="none"/>
        </w:rPr>
        <w:t>获</w:t>
      </w:r>
      <w:r>
        <w:rPr>
          <w:rFonts w:hint="eastAsia" w:ascii="宋体" w:hAnsi="宋体" w:cs="宋体"/>
          <w:bCs/>
          <w:sz w:val="24"/>
          <w:highlight w:val="none"/>
        </w:rPr>
        <w:t>得相应必要的</w:t>
      </w:r>
      <w:r>
        <w:rPr>
          <w:rFonts w:hint="eastAsia" w:ascii="宋体" w:hAnsi="宋体" w:cs="宋体"/>
          <w:bCs/>
          <w:sz w:val="24"/>
          <w:szCs w:val="24"/>
          <w:highlight w:val="none"/>
        </w:rPr>
        <w:t>投资者身份信息并报送投资者身份信息及其持有理财产品信息。</w:t>
      </w:r>
      <w:r>
        <w:rPr>
          <w:rFonts w:hint="eastAsia" w:ascii="宋体" w:hAnsi="宋体" w:cs="宋体"/>
          <w:bCs/>
          <w:sz w:val="24"/>
          <w:szCs w:val="24"/>
          <w:highlight w:val="none"/>
          <w:lang w:eastAsia="zh-CN"/>
        </w:rPr>
        <w:t>销售机构</w:t>
      </w:r>
      <w:r>
        <w:rPr>
          <w:rFonts w:hint="eastAsia" w:ascii="宋体" w:hAnsi="宋体" w:cs="宋体"/>
          <w:bCs/>
          <w:sz w:val="24"/>
          <w:highlight w:val="none"/>
        </w:rPr>
        <w:t>将</w:t>
      </w:r>
      <w:r>
        <w:rPr>
          <w:rFonts w:hint="eastAsia" w:ascii="宋体" w:hAnsi="宋体" w:cs="宋体"/>
          <w:bCs/>
          <w:sz w:val="24"/>
          <w:szCs w:val="24"/>
          <w:highlight w:val="none"/>
        </w:rPr>
        <w:t>在</w:t>
      </w:r>
      <w:r>
        <w:rPr>
          <w:rFonts w:hint="eastAsia" w:ascii="宋体" w:hAnsi="宋体" w:cs="宋体"/>
          <w:bCs/>
          <w:sz w:val="24"/>
          <w:highlight w:val="none"/>
        </w:rPr>
        <w:t>合法、合理且必要时向管理人</w:t>
      </w:r>
      <w:r>
        <w:rPr>
          <w:rFonts w:hint="eastAsia" w:ascii="宋体" w:hAnsi="宋体" w:cs="宋体"/>
          <w:bCs/>
          <w:sz w:val="24"/>
          <w:szCs w:val="24"/>
          <w:highlight w:val="none"/>
        </w:rPr>
        <w:t>提供投资</w:t>
      </w:r>
      <w:r>
        <w:rPr>
          <w:rFonts w:hint="eastAsia" w:ascii="宋体" w:hAnsi="宋体" w:cs="宋体"/>
          <w:bCs/>
          <w:sz w:val="24"/>
          <w:highlight w:val="none"/>
        </w:rPr>
        <w:t>者身份识别</w:t>
      </w:r>
      <w:r>
        <w:rPr>
          <w:rFonts w:hint="eastAsia" w:ascii="宋体" w:hAnsi="宋体" w:cs="宋体"/>
          <w:bCs/>
          <w:sz w:val="24"/>
          <w:szCs w:val="24"/>
          <w:highlight w:val="none"/>
        </w:rPr>
        <w:t>信息（投资者身份</w:t>
      </w:r>
      <w:r>
        <w:rPr>
          <w:rFonts w:hint="eastAsia" w:ascii="宋体" w:hAnsi="宋体" w:cs="宋体"/>
          <w:bCs/>
          <w:sz w:val="24"/>
          <w:highlight w:val="none"/>
        </w:rPr>
        <w:t>识别</w:t>
      </w:r>
      <w:r>
        <w:rPr>
          <w:rFonts w:hint="eastAsia" w:ascii="宋体" w:hAnsi="宋体" w:cs="宋体"/>
          <w:bCs/>
          <w:sz w:val="24"/>
          <w:szCs w:val="24"/>
          <w:highlight w:val="none"/>
        </w:rPr>
        <w:t>信息包括</w:t>
      </w:r>
      <w:r>
        <w:rPr>
          <w:rFonts w:hint="eastAsia" w:ascii="宋体" w:hAnsi="宋体" w:cs="宋体"/>
          <w:bCs/>
          <w:sz w:val="24"/>
          <w:highlight w:val="none"/>
        </w:rPr>
        <w:t>但不限于</w:t>
      </w:r>
      <w:r>
        <w:rPr>
          <w:rFonts w:hint="eastAsia" w:ascii="宋体" w:hAnsi="宋体" w:cs="宋体"/>
          <w:bCs/>
          <w:sz w:val="24"/>
          <w:szCs w:val="24"/>
          <w:highlight w:val="none"/>
        </w:rPr>
        <w:t>：投资者的姓名、性别、国籍、职业、住所地或者工作单位地址、</w:t>
      </w:r>
      <w:r>
        <w:rPr>
          <w:rFonts w:hint="eastAsia" w:ascii="宋体" w:hAnsi="宋体" w:cs="宋体"/>
          <w:bCs/>
          <w:sz w:val="24"/>
          <w:highlight w:val="none"/>
        </w:rPr>
        <w:t>常居地地址、</w:t>
      </w:r>
      <w:r>
        <w:rPr>
          <w:rFonts w:hint="eastAsia" w:ascii="宋体" w:hAnsi="宋体" w:cs="宋体"/>
          <w:bCs/>
          <w:sz w:val="24"/>
          <w:szCs w:val="24"/>
          <w:highlight w:val="none"/>
        </w:rPr>
        <w:t>联系方式、身份证明文件的种类、号码和有效期限</w:t>
      </w:r>
      <w:r>
        <w:rPr>
          <w:rFonts w:hint="eastAsia" w:ascii="宋体" w:hAnsi="宋体" w:cs="宋体"/>
          <w:bCs/>
          <w:sz w:val="24"/>
          <w:highlight w:val="none"/>
        </w:rPr>
        <w:t>、代理人信息、受益所有人信息</w:t>
      </w:r>
      <w:r>
        <w:rPr>
          <w:rFonts w:hint="eastAsia" w:ascii="宋体" w:hAnsi="宋体" w:cs="宋体"/>
          <w:bCs/>
          <w:sz w:val="24"/>
          <w:szCs w:val="24"/>
          <w:highlight w:val="none"/>
        </w:rPr>
        <w:t>），以及</w:t>
      </w:r>
      <w:r>
        <w:rPr>
          <w:rFonts w:hint="eastAsia" w:ascii="宋体" w:hAnsi="宋体" w:cs="宋体"/>
          <w:bCs/>
          <w:sz w:val="24"/>
          <w:highlight w:val="none"/>
        </w:rPr>
        <w:t>在合法、合理且必要时进一步提供</w:t>
      </w:r>
      <w:r>
        <w:rPr>
          <w:rFonts w:hint="eastAsia" w:ascii="宋体" w:hAnsi="宋体" w:cs="宋体"/>
          <w:bCs/>
          <w:sz w:val="24"/>
          <w:szCs w:val="24"/>
          <w:highlight w:val="none"/>
        </w:rPr>
        <w:t>身份证明文件的复印件和影印件</w:t>
      </w:r>
      <w:r>
        <w:rPr>
          <w:rFonts w:hint="eastAsia" w:ascii="宋体" w:hAnsi="宋体" w:cs="宋体"/>
          <w:bCs/>
          <w:sz w:val="24"/>
          <w:highlight w:val="none"/>
        </w:rPr>
        <w:t>以及其他必要信息</w:t>
      </w:r>
      <w:r>
        <w:rPr>
          <w:rFonts w:hint="eastAsia" w:ascii="宋体" w:hAnsi="宋体" w:cs="宋体"/>
          <w:bCs/>
          <w:sz w:val="24"/>
          <w:szCs w:val="24"/>
          <w:highlight w:val="none"/>
        </w:rPr>
        <w:t>。投资者签署</w:t>
      </w:r>
      <w:r>
        <w:rPr>
          <w:rFonts w:hint="eastAsia" w:ascii="宋体" w:hAnsi="宋体" w:cs="宋体"/>
          <w:bCs/>
          <w:sz w:val="24"/>
          <w:highlight w:val="none"/>
        </w:rPr>
        <w:t>后</w:t>
      </w:r>
      <w:r>
        <w:rPr>
          <w:rFonts w:hint="eastAsia" w:ascii="宋体" w:hAnsi="宋体" w:cs="宋体"/>
          <w:bCs/>
          <w:sz w:val="24"/>
          <w:szCs w:val="24"/>
          <w:highlight w:val="none"/>
        </w:rPr>
        <w:t>即表示同意并配合提供前述信</w:t>
      </w:r>
      <w:r>
        <w:rPr>
          <w:rFonts w:hint="eastAsia" w:ascii="宋体" w:hAnsi="宋体" w:cs="宋体"/>
          <w:bCs/>
          <w:sz w:val="24"/>
          <w:highlight w:val="none"/>
        </w:rPr>
        <w:t>息。</w:t>
      </w: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right"/>
        <w:rPr>
          <w:rFonts w:hint="eastAsia" w:ascii="宋体" w:hAnsi="宋体" w:cs="宋体"/>
          <w:b/>
          <w:color w:val="auto"/>
          <w:highlight w:val="none"/>
        </w:rPr>
      </w:pPr>
      <w:r>
        <w:rPr>
          <w:rFonts w:hint="eastAsia" w:ascii="宋体" w:hAnsi="宋体" w:cs="宋体"/>
          <w:bCs/>
          <w:sz w:val="24"/>
          <w:highlight w:val="none"/>
        </w:rPr>
        <w:t>风险提示方：杭银理财有限责任公司</w:t>
      </w:r>
    </w:p>
    <w:p>
      <w:pPr>
        <w:rPr>
          <w:rFonts w:hint="eastAsia" w:ascii="宋体" w:hAnsi="宋体" w:cs="宋体"/>
          <w:b/>
          <w:color w:val="auto"/>
          <w:highlight w:val="none"/>
        </w:rPr>
      </w:pPr>
      <w:r>
        <w:rPr>
          <w:rFonts w:hint="eastAsia" w:ascii="宋体" w:hAnsi="宋体" w:cs="宋体"/>
          <w:b/>
          <w:color w:val="auto"/>
          <w:highlight w:val="none"/>
        </w:rPr>
        <w:br w:type="page"/>
      </w:r>
    </w:p>
    <w:p>
      <w:pPr>
        <w:pStyle w:val="17"/>
        <w:pageBreakBefore/>
        <w:widowControl/>
        <w:spacing w:line="360" w:lineRule="auto"/>
        <w:ind w:left="0" w:leftChars="0"/>
        <w:jc w:val="center"/>
        <w:outlineLvl w:val="2"/>
        <w:rPr>
          <w:rFonts w:hint="eastAsia" w:ascii="宋体" w:hAnsi="宋体" w:cs="宋体"/>
          <w:b/>
          <w:color w:val="auto"/>
          <w:highlight w:val="none"/>
        </w:rPr>
      </w:pPr>
      <w:r>
        <w:rPr>
          <w:rFonts w:hint="eastAsia" w:ascii="宋体" w:hAnsi="宋体" w:cs="宋体"/>
          <w:b/>
          <w:color w:val="auto"/>
          <w:highlight w:val="none"/>
        </w:rPr>
        <w:t>投资者确认栏（个人投资者填写）</w:t>
      </w:r>
    </w:p>
    <w:p>
      <w:pPr>
        <w:pStyle w:val="17"/>
        <w:spacing w:line="360" w:lineRule="auto"/>
        <w:jc w:val="both"/>
        <w:rPr>
          <w:rFonts w:hint="eastAsia" w:ascii="宋体" w:hAnsi="宋体" w:cs="宋体"/>
          <w:b/>
          <w:color w:val="auto"/>
          <w:highlight w:val="none"/>
        </w:rPr>
      </w:pPr>
    </w:p>
    <w:p>
      <w:pPr>
        <w:pStyle w:val="17"/>
        <w:spacing w:line="360" w:lineRule="auto"/>
        <w:jc w:val="both"/>
        <w:rPr>
          <w:rFonts w:hint="eastAsia" w:ascii="宋体" w:hAnsi="宋体" w:cs="宋体"/>
          <w:color w:val="auto"/>
          <w:highlight w:val="none"/>
        </w:rPr>
      </w:pPr>
      <w:r>
        <w:rPr>
          <w:rFonts w:hint="eastAsia" w:ascii="宋体" w:hAnsi="宋体" w:cs="宋体"/>
          <w:color w:val="auto"/>
          <w:highlight w:val="none"/>
        </w:rPr>
        <w:t>本人经销售机构评估的风险承受能力等级为（投资者填写）：</w:t>
      </w:r>
    </w:p>
    <w:p>
      <w:pPr>
        <w:pStyle w:val="17"/>
        <w:spacing w:line="360" w:lineRule="auto"/>
        <w:jc w:val="both"/>
        <w:rPr>
          <w:rFonts w:hint="eastAsia" w:ascii="宋体" w:hAnsi="宋体" w:cs="宋体"/>
          <w:color w:val="auto"/>
          <w:highlight w:val="none"/>
          <w:u w:val="single"/>
        </w:rPr>
      </w:pPr>
      <w:r>
        <w:rPr>
          <w:rFonts w:hint="eastAsia" w:ascii="宋体" w:hAnsi="宋体" w:cs="宋体"/>
          <w:color w:val="auto"/>
          <w:highlight w:val="none"/>
          <w:u w:val="single"/>
        </w:rPr>
        <w:t xml:space="preserve">□保守型       □稳健型       □平衡型       □成长型       □进取型    </w:t>
      </w:r>
    </w:p>
    <w:p>
      <w:pPr>
        <w:pStyle w:val="17"/>
        <w:spacing w:line="360" w:lineRule="auto"/>
        <w:ind w:firstLine="480" w:firstLineChars="200"/>
        <w:jc w:val="both"/>
        <w:rPr>
          <w:rFonts w:hint="eastAsia" w:ascii="宋体" w:hAnsi="宋体" w:cs="宋体"/>
          <w:color w:val="auto"/>
          <w:highlight w:val="none"/>
          <w:u w:val="single"/>
        </w:rPr>
      </w:pPr>
      <w:r>
        <w:rPr>
          <w:rFonts w:hint="eastAsia" w:ascii="宋体" w:hAnsi="宋体" w:cs="宋体"/>
          <w:color w:val="auto"/>
          <w:highlight w:val="none"/>
          <w:u w:val="single"/>
        </w:rPr>
        <w:t>如超过一年未进行风险承受能力评估或影响本人风险承受能力的因素发生变化，本人将于再次购买理财</w:t>
      </w:r>
      <w:r>
        <w:rPr>
          <w:rFonts w:hint="eastAsia" w:ascii="宋体" w:hAnsi="宋体" w:cs="宋体"/>
          <w:color w:val="auto"/>
          <w:highlight w:val="none"/>
          <w:u w:val="single"/>
          <w:lang w:eastAsia="zh-CN"/>
        </w:rPr>
        <w:t>计划</w:t>
      </w:r>
      <w:r>
        <w:rPr>
          <w:rFonts w:hint="eastAsia" w:ascii="宋体" w:hAnsi="宋体" w:cs="宋体"/>
          <w:color w:val="auto"/>
          <w:highlight w:val="none"/>
          <w:u w:val="single"/>
        </w:rPr>
        <w:t>时及时完成风险承受能力评估。</w:t>
      </w:r>
    </w:p>
    <w:p>
      <w:pPr>
        <w:pStyle w:val="17"/>
        <w:spacing w:line="360" w:lineRule="auto"/>
        <w:ind w:firstLine="472" w:firstLineChars="196"/>
        <w:jc w:val="both"/>
        <w:rPr>
          <w:rFonts w:hint="eastAsia" w:ascii="宋体" w:hAnsi="宋体" w:cs="宋体"/>
          <w:b/>
          <w:bCs/>
          <w:color w:val="auto"/>
          <w:highlight w:val="none"/>
          <w:u w:val="single"/>
        </w:rPr>
      </w:pPr>
      <w:r>
        <w:rPr>
          <w:rFonts w:hint="eastAsia" w:ascii="宋体" w:hAnsi="宋体" w:cs="宋体"/>
          <w:b/>
          <w:bCs/>
          <w:color w:val="auto"/>
          <w:highlight w:val="none"/>
          <w:u w:val="single"/>
        </w:rPr>
        <w:t>声明：本人已经认真阅读本风险揭示书以及《理财计划产品说明书》《投资者权益须知》《理财计划投资协议书》</w:t>
      </w:r>
      <w:r>
        <w:rPr>
          <w:rFonts w:hint="eastAsia" w:ascii="宋体" w:hAnsi="宋体" w:cs="宋体"/>
          <w:b/>
          <w:bCs/>
          <w:color w:val="auto"/>
          <w:highlight w:val="none"/>
          <w:u w:val="single"/>
          <w:lang w:eastAsia="zh-CN"/>
        </w:rPr>
        <w:t>《理财计划销售协议书》</w:t>
      </w:r>
      <w:r>
        <w:rPr>
          <w:rFonts w:hint="eastAsia" w:ascii="宋体" w:hAnsi="宋体" w:cs="宋体"/>
          <w:b/>
          <w:bCs/>
          <w:color w:val="auto"/>
          <w:highlight w:val="none"/>
          <w:u w:val="single"/>
        </w:rPr>
        <w:t>，已对其作全面、准确的理解，充分认识到投资本理财计划要求承担的风险，接受本风险揭示书及《理财计划产品说明书》《投资者权益须知》《理财计划投资协议书》</w:t>
      </w:r>
      <w:r>
        <w:rPr>
          <w:rFonts w:hint="eastAsia" w:ascii="宋体" w:hAnsi="宋体" w:cs="宋体"/>
          <w:b/>
          <w:bCs/>
          <w:color w:val="auto"/>
          <w:highlight w:val="none"/>
          <w:u w:val="single"/>
          <w:lang w:eastAsia="zh-CN"/>
        </w:rPr>
        <w:t>《理财计划销售协议书》</w:t>
      </w:r>
      <w:r>
        <w:rPr>
          <w:rFonts w:hint="eastAsia" w:ascii="宋体" w:hAnsi="宋体" w:cs="宋体"/>
          <w:b/>
          <w:bCs/>
          <w:color w:val="auto"/>
          <w:highlight w:val="none"/>
          <w:u w:val="single"/>
        </w:rPr>
        <w:t>等本</w:t>
      </w:r>
      <w:r>
        <w:rPr>
          <w:rFonts w:hint="eastAsia" w:ascii="宋体" w:hAnsi="宋体" w:cs="宋体"/>
          <w:b/>
          <w:bCs/>
          <w:color w:val="auto"/>
          <w:highlight w:val="none"/>
          <w:u w:val="single"/>
          <w:lang w:eastAsia="zh-CN"/>
        </w:rPr>
        <w:t>理财计划</w:t>
      </w:r>
      <w:r>
        <w:rPr>
          <w:rFonts w:hint="eastAsia" w:ascii="宋体" w:hAnsi="宋体" w:cs="宋体"/>
          <w:b/>
          <w:bCs/>
          <w:color w:val="auto"/>
          <w:highlight w:val="none"/>
          <w:u w:val="single"/>
        </w:rPr>
        <w:t>合同全部内容，自愿且有能力承担投资本理财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的风险。</w:t>
      </w:r>
    </w:p>
    <w:p>
      <w:pPr>
        <w:pStyle w:val="17"/>
        <w:spacing w:line="360" w:lineRule="auto"/>
        <w:ind w:firstLine="472" w:firstLineChars="196"/>
        <w:jc w:val="both"/>
        <w:rPr>
          <w:rFonts w:ascii="宋体" w:hAnsi="宋体" w:cs="宋体"/>
          <w:b/>
          <w:bCs/>
          <w:color w:val="auto"/>
          <w:highlight w:val="none"/>
          <w:u w:val="single"/>
        </w:rPr>
      </w:pPr>
      <w:r>
        <w:rPr>
          <w:rFonts w:hint="eastAsia" w:ascii="宋体" w:hAnsi="宋体" w:cs="宋体"/>
          <w:b/>
          <w:bCs/>
          <w:color w:val="auto"/>
          <w:highlight w:val="none"/>
          <w:u w:val="single"/>
        </w:rPr>
        <w:t>本人购买本理财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的资金为合法自有资金，不存在使用借款、贷款等非自有资金的情形；且系为合法目的投资本理财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，而非为洗钱等违法违规之目的，本人将配合管理人或销售机构开展客户身份识别及尽职调查、反恐怖融资以及非居民金融账户尽职调查等，及时、真实、准确提供身份信息及资金来源信息。</w:t>
      </w:r>
    </w:p>
    <w:p>
      <w:pPr>
        <w:pStyle w:val="17"/>
        <w:spacing w:line="360" w:lineRule="auto"/>
        <w:ind w:firstLine="360" w:firstLineChars="150"/>
        <w:jc w:val="both"/>
        <w:rPr>
          <w:rFonts w:hint="eastAsia" w:ascii="宋体" w:hAnsi="宋体" w:cs="宋体"/>
          <w:b/>
          <w:color w:val="auto"/>
          <w:highlight w:val="none"/>
        </w:rPr>
      </w:pPr>
      <w:r>
        <w:rPr>
          <w:rFonts w:hint="eastAsia" w:ascii="宋体" w:hAnsi="宋体" w:cs="宋体"/>
          <w:color w:val="auto"/>
          <w:highlight w:val="none"/>
        </w:rPr>
        <w:t>（投资者需全文抄录以下文字以完成确认：</w:t>
      </w:r>
      <w:r>
        <w:rPr>
          <w:rFonts w:hint="eastAsia" w:ascii="宋体" w:hAnsi="宋体" w:cs="宋体"/>
          <w:b/>
          <w:color w:val="auto"/>
          <w:highlight w:val="none"/>
        </w:rPr>
        <w:t>“本人已经阅读上述风险揭示，愿意承担投资风险。”</w:t>
      </w:r>
      <w:r>
        <w:rPr>
          <w:rFonts w:hint="eastAsia" w:ascii="宋体" w:hAnsi="宋体" w:cs="宋体"/>
          <w:b/>
          <w:color w:val="auto"/>
          <w:highlight w:val="none"/>
          <w:lang w:eastAsia="zh-CN"/>
        </w:rPr>
        <w:t>如通过线上渠道购买，认</w:t>
      </w:r>
      <w:r>
        <w:rPr>
          <w:rFonts w:hint="eastAsia" w:ascii="宋体" w:hAnsi="宋体" w:cs="宋体"/>
          <w:b/>
          <w:color w:val="auto"/>
          <w:highlight w:val="none"/>
          <w:lang w:val="en-US" w:eastAsia="zh-CN"/>
        </w:rPr>
        <w:t>/申购交易确认即视为投资者同意自身风险承受能力等级并确认风险揭示内容，愿意承担投资风险，与书面签署具有同等效力。</w:t>
      </w:r>
      <w:r>
        <w:rPr>
          <w:rFonts w:hint="eastAsia" w:ascii="宋体" w:hAnsi="宋体" w:cs="宋体"/>
          <w:b/>
          <w:color w:val="auto"/>
          <w:highlight w:val="none"/>
        </w:rPr>
        <w:t xml:space="preserve">） </w:t>
      </w:r>
    </w:p>
    <w:p>
      <w:pPr>
        <w:pStyle w:val="17"/>
        <w:spacing w:line="360" w:lineRule="auto"/>
        <w:jc w:val="both"/>
        <w:rPr>
          <w:rFonts w:hint="eastAsia" w:ascii="宋体" w:hAnsi="宋体" w:cs="宋体"/>
          <w:color w:val="auto"/>
          <w:highlight w:val="none"/>
          <w:u w:val="single"/>
        </w:rPr>
      </w:pPr>
      <w:r>
        <w:rPr>
          <w:rFonts w:hint="eastAsia" w:ascii="宋体" w:hAnsi="宋体" w:cs="宋体"/>
          <w:color w:val="auto"/>
          <w:highlight w:val="none"/>
        </w:rPr>
        <w:t>本人同时确认如下：</w:t>
      </w:r>
      <w:r>
        <w:rPr>
          <w:rFonts w:hint="eastAsia" w:ascii="宋体" w:hAnsi="宋体" w:cs="宋体"/>
          <w:color w:val="auto"/>
          <w:highlight w:val="none"/>
          <w:u w:val="single"/>
        </w:rPr>
        <w:t xml:space="preserve">                                                          </w:t>
      </w:r>
    </w:p>
    <w:p>
      <w:pPr>
        <w:pStyle w:val="17"/>
        <w:spacing w:line="360" w:lineRule="auto"/>
        <w:jc w:val="both"/>
        <w:rPr>
          <w:rFonts w:hint="eastAsia" w:ascii="宋体" w:hAnsi="宋体" w:cs="宋体"/>
          <w:color w:val="auto"/>
          <w:highlight w:val="none"/>
        </w:rPr>
      </w:pPr>
      <w:r>
        <w:rPr>
          <w:rFonts w:hint="eastAsia" w:ascii="宋体" w:hAnsi="宋体" w:cs="宋体"/>
          <w:color w:val="auto"/>
          <w:highlight w:val="none"/>
          <w:u w:val="single"/>
        </w:rPr>
        <w:t xml:space="preserve">                                                                                </w:t>
      </w:r>
    </w:p>
    <w:p>
      <w:pPr>
        <w:spacing w:line="360" w:lineRule="auto"/>
        <w:rPr>
          <w:rFonts w:hint="eastAsia" w:ascii="宋体" w:hAnsi="宋体" w:cs="宋体"/>
          <w:kern w:val="0"/>
          <w:sz w:val="24"/>
          <w:highlight w:val="none"/>
        </w:rPr>
      </w:pPr>
    </w:p>
    <w:p>
      <w:pPr>
        <w:spacing w:line="360" w:lineRule="auto"/>
        <w:rPr>
          <w:rFonts w:hint="eastAsia" w:ascii="宋体" w:hAnsi="宋体"/>
          <w:b/>
          <w:kern w:val="0"/>
          <w:szCs w:val="21"/>
          <w:highlight w:val="none"/>
        </w:rPr>
      </w:pPr>
      <w:r>
        <w:rPr>
          <w:rFonts w:hint="eastAsia" w:ascii="宋体" w:hAnsi="宋体" w:cs="宋体"/>
          <w:kern w:val="0"/>
          <w:sz w:val="24"/>
          <w:highlight w:val="none"/>
        </w:rPr>
        <w:t>确认人（签字）：</w:t>
      </w:r>
      <w:r>
        <w:rPr>
          <w:rFonts w:hint="eastAsia" w:ascii="宋体" w:hAnsi="宋体" w:cs="宋体"/>
          <w:kern w:val="0"/>
          <w:sz w:val="24"/>
          <w:highlight w:val="none"/>
          <w:u w:val="single"/>
        </w:rPr>
        <w:t xml:space="preserve">                    </w:t>
      </w:r>
      <w:r>
        <w:rPr>
          <w:rFonts w:hint="eastAsia" w:ascii="宋体" w:hAnsi="宋体" w:cs="宋体"/>
          <w:kern w:val="0"/>
          <w:sz w:val="24"/>
          <w:highlight w:val="none"/>
        </w:rPr>
        <w:t xml:space="preserve">           日期：</w:t>
      </w:r>
      <w:r>
        <w:rPr>
          <w:rFonts w:hint="eastAsia" w:ascii="宋体" w:hAnsi="宋体" w:cs="宋体"/>
          <w:kern w:val="0"/>
          <w:sz w:val="24"/>
          <w:highlight w:val="none"/>
          <w:u w:val="single"/>
        </w:rPr>
        <w:t xml:space="preserve">      </w:t>
      </w:r>
      <w:r>
        <w:rPr>
          <w:rFonts w:hint="eastAsia" w:ascii="宋体" w:hAnsi="宋体" w:cs="宋体"/>
          <w:kern w:val="0"/>
          <w:sz w:val="24"/>
          <w:highlight w:val="none"/>
        </w:rPr>
        <w:t>年</w:t>
      </w:r>
      <w:r>
        <w:rPr>
          <w:rFonts w:hint="eastAsia" w:ascii="宋体" w:hAnsi="宋体" w:cs="宋体"/>
          <w:kern w:val="0"/>
          <w:sz w:val="24"/>
          <w:highlight w:val="none"/>
          <w:u w:val="single"/>
        </w:rPr>
        <w:t xml:space="preserve">    </w:t>
      </w:r>
      <w:r>
        <w:rPr>
          <w:rFonts w:hint="eastAsia" w:ascii="宋体" w:hAnsi="宋体" w:cs="宋体"/>
          <w:kern w:val="0"/>
          <w:sz w:val="24"/>
          <w:highlight w:val="none"/>
        </w:rPr>
        <w:t>月</w:t>
      </w:r>
      <w:r>
        <w:rPr>
          <w:rFonts w:hint="eastAsia" w:ascii="宋体" w:hAnsi="宋体" w:cs="宋体"/>
          <w:kern w:val="0"/>
          <w:sz w:val="24"/>
          <w:highlight w:val="none"/>
          <w:u w:val="single"/>
        </w:rPr>
        <w:t xml:space="preserve">    </w:t>
      </w:r>
      <w:r>
        <w:rPr>
          <w:rFonts w:hint="eastAsia" w:ascii="宋体" w:hAnsi="宋体" w:cs="宋体"/>
          <w:kern w:val="0"/>
          <w:sz w:val="24"/>
          <w:highlight w:val="none"/>
        </w:rPr>
        <w:t>日</w:t>
      </w:r>
    </w:p>
    <w:p>
      <w:pPr>
        <w:rPr>
          <w:rFonts w:hint="eastAsia" w:ascii="宋体" w:hAnsi="宋体" w:eastAsia="宋体" w:cs="宋体"/>
          <w:b/>
          <w:bCs/>
          <w:color w:val="auto"/>
          <w:highlight w:val="none"/>
          <w:u w:val="none"/>
        </w:rPr>
      </w:pPr>
      <w:r>
        <w:rPr>
          <w:rFonts w:hint="eastAsia" w:ascii="宋体" w:hAnsi="宋体" w:eastAsia="宋体" w:cs="宋体"/>
          <w:b/>
          <w:bCs/>
          <w:color w:val="auto"/>
          <w:highlight w:val="none"/>
          <w:u w:val="none"/>
        </w:rPr>
        <w:br w:type="page"/>
      </w:r>
    </w:p>
    <w:p>
      <w:pPr>
        <w:pStyle w:val="17"/>
        <w:pageBreakBefore/>
        <w:widowControl/>
        <w:spacing w:line="360" w:lineRule="auto"/>
        <w:ind w:firstLine="482" w:firstLineChars="200"/>
        <w:jc w:val="center"/>
        <w:outlineLvl w:val="2"/>
        <w:rPr>
          <w:rFonts w:hint="eastAsia" w:ascii="宋体" w:hAnsi="宋体" w:eastAsia="宋体" w:cs="宋体"/>
          <w:b/>
          <w:bCs/>
          <w:color w:val="auto"/>
          <w:highlight w:val="none"/>
          <w:u w:val="none"/>
        </w:rPr>
      </w:pPr>
      <w:r>
        <w:rPr>
          <w:rFonts w:hint="eastAsia" w:ascii="宋体" w:hAnsi="宋体" w:eastAsia="宋体" w:cs="宋体"/>
          <w:b/>
          <w:bCs/>
          <w:color w:val="auto"/>
          <w:highlight w:val="none"/>
          <w:u w:val="none"/>
        </w:rPr>
        <w:t>投资者确认栏（机构投资者）</w:t>
      </w:r>
    </w:p>
    <w:p>
      <w:pPr>
        <w:pStyle w:val="17"/>
        <w:spacing w:line="360" w:lineRule="auto"/>
        <w:ind w:firstLine="482" w:firstLineChars="200"/>
        <w:jc w:val="both"/>
        <w:rPr>
          <w:rFonts w:hint="eastAsia" w:ascii="宋体" w:hAnsi="宋体" w:eastAsia="宋体" w:cs="宋体"/>
          <w:b/>
          <w:bCs/>
          <w:color w:val="auto"/>
          <w:highlight w:val="none"/>
          <w:u w:val="single"/>
          <w:lang w:val="en-US" w:eastAsia="zh-CN"/>
        </w:rPr>
      </w:pPr>
      <w:r>
        <w:rPr>
          <w:rFonts w:hint="eastAsia" w:ascii="宋体" w:hAnsi="宋体" w:eastAsia="宋体" w:cs="宋体"/>
          <w:b/>
          <w:bCs/>
          <w:color w:val="auto"/>
          <w:highlight w:val="none"/>
          <w:u w:val="none"/>
          <w:lang w:val="en-US" w:eastAsia="zh-CN"/>
        </w:rPr>
        <w:t>声明：本公司/单位已认真阅读本风险揭示书以及《理财计划产品说明书》《投资者权益须知》《理财计划投资协议书》《理财计划销售协议书》，并已对其作全面、准确的理解，充分认识到投资本理财计划要求承担的风险，</w:t>
      </w:r>
      <w:r>
        <w:rPr>
          <w:rFonts w:hint="eastAsia" w:ascii="宋体" w:hAnsi="宋体" w:eastAsia="宋体" w:cs="宋体"/>
          <w:b/>
          <w:bCs/>
          <w:color w:val="auto"/>
          <w:highlight w:val="none"/>
          <w:u w:val="single"/>
          <w:lang w:val="en-US" w:eastAsia="zh-CN"/>
        </w:rPr>
        <w:t>接受本风险揭示书及《理财计划产品说明书》《投资者权益须知》《理财计划投资协议书》《理财计划销售协议书》等本理财计划合同全部内容，自愿且有能力承担投资本理财计划的风险。</w:t>
      </w:r>
    </w:p>
    <w:p>
      <w:pPr>
        <w:pStyle w:val="17"/>
        <w:spacing w:line="360" w:lineRule="auto"/>
        <w:ind w:firstLine="482" w:firstLineChars="200"/>
        <w:jc w:val="both"/>
        <w:rPr>
          <w:rFonts w:hint="eastAsia" w:ascii="宋体" w:hAnsi="宋体" w:eastAsia="宋体" w:cs="宋体"/>
          <w:b/>
          <w:bCs/>
          <w:color w:val="auto"/>
          <w:highlight w:val="none"/>
          <w:u w:val="single"/>
          <w:lang w:val="en-US" w:eastAsia="zh-CN"/>
        </w:rPr>
      </w:pPr>
      <w:r>
        <w:rPr>
          <w:rFonts w:hint="eastAsia" w:ascii="宋体" w:hAnsi="宋体" w:eastAsia="宋体" w:cs="宋体"/>
          <w:b/>
          <w:bCs/>
          <w:color w:val="auto"/>
          <w:highlight w:val="none"/>
          <w:u w:val="single"/>
          <w:lang w:val="en-US" w:eastAsia="zh-CN"/>
        </w:rPr>
        <w:t>本公司/单位购买本理财计划的资金为合法自有资金，不存在使用借款、贷款、发行债券募集资金等非自有资金的情形；且系为合法目的投资本理财计划，而非为洗钱等违法违规之目的，本公司/单位将配合管理人或销售机构开展客户身份识别及尽职调查、反恐怖融资以及非居民金融账户尽职调查等，及时、真实、准确提供身份信息及资金来源信息。</w:t>
      </w: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jc w:val="both"/>
        <w:rPr>
          <w:rFonts w:hint="eastAsia" w:ascii="宋体" w:hAnsi="宋体" w:eastAsia="宋体" w:cs="宋体"/>
          <w:b w:val="0"/>
          <w:bCs w:val="0"/>
          <w:color w:val="auto"/>
          <w:highlight w:val="none"/>
          <w:u w:val="none"/>
          <w:lang w:val="en-US" w:eastAsia="zh-CN"/>
        </w:rPr>
      </w:pPr>
      <w:r>
        <w:rPr>
          <w:rFonts w:hint="eastAsia" w:ascii="宋体" w:hAnsi="宋体" w:eastAsia="宋体" w:cs="宋体"/>
          <w:b w:val="0"/>
          <w:bCs w:val="0"/>
          <w:color w:val="auto"/>
          <w:highlight w:val="none"/>
          <w:u w:val="none"/>
          <w:lang w:val="en-US" w:eastAsia="zh-CN"/>
        </w:rPr>
        <w:t>投资者（公章）                          法定代表人或授权代理人（签章）</w:t>
      </w: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ascii="宋体" w:hAnsi="宋体" w:cs="宋体"/>
          <w:bCs/>
          <w:color w:val="000000"/>
          <w:sz w:val="24"/>
        </w:rPr>
      </w:pPr>
      <w:r>
        <w:rPr>
          <w:rFonts w:hint="eastAsia" w:ascii="宋体" w:hAnsi="宋体" w:eastAsia="宋体" w:cs="宋体"/>
          <w:b w:val="0"/>
          <w:bCs w:val="0"/>
          <w:color w:val="auto"/>
          <w:highlight w:val="none"/>
          <w:u w:val="none"/>
          <w:lang w:val="en-US" w:eastAsia="zh-CN"/>
        </w:rPr>
        <w:t>日期：</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年</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月</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日</w:t>
      </w:r>
    </w:p>
    <w:p>
      <w:pPr>
        <w:rPr>
          <w:rFonts w:ascii="宋体" w:hAnsi="宋体" w:cs="宋体"/>
          <w:bCs/>
          <w:color w:val="000000"/>
          <w:sz w:val="24"/>
          <w:highlight w:val="none"/>
        </w:rPr>
      </w:pPr>
      <w:bookmarkStart w:id="0" w:name="_GoBack"/>
      <w:bookmarkEnd w:id="0"/>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pPr>
    <w:r>
      <w:rPr>
        <w:rFonts w:hint="eastAsia"/>
        <w:b/>
        <w:bCs/>
      </w:rPr>
      <w:t>理财非存款 产品有风险 投资须谨慎</w:t>
    </w:r>
    <w:r>
      <w:rPr>
        <w:b/>
        <w:bCs/>
      </w:rPr>
      <w:drawing>
        <wp:anchor distT="0" distB="0" distL="114300" distR="114300" simplePos="0" relativeHeight="251660288" behindDoc="1" locked="0" layoutInCell="1" allowOverlap="1">
          <wp:simplePos x="0" y="0"/>
          <wp:positionH relativeFrom="column">
            <wp:posOffset>5120640</wp:posOffset>
          </wp:positionH>
          <wp:positionV relativeFrom="paragraph">
            <wp:posOffset>-553085</wp:posOffset>
          </wp:positionV>
          <wp:extent cx="1296670" cy="916940"/>
          <wp:effectExtent l="0" t="0" r="0" b="0"/>
          <wp:wrapThrough wrapText="bothSides">
            <wp:wrapPolygon>
              <wp:start x="21591" y="-2"/>
              <wp:lineTo x="0" y="0"/>
              <wp:lineTo x="0" y="21600"/>
              <wp:lineTo x="21591" y="21602"/>
              <wp:lineTo x="8" y="21602"/>
              <wp:lineTo x="21599" y="21600"/>
              <wp:lineTo x="21599" y="0"/>
              <wp:lineTo x="8" y="-2"/>
              <wp:lineTo x="21591" y="-2"/>
            </wp:wrapPolygon>
          </wp:wrapThrough>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1"/>
                  <a:stretch>
                    <a:fillRect/>
                  </a:stretch>
                </pic:blipFill>
                <pic:spPr>
                  <a:xfrm>
                    <a:off x="0" y="0"/>
                    <a:ext cx="1296670" cy="916940"/>
                  </a:xfrm>
                  <a:prstGeom prst="rect">
                    <a:avLst/>
                  </a:prstGeom>
                  <a:noFill/>
                  <a:ln>
                    <a:noFill/>
                  </a:ln>
                </pic:spPr>
              </pic:pic>
            </a:graphicData>
          </a:graphic>
        </wp:anchor>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0DBA53"/>
    <w:multiLevelType w:val="singleLevel"/>
    <w:tmpl w:val="830DBA53"/>
    <w:lvl w:ilvl="0" w:tentative="0">
      <w:start w:val="1"/>
      <w:numFmt w:val="chineseCounting"/>
      <w:suff w:val="nothing"/>
      <w:lvlText w:val="（%1）"/>
      <w:lvlJc w:val="left"/>
      <w:pPr>
        <w:ind w:left="0" w:firstLine="420"/>
      </w:pPr>
      <w:rPr>
        <w:rFonts w:hint="eastAsia"/>
      </w:rPr>
    </w:lvl>
  </w:abstractNum>
  <w:abstractNum w:abstractNumId="1">
    <w:nsid w:val="AC40BB97"/>
    <w:multiLevelType w:val="singleLevel"/>
    <w:tmpl w:val="AC40BB97"/>
    <w:lvl w:ilvl="0" w:tentative="0">
      <w:start w:val="1"/>
      <w:numFmt w:val="chineseCounting"/>
      <w:suff w:val="nothing"/>
      <w:lvlText w:val="%1、"/>
      <w:lvlJc w:val="left"/>
      <w:rPr>
        <w:rFonts w:hint="eastAsia"/>
      </w:rPr>
    </w:lvl>
  </w:abstractNum>
  <w:abstractNum w:abstractNumId="2">
    <w:nsid w:val="0A7F4507"/>
    <w:multiLevelType w:val="singleLevel"/>
    <w:tmpl w:val="0A7F4507"/>
    <w:lvl w:ilvl="0" w:tentative="0">
      <w:start w:val="1"/>
      <w:numFmt w:val="decimal"/>
      <w:suff w:val="nothing"/>
      <w:lvlText w:val="%1．"/>
      <w:lvlJc w:val="left"/>
      <w:pPr>
        <w:ind w:left="0" w:firstLine="400"/>
      </w:pPr>
      <w:rPr>
        <w:rFonts w:hint="default" w:ascii="宋体" w:hAnsi="宋体" w:eastAsia="宋体" w:cs="宋体"/>
      </w:rPr>
    </w:lvl>
  </w:abstractNum>
  <w:abstractNum w:abstractNumId="3">
    <w:nsid w:val="197A43F5"/>
    <w:multiLevelType w:val="singleLevel"/>
    <w:tmpl w:val="197A43F5"/>
    <w:lvl w:ilvl="0" w:tentative="0">
      <w:start w:val="3"/>
      <w:numFmt w:val="chineseCounting"/>
      <w:suff w:val="nothing"/>
      <w:lvlText w:val="（%1）"/>
      <w:lvlJc w:val="left"/>
      <w:pPr>
        <w:ind w:left="0" w:firstLine="420"/>
      </w:pPr>
      <w:rPr>
        <w:rFonts w:hint="eastAsia"/>
      </w:rPr>
    </w:lvl>
  </w:abstractNum>
  <w:abstractNum w:abstractNumId="4">
    <w:nsid w:val="40727DE8"/>
    <w:multiLevelType w:val="singleLevel"/>
    <w:tmpl w:val="40727DE8"/>
    <w:lvl w:ilvl="0" w:tentative="0">
      <w:start w:val="1"/>
      <w:numFmt w:val="decimal"/>
      <w:suff w:val="nothing"/>
      <w:lvlText w:val="%1．"/>
      <w:lvlJc w:val="left"/>
      <w:pPr>
        <w:ind w:left="0" w:firstLine="400"/>
      </w:pPr>
      <w:rPr>
        <w:rFonts w:hint="default"/>
      </w:rPr>
    </w:lvl>
  </w:abstractNum>
  <w:abstractNum w:abstractNumId="5">
    <w:nsid w:val="597D161E"/>
    <w:multiLevelType w:val="multilevel"/>
    <w:tmpl w:val="597D161E"/>
    <w:lvl w:ilvl="0" w:tentative="0">
      <w:start w:val="1"/>
      <w:numFmt w:val="chineseCounting"/>
      <w:suff w:val="nothing"/>
      <w:lvlText w:val="（%1）"/>
      <w:lvlJc w:val="left"/>
      <w:pPr>
        <w:ind w:left="0" w:firstLine="42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6">
    <w:nsid w:val="75D2544F"/>
    <w:multiLevelType w:val="singleLevel"/>
    <w:tmpl w:val="75D2544F"/>
    <w:lvl w:ilvl="0" w:tentative="0">
      <w:start w:val="1"/>
      <w:numFmt w:val="chineseCounting"/>
      <w:suff w:val="nothing"/>
      <w:lvlText w:val="（%1）"/>
      <w:lvlJc w:val="left"/>
      <w:pPr>
        <w:ind w:left="0" w:firstLine="420"/>
      </w:pPr>
      <w:rPr>
        <w:rFonts w:hint="eastAsia"/>
        <w:b/>
        <w:bCs/>
      </w:rPr>
    </w:lvl>
  </w:abstractNum>
  <w:abstractNum w:abstractNumId="7">
    <w:nsid w:val="79A7505F"/>
    <w:multiLevelType w:val="singleLevel"/>
    <w:tmpl w:val="79A7505F"/>
    <w:lvl w:ilvl="0" w:tentative="0">
      <w:start w:val="2"/>
      <w:numFmt w:val="chineseCounting"/>
      <w:suff w:val="nothing"/>
      <w:lvlText w:val="（%1）"/>
      <w:lvlJc w:val="left"/>
      <w:pPr>
        <w:ind w:left="0" w:firstLine="420"/>
      </w:pPr>
      <w:rPr>
        <w:rFonts w:hint="eastAsia"/>
        <w:b/>
        <w:bCs/>
      </w:rPr>
    </w:lvl>
  </w:abstractNum>
  <w:num w:numId="1">
    <w:abstractNumId w:val="1"/>
  </w:num>
  <w:num w:numId="2">
    <w:abstractNumId w:val="0"/>
  </w:num>
  <w:num w:numId="3">
    <w:abstractNumId w:val="4"/>
  </w:num>
  <w:num w:numId="4">
    <w:abstractNumId w:val="3"/>
  </w:num>
  <w:num w:numId="5">
    <w:abstractNumId w:val="5"/>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5ZjUwYzE3NDdkZDY1ZTUwZTQwZTM5ODM0MmI1ZGMifQ=="/>
    <w:docVar w:name="KSO_WPS_MARK_KEY" w:val="7d0c4fc6-43cc-4bf7-81fa-344b25226340"/>
  </w:docVars>
  <w:rsids>
    <w:rsidRoot w:val="00172A27"/>
    <w:rsid w:val="005E72A2"/>
    <w:rsid w:val="00EE55AC"/>
    <w:rsid w:val="0226402A"/>
    <w:rsid w:val="02266A4E"/>
    <w:rsid w:val="0233240B"/>
    <w:rsid w:val="03AE1ACD"/>
    <w:rsid w:val="05305490"/>
    <w:rsid w:val="05D650B2"/>
    <w:rsid w:val="05DE6E8D"/>
    <w:rsid w:val="05E42C31"/>
    <w:rsid w:val="07506656"/>
    <w:rsid w:val="07CD2388"/>
    <w:rsid w:val="089F06F0"/>
    <w:rsid w:val="08EC59C1"/>
    <w:rsid w:val="09012D55"/>
    <w:rsid w:val="093A6D15"/>
    <w:rsid w:val="09C724A3"/>
    <w:rsid w:val="09C80899"/>
    <w:rsid w:val="0A057859"/>
    <w:rsid w:val="0C9E7500"/>
    <w:rsid w:val="0CB54915"/>
    <w:rsid w:val="0CE01EEC"/>
    <w:rsid w:val="0D2F3D4F"/>
    <w:rsid w:val="0D5B65FA"/>
    <w:rsid w:val="0D7A6610"/>
    <w:rsid w:val="0E0C54BC"/>
    <w:rsid w:val="0E4F5341"/>
    <w:rsid w:val="0EE81EA6"/>
    <w:rsid w:val="102D0195"/>
    <w:rsid w:val="10E7747B"/>
    <w:rsid w:val="10F25E29"/>
    <w:rsid w:val="11FA0C01"/>
    <w:rsid w:val="128B25FE"/>
    <w:rsid w:val="12DA17D8"/>
    <w:rsid w:val="15862C7E"/>
    <w:rsid w:val="164976A9"/>
    <w:rsid w:val="178D1D7E"/>
    <w:rsid w:val="17EA7887"/>
    <w:rsid w:val="18321B09"/>
    <w:rsid w:val="18616AA2"/>
    <w:rsid w:val="191F0F43"/>
    <w:rsid w:val="19E235E1"/>
    <w:rsid w:val="1A7E4CCF"/>
    <w:rsid w:val="1BCD72C9"/>
    <w:rsid w:val="1BFB7C22"/>
    <w:rsid w:val="1C09008C"/>
    <w:rsid w:val="1D0817CE"/>
    <w:rsid w:val="1E635082"/>
    <w:rsid w:val="1F0F7AA5"/>
    <w:rsid w:val="1F962D64"/>
    <w:rsid w:val="213B4CFA"/>
    <w:rsid w:val="21527232"/>
    <w:rsid w:val="21575C30"/>
    <w:rsid w:val="21B70797"/>
    <w:rsid w:val="21F67436"/>
    <w:rsid w:val="220D70EF"/>
    <w:rsid w:val="24885625"/>
    <w:rsid w:val="24A063EA"/>
    <w:rsid w:val="24C8157C"/>
    <w:rsid w:val="255170B3"/>
    <w:rsid w:val="25BD3406"/>
    <w:rsid w:val="260415D7"/>
    <w:rsid w:val="26896537"/>
    <w:rsid w:val="27DB5649"/>
    <w:rsid w:val="284E53B8"/>
    <w:rsid w:val="28F73A05"/>
    <w:rsid w:val="29E223F6"/>
    <w:rsid w:val="2A7A79DE"/>
    <w:rsid w:val="2B5C1F0C"/>
    <w:rsid w:val="2BD054E2"/>
    <w:rsid w:val="2EAD6691"/>
    <w:rsid w:val="2F0D25D9"/>
    <w:rsid w:val="3086176D"/>
    <w:rsid w:val="31124CF4"/>
    <w:rsid w:val="31A3269E"/>
    <w:rsid w:val="322D08A3"/>
    <w:rsid w:val="32626F15"/>
    <w:rsid w:val="329E36D6"/>
    <w:rsid w:val="34105616"/>
    <w:rsid w:val="3486580A"/>
    <w:rsid w:val="34A35A92"/>
    <w:rsid w:val="34A453A9"/>
    <w:rsid w:val="34EC3C25"/>
    <w:rsid w:val="351A5D92"/>
    <w:rsid w:val="35AA025C"/>
    <w:rsid w:val="35CA7D73"/>
    <w:rsid w:val="36FD5D01"/>
    <w:rsid w:val="377307FA"/>
    <w:rsid w:val="394B6E53"/>
    <w:rsid w:val="3B1C12F3"/>
    <w:rsid w:val="3BD53B5C"/>
    <w:rsid w:val="3CC57F13"/>
    <w:rsid w:val="3D4C282D"/>
    <w:rsid w:val="3D970F4E"/>
    <w:rsid w:val="3DE106C6"/>
    <w:rsid w:val="3E540971"/>
    <w:rsid w:val="3E786275"/>
    <w:rsid w:val="3E931F0D"/>
    <w:rsid w:val="3F7E2660"/>
    <w:rsid w:val="3FA31FDD"/>
    <w:rsid w:val="3FBF6D08"/>
    <w:rsid w:val="3FFA261A"/>
    <w:rsid w:val="3FFDD4F4"/>
    <w:rsid w:val="40A430BB"/>
    <w:rsid w:val="40E135DA"/>
    <w:rsid w:val="40FB25F3"/>
    <w:rsid w:val="41F528C8"/>
    <w:rsid w:val="427C1487"/>
    <w:rsid w:val="42FA026B"/>
    <w:rsid w:val="43434086"/>
    <w:rsid w:val="43C800C0"/>
    <w:rsid w:val="444440BE"/>
    <w:rsid w:val="44AC49CD"/>
    <w:rsid w:val="44B91F56"/>
    <w:rsid w:val="46184F00"/>
    <w:rsid w:val="466F6F60"/>
    <w:rsid w:val="46A726DE"/>
    <w:rsid w:val="4745701D"/>
    <w:rsid w:val="47AC6180"/>
    <w:rsid w:val="48BF1281"/>
    <w:rsid w:val="4B2F6DF6"/>
    <w:rsid w:val="4CC51C60"/>
    <w:rsid w:val="4D3204EA"/>
    <w:rsid w:val="4D697EB1"/>
    <w:rsid w:val="4D7EE1B8"/>
    <w:rsid w:val="4DFF95C2"/>
    <w:rsid w:val="4E08799D"/>
    <w:rsid w:val="4E2B414A"/>
    <w:rsid w:val="4F5679CC"/>
    <w:rsid w:val="501840BA"/>
    <w:rsid w:val="52B042C0"/>
    <w:rsid w:val="53827B5D"/>
    <w:rsid w:val="53E86B53"/>
    <w:rsid w:val="54D66C67"/>
    <w:rsid w:val="54ED47F2"/>
    <w:rsid w:val="568633C7"/>
    <w:rsid w:val="57061882"/>
    <w:rsid w:val="57280BF2"/>
    <w:rsid w:val="57CFCB0F"/>
    <w:rsid w:val="57FE8B5E"/>
    <w:rsid w:val="582C3B01"/>
    <w:rsid w:val="582D059F"/>
    <w:rsid w:val="582D396D"/>
    <w:rsid w:val="59083CAE"/>
    <w:rsid w:val="592570E8"/>
    <w:rsid w:val="59435FE6"/>
    <w:rsid w:val="59480030"/>
    <w:rsid w:val="59A3360E"/>
    <w:rsid w:val="5ADE2855"/>
    <w:rsid w:val="5ADF8627"/>
    <w:rsid w:val="5B056CAE"/>
    <w:rsid w:val="5C664A4B"/>
    <w:rsid w:val="5CE67D31"/>
    <w:rsid w:val="5E5F4050"/>
    <w:rsid w:val="5F04726A"/>
    <w:rsid w:val="5F6D37D2"/>
    <w:rsid w:val="5F9C081D"/>
    <w:rsid w:val="5FED5180"/>
    <w:rsid w:val="606677EA"/>
    <w:rsid w:val="60F34C3C"/>
    <w:rsid w:val="617668BD"/>
    <w:rsid w:val="61D01645"/>
    <w:rsid w:val="63723353"/>
    <w:rsid w:val="64164D78"/>
    <w:rsid w:val="64993141"/>
    <w:rsid w:val="659F27EB"/>
    <w:rsid w:val="659F600E"/>
    <w:rsid w:val="67CE6661"/>
    <w:rsid w:val="680A5A06"/>
    <w:rsid w:val="68B9403E"/>
    <w:rsid w:val="68D511B9"/>
    <w:rsid w:val="68FA6041"/>
    <w:rsid w:val="69827CEE"/>
    <w:rsid w:val="6BDE71F2"/>
    <w:rsid w:val="6C9577EB"/>
    <w:rsid w:val="6CBA3A99"/>
    <w:rsid w:val="6D3A1203"/>
    <w:rsid w:val="6DFE35A5"/>
    <w:rsid w:val="6E9C369D"/>
    <w:rsid w:val="6EF41B11"/>
    <w:rsid w:val="6FF79273"/>
    <w:rsid w:val="702573F3"/>
    <w:rsid w:val="70B57531"/>
    <w:rsid w:val="70FA499F"/>
    <w:rsid w:val="730C182D"/>
    <w:rsid w:val="73F5BB6D"/>
    <w:rsid w:val="73FC9A3F"/>
    <w:rsid w:val="751974A1"/>
    <w:rsid w:val="758B30E4"/>
    <w:rsid w:val="75F42331"/>
    <w:rsid w:val="761F7C3C"/>
    <w:rsid w:val="76683D2A"/>
    <w:rsid w:val="76C62D9E"/>
    <w:rsid w:val="78244617"/>
    <w:rsid w:val="7A923507"/>
    <w:rsid w:val="7AAFF850"/>
    <w:rsid w:val="7ACB640D"/>
    <w:rsid w:val="7BFF1A29"/>
    <w:rsid w:val="7C044D89"/>
    <w:rsid w:val="7C63442B"/>
    <w:rsid w:val="7D3AA22F"/>
    <w:rsid w:val="7D9F2F3F"/>
    <w:rsid w:val="7DE35ECA"/>
    <w:rsid w:val="7DF186E2"/>
    <w:rsid w:val="7E1A0C5A"/>
    <w:rsid w:val="7E3212D3"/>
    <w:rsid w:val="7E7F7BE9"/>
    <w:rsid w:val="7F5F887D"/>
    <w:rsid w:val="7F9FC635"/>
    <w:rsid w:val="7FCC7D05"/>
    <w:rsid w:val="7FEF42B8"/>
    <w:rsid w:val="7FEFE414"/>
    <w:rsid w:val="7FF2B36D"/>
    <w:rsid w:val="9FD01BC3"/>
    <w:rsid w:val="9FDF7357"/>
    <w:rsid w:val="B3FE25BF"/>
    <w:rsid w:val="BE6E0F8F"/>
    <w:rsid w:val="C679D4D5"/>
    <w:rsid w:val="C7EFAC2C"/>
    <w:rsid w:val="CFBD1285"/>
    <w:rsid w:val="D3FFF2E3"/>
    <w:rsid w:val="D4B948F0"/>
    <w:rsid w:val="D7BE90C3"/>
    <w:rsid w:val="DFFBF81E"/>
    <w:rsid w:val="E2F2C526"/>
    <w:rsid w:val="E7F7B356"/>
    <w:rsid w:val="F3F331A4"/>
    <w:rsid w:val="F3FF81F7"/>
    <w:rsid w:val="F6D74091"/>
    <w:rsid w:val="F7FE62B6"/>
    <w:rsid w:val="FA543BA3"/>
    <w:rsid w:val="FD7F9463"/>
    <w:rsid w:val="FEAED78B"/>
    <w:rsid w:val="FF5D960F"/>
    <w:rsid w:val="FFFFE025"/>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10">
    <w:name w:val="Default Paragraph Font"/>
    <w:semiHidden/>
    <w:qFormat/>
    <w:uiPriority w:val="0"/>
  </w:style>
  <w:style w:type="table" w:default="1" w:styleId="8">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annotation text"/>
    <w:basedOn w:val="1"/>
    <w:link w:val="18"/>
    <w:qFormat/>
    <w:uiPriority w:val="0"/>
    <w:pPr>
      <w:jc w:val="left"/>
    </w:pPr>
  </w:style>
  <w:style w:type="paragraph" w:styleId="3">
    <w:name w:val="Balloon Text"/>
    <w:basedOn w:val="1"/>
    <w:link w:val="2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paragraph" w:styleId="7">
    <w:name w:val="annotation subject"/>
    <w:basedOn w:val="2"/>
    <w:next w:val="2"/>
    <w:link w:val="19"/>
    <w:qFormat/>
    <w:uiPriority w:val="0"/>
    <w:rPr>
      <w:b/>
      <w:bCs/>
    </w:rPr>
  </w:style>
  <w:style w:type="table" w:styleId="9">
    <w:name w:val="Table Grid"/>
    <w:basedOn w:val="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Hyperlink"/>
    <w:qFormat/>
    <w:uiPriority w:val="0"/>
    <w:rPr>
      <w:color w:val="0000FF"/>
      <w:u w:val="single"/>
    </w:rPr>
  </w:style>
  <w:style w:type="character" w:styleId="12">
    <w:name w:val="annotation reference"/>
    <w:qFormat/>
    <w:uiPriority w:val="0"/>
    <w:rPr>
      <w:sz w:val="21"/>
      <w:szCs w:val="21"/>
    </w:rPr>
  </w:style>
  <w:style w:type="character" w:customStyle="1" w:styleId="13">
    <w:name w:val="批注文字 字符"/>
    <w:link w:val="2"/>
    <w:qFormat/>
    <w:uiPriority w:val="0"/>
    <w:rPr>
      <w:rFonts w:ascii="Calibri" w:hAnsi="Calibri" w:cs="黑体"/>
      <w:kern w:val="2"/>
      <w:sz w:val="21"/>
      <w:szCs w:val="24"/>
    </w:rPr>
  </w:style>
  <w:style w:type="character" w:customStyle="1" w:styleId="14">
    <w:name w:val="批注框文本 字符"/>
    <w:link w:val="3"/>
    <w:qFormat/>
    <w:uiPriority w:val="0"/>
    <w:rPr>
      <w:rFonts w:ascii="Calibri" w:hAnsi="Calibri" w:cs="黑体"/>
      <w:kern w:val="2"/>
      <w:sz w:val="18"/>
      <w:szCs w:val="18"/>
    </w:rPr>
  </w:style>
  <w:style w:type="character" w:customStyle="1" w:styleId="15">
    <w:name w:val="批注主题 字符"/>
    <w:link w:val="7"/>
    <w:qFormat/>
    <w:uiPriority w:val="0"/>
    <w:rPr>
      <w:rFonts w:ascii="Calibri" w:hAnsi="Calibri" w:cs="黑体"/>
      <w:b/>
      <w:bCs/>
      <w:kern w:val="2"/>
      <w:sz w:val="21"/>
      <w:szCs w:val="24"/>
    </w:rPr>
  </w:style>
  <w:style w:type="paragraph" w:customStyle="1" w:styleId="16">
    <w:name w:val="List Paragraph"/>
    <w:basedOn w:val="1"/>
    <w:unhideWhenUsed/>
    <w:qFormat/>
    <w:uiPriority w:val="99"/>
    <w:pPr>
      <w:ind w:firstLine="420" w:firstLineChars="200"/>
    </w:p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8">
    <w:name w:val="批注文字 Char"/>
    <w:link w:val="2"/>
    <w:qFormat/>
    <w:uiPriority w:val="0"/>
    <w:rPr>
      <w:rFonts w:ascii="Calibri" w:hAnsi="Calibri" w:cs="黑体"/>
      <w:kern w:val="2"/>
      <w:sz w:val="21"/>
      <w:szCs w:val="24"/>
    </w:rPr>
  </w:style>
  <w:style w:type="character" w:customStyle="1" w:styleId="19">
    <w:name w:val="批注主题 Char"/>
    <w:link w:val="7"/>
    <w:qFormat/>
    <w:uiPriority w:val="0"/>
    <w:rPr>
      <w:rFonts w:ascii="Calibri" w:hAnsi="Calibri" w:cs="黑体"/>
      <w:b/>
      <w:bCs/>
      <w:kern w:val="2"/>
      <w:sz w:val="21"/>
      <w:szCs w:val="24"/>
    </w:rPr>
  </w:style>
  <w:style w:type="character" w:customStyle="1" w:styleId="20">
    <w:name w:val="批注框文本 Char"/>
    <w:link w:val="3"/>
    <w:qFormat/>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63</Pages>
  <Words>40560</Words>
  <Characters>44202</Characters>
  <Lines>1</Lines>
  <Paragraphs>1</Paragraphs>
  <TotalTime>0</TotalTime>
  <ScaleCrop>false</ScaleCrop>
  <LinksUpToDate>false</LinksUpToDate>
  <CharactersWithSpaces>44705</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2014-11-05T04:08:00Z</dcterms:created>
  <dc:creator>Administrator</dc:creator>
  <cp:lastModifiedBy>hccb</cp:lastModifiedBy>
  <dcterms:modified xsi:type="dcterms:W3CDTF">2026-04-10T00:45:30Z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491748FF9B02D5C65C56D769A3BBF2FE_43</vt:lpwstr>
  </property>
</Properties>
</file>