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0" w:leftChars="0" w:firstLine="0" w:firstLineChars="0"/>
        <w:jc w:val="center"/>
        <w:outlineLvl w:val="0"/>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幸福99金钱包73号理财</w:t>
      </w:r>
      <w:r>
        <w:rPr>
          <w:rFonts w:hint="eastAsia" w:ascii="宋体" w:hAnsi="宋体" w:cs="宋体"/>
          <w:b/>
          <w:bCs/>
          <w:color w:val="000000"/>
          <w:sz w:val="44"/>
          <w:szCs w:val="44"/>
          <w:highlight w:val="none"/>
        </w:rPr>
        <w:t>风险揭示书</w:t>
      </w:r>
    </w:p>
    <w:p>
      <w:pPr>
        <w:jc w:val="center"/>
        <w:outlineLvl w:val="1"/>
        <w:rPr>
          <w:rFonts w:hint="eastAsia" w:ascii="宋体" w:hAnsi="宋体" w:cs="宋体"/>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color w:val="000000"/>
          <w:sz w:val="24"/>
          <w:highlight w:val="none"/>
        </w:rPr>
        <w:t>尊敬的理财投资者：</w:t>
      </w:r>
    </w:p>
    <w:p>
      <w:pPr>
        <w:spacing w:line="360" w:lineRule="auto"/>
        <w:jc w:val="center"/>
        <w:outlineLvl w:val="2"/>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2"/>
        <w:rPr>
          <w:rFonts w:hint="eastAsia" w:ascii="宋体" w:hAnsi="宋体" w:cs="宋体"/>
          <w:b/>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2"/>
        <w:rPr>
          <w:rFonts w:ascii="宋体" w:hAnsi="宋体" w:cs="宋体"/>
          <w:b/>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0"/>
        </w:numPr>
        <w:suppressLineNumbers w:val="0"/>
        <w:spacing w:before="0" w:beforeAutospacing="0" w:after="0" w:afterAutospacing="0" w:line="360" w:lineRule="auto"/>
        <w:ind w:left="0" w:leftChars="0" w:right="0" w:rightChars="0" w:firstLine="0" w:firstLineChars="0"/>
        <w:jc w:val="left"/>
        <w:rPr>
          <w:rFonts w:hint="eastAsia" w:ascii="宋体" w:hAnsi="宋体" w:cs="宋体"/>
          <w:b/>
          <w:sz w:val="24"/>
          <w:highlight w:val="none"/>
        </w:rPr>
      </w:pPr>
      <w:r>
        <w:rPr>
          <w:rFonts w:hint="eastAsia" w:ascii="宋体" w:hAnsi="宋体" w:cs="宋体"/>
          <w:b/>
          <w:color w:val="000000"/>
          <w:kern w:val="2"/>
          <w:sz w:val="24"/>
          <w:szCs w:val="24"/>
          <w:highlight w:val="none"/>
          <w:lang w:val="en-US" w:eastAsia="zh-CN" w:bidi="ar-SA"/>
        </w:rPr>
        <w:tab/>
      </w:r>
      <w:r>
        <w:rPr>
          <w:rFonts w:hint="eastAsia" w:ascii="宋体" w:hAnsi="宋体" w:cs="宋体"/>
          <w:b/>
          <w:color w:val="000000"/>
          <w:sz w:val="24"/>
          <w:highlight w:val="none"/>
          <w:lang w:val="en-US" w:eastAsia="zh-CN"/>
        </w:rPr>
        <w:t>拟投资固定收益类资产的风险：本理财计划投资债券、资产支持证券等固定收益类资产时可能面临以下风险：国家政策、经济周期、利率等因素发生变化导致的市场风险；债券发行人的经营状况、信用质量恶化等导致的信用风险；市场成交量不足、特殊时点缺乏交易对手导致的流动性风险等。</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2"/>
        <w:rPr>
          <w:rFonts w:ascii="宋体" w:hAnsi="宋体" w:cs="宋体"/>
          <w:b/>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5"/>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6"/>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6"/>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6"/>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国务院银行业监督管理机构规定的其他情形。</w:t>
      </w:r>
    </w:p>
    <w:p>
      <w:pPr>
        <w:numPr>
          <w:ilvl w:val="0"/>
          <w:numId w:val="7"/>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7"/>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7"/>
        </w:numPr>
        <w:suppressLineNumbers w:val="0"/>
        <w:spacing w:before="0" w:beforeAutospacing="0" w:after="0" w:afterAutospacing="0" w:line="360" w:lineRule="auto"/>
        <w:ind w:left="0" w:right="0"/>
        <w:jc w:val="both"/>
        <w:outlineLvl w:val="9"/>
        <w:rPr>
          <w:rFonts w:hint="eastAsia" w:ascii="宋体" w:hAnsi="宋体" w:cs="宋体"/>
          <w:bCs/>
          <w:sz w:val="24"/>
          <w:highlight w:val="none"/>
        </w:rPr>
      </w:pPr>
      <w:r>
        <w:rPr>
          <w:rFonts w:hint="eastAsia" w:ascii="宋体" w:hAnsi="宋体" w:eastAsia="宋体" w:cs="宋体"/>
          <w:b/>
          <w:bCs/>
          <w:color w:val="000000"/>
          <w:kern w:val="2"/>
          <w:sz w:val="24"/>
          <w:szCs w:val="24"/>
          <w:lang w:val="en-US" w:eastAsia="zh-CN" w:bidi="ar"/>
        </w:rPr>
        <w:t>根据适当性管理原则，将理财投资人分为专业投资者和普通投资者。其中专业投资者应符合下列条件之一：</w:t>
      </w:r>
    </w:p>
    <w:p>
      <w:pPr>
        <w:keepNext w:val="0"/>
        <w:keepLines w:val="0"/>
        <w:widowControl w:val="0"/>
        <w:numPr>
          <w:ilvl w:val="0"/>
          <w:numId w:val="8"/>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color w:val="000000"/>
          <w:kern w:val="2"/>
          <w:sz w:val="24"/>
          <w:szCs w:val="24"/>
          <w:lang w:val="en-US" w:eastAsia="zh-CN" w:bidi="ar"/>
        </w:rPr>
        <w:t>银行业金融机构、保险业</w:t>
      </w:r>
      <w:r>
        <w:rPr>
          <w:rFonts w:hint="eastAsia" w:ascii="宋体" w:hAnsi="宋体" w:eastAsia="宋体" w:cs="宋体"/>
          <w:i w:val="0"/>
          <w:iCs w:val="0"/>
          <w:caps w:val="0"/>
          <w:color w:val="000000"/>
          <w:spacing w:val="0"/>
          <w:kern w:val="2"/>
          <w:sz w:val="24"/>
          <w:szCs w:val="24"/>
          <w:shd w:val="clear" w:color="auto" w:fill="FFFFFF"/>
          <w:lang w:val="en-US" w:eastAsia="zh-CN" w:bidi="ar"/>
        </w:rPr>
        <w:t>金融机构、金融控股公司、证券基金期货经营机构、私募基金管理人；</w:t>
      </w:r>
    </w:p>
    <w:p>
      <w:pPr>
        <w:keepNext w:val="0"/>
        <w:keepLines w:val="0"/>
        <w:widowControl w:val="0"/>
        <w:numPr>
          <w:ilvl w:val="0"/>
          <w:numId w:val="8"/>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i w:val="0"/>
          <w:iCs w:val="0"/>
          <w:caps w:val="0"/>
          <w:color w:val="000000"/>
          <w:spacing w:val="0"/>
          <w:kern w:val="2"/>
          <w:sz w:val="24"/>
          <w:szCs w:val="24"/>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8"/>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color w:val="000000"/>
          <w:kern w:val="2"/>
          <w:sz w:val="24"/>
          <w:szCs w:val="24"/>
          <w:lang w:val="en-US" w:eastAsia="zh-CN" w:bidi="ar"/>
        </w:rPr>
        <w:t>社会</w:t>
      </w:r>
      <w:r>
        <w:rPr>
          <w:rFonts w:hint="eastAsia" w:ascii="宋体" w:hAnsi="宋体" w:eastAsia="宋体" w:cs="宋体"/>
          <w:i w:val="0"/>
          <w:iCs w:val="0"/>
          <w:caps w:val="0"/>
          <w:color w:val="000000"/>
          <w:spacing w:val="0"/>
          <w:kern w:val="2"/>
          <w:sz w:val="24"/>
          <w:szCs w:val="24"/>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ind w:left="0" w:right="0" w:firstLine="480" w:firstLineChars="200"/>
        <w:jc w:val="both"/>
      </w:pPr>
      <w:r>
        <w:rPr>
          <w:rFonts w:hint="eastAsia" w:ascii="宋体" w:hAnsi="宋体" w:eastAsia="宋体" w:cs="宋体"/>
          <w:color w:val="000000"/>
          <w:kern w:val="2"/>
          <w:sz w:val="24"/>
          <w:szCs w:val="24"/>
          <w:lang w:val="en-US" w:eastAsia="zh-CN" w:bidi="ar"/>
        </w:rPr>
        <w:t>专业投资者之外的投资者为普通投资者。</w:t>
      </w:r>
    </w:p>
    <w:p>
      <w:pPr>
        <w:numPr>
          <w:ilvl w:val="0"/>
          <w:numId w:val="0"/>
        </w:numPr>
        <w:spacing w:line="360" w:lineRule="auto"/>
        <w:ind w:left="420" w:leftChars="0"/>
        <w:jc w:val="left"/>
        <w:outlineLvl w:val="9"/>
        <w:rPr>
          <w:rFonts w:hint="eastAsia" w:ascii="宋体" w:hAnsi="宋体" w:cs="宋体"/>
          <w:bCs/>
          <w:sz w:val="24"/>
          <w:highlight w:val="none"/>
        </w:rPr>
      </w:pP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开放式</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现金管理类</w:t>
      </w:r>
      <w:r>
        <w:rPr>
          <w:rFonts w:hint="eastAsia" w:ascii="宋体" w:hAnsi="宋体" w:cs="宋体"/>
          <w:b/>
          <w:color w:val="000000"/>
          <w:sz w:val="24"/>
          <w:highlight w:val="none"/>
        </w:rPr>
        <w:t>〗净值型理财计划，〖</w:t>
      </w:r>
      <w:r>
        <w:rPr>
          <w:rFonts w:hint="eastAsia" w:ascii="宋体" w:hAnsi="宋体" w:cs="宋体"/>
          <w:b/>
          <w:color w:val="000000"/>
          <w:sz w:val="24"/>
          <w:highlight w:val="none"/>
          <w:lang w:eastAsia="zh-CN"/>
        </w:rPr>
        <w:t>无固定期限</w:t>
      </w:r>
      <w:r>
        <w:rPr>
          <w:rFonts w:hint="eastAsia" w:ascii="宋体" w:hAnsi="宋体" w:cs="宋体"/>
          <w:b/>
          <w:color w:val="000000"/>
          <w:sz w:val="24"/>
          <w:highlight w:val="none"/>
        </w:rPr>
        <w:t>〗</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R1</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程度低，收益波动小，产品本金安全性高，收益不能实现的可能性很小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〖谨慎型、稳健型、平衡型、进取型、激进型〗的〖个人、机构投资者〗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color w:val="000000"/>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000000"/>
          <w:highlight w:val="none"/>
        </w:rPr>
        <w:br w:type="page"/>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2"/>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投资者确认栏（普通投资者填写）</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本人/本机构经销售机构评估的风险承受能力等级为：</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u w:val="single"/>
        </w:rPr>
      </w:pPr>
      <w:r>
        <w:rPr>
          <w:rFonts w:hint="eastAsia" w:ascii="宋体" w:hAnsi="宋体" w:eastAsia="宋体" w:cs="宋体"/>
          <w:color w:val="000000"/>
          <w:kern w:val="0"/>
          <w:sz w:val="24"/>
          <w:szCs w:val="24"/>
          <w:lang w:val="en-US" w:eastAsia="zh-CN" w:bidi="ar"/>
        </w:rPr>
        <w:t>（投资者填写）</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u w:val="single"/>
        </w:rPr>
      </w:pPr>
      <w:r>
        <w:rPr>
          <w:rFonts w:hint="eastAsia" w:ascii="宋体" w:hAnsi="宋体" w:eastAsia="宋体" w:cs="宋体"/>
          <w:color w:val="000000"/>
          <w:kern w:val="0"/>
          <w:sz w:val="24"/>
          <w:szCs w:val="24"/>
          <w:u w:val="single"/>
          <w:lang w:val="en-US" w:eastAsia="zh-CN" w:bidi="ar"/>
        </w:rPr>
        <w:t>如超过一年未进行风险承受能力评估或影响本人风险承受能力的因素发生变化，本人/本机构将于再次购买理财计划时及时完成风险承受能力评估。</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u w:val="single"/>
        </w:rPr>
      </w:pPr>
      <w:r>
        <w:rPr>
          <w:rFonts w:hint="eastAsia" w:ascii="宋体" w:hAnsi="宋体" w:eastAsia="宋体" w:cs="宋体"/>
          <w:b/>
          <w:bCs/>
          <w:color w:val="000000"/>
          <w:kern w:val="0"/>
          <w:sz w:val="24"/>
          <w:szCs w:val="24"/>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u w:val="single"/>
        </w:rPr>
      </w:pPr>
      <w:r>
        <w:rPr>
          <w:rFonts w:hint="eastAsia" w:ascii="宋体" w:hAnsi="宋体" w:eastAsia="宋体" w:cs="宋体"/>
          <w:b/>
          <w:bCs/>
          <w:color w:val="000000"/>
          <w:kern w:val="0"/>
          <w:sz w:val="24"/>
          <w:szCs w:val="24"/>
          <w:u w:val="single"/>
          <w:lang w:val="en-US" w:eastAsia="zh-CN" w:bidi="ar"/>
        </w:rPr>
        <w:t>本人/</w:t>
      </w:r>
      <w:r>
        <w:rPr>
          <w:rFonts w:hint="eastAsia" w:ascii="宋体" w:hAnsi="宋体" w:cs="宋体"/>
          <w:b/>
          <w:bCs/>
          <w:color w:val="000000"/>
          <w:kern w:val="0"/>
          <w:sz w:val="24"/>
          <w:szCs w:val="24"/>
          <w:u w:val="single"/>
          <w:lang w:val="en-US" w:eastAsia="zh-CN" w:bidi="ar"/>
        </w:rPr>
        <w:t>本</w:t>
      </w:r>
      <w:r>
        <w:rPr>
          <w:rFonts w:hint="eastAsia" w:ascii="宋体" w:hAnsi="宋体" w:eastAsia="宋体" w:cs="宋体"/>
          <w:b/>
          <w:bCs/>
          <w:color w:val="000000"/>
          <w:kern w:val="0"/>
          <w:sz w:val="24"/>
          <w:szCs w:val="24"/>
          <w:u w:val="single"/>
          <w:lang w:val="en-US" w:eastAsia="zh-CN" w:bidi="ar"/>
        </w:rPr>
        <w:t>机构购买本理财计划的资金为合法自有资金，不存在使用借款、贷款等非自有资金的情形；且系为合法目的投资本理财计划，而非为洗钱等违法违规之目的，本人/</w:t>
      </w:r>
      <w:r>
        <w:rPr>
          <w:rFonts w:hint="eastAsia" w:ascii="宋体" w:hAnsi="宋体" w:cs="宋体"/>
          <w:b/>
          <w:bCs/>
          <w:color w:val="000000"/>
          <w:kern w:val="0"/>
          <w:sz w:val="24"/>
          <w:szCs w:val="24"/>
          <w:u w:val="single"/>
          <w:lang w:val="en-US" w:eastAsia="zh-CN" w:bidi="ar"/>
        </w:rPr>
        <w:t>本</w:t>
      </w:r>
      <w:r>
        <w:rPr>
          <w:rFonts w:hint="eastAsia" w:ascii="宋体" w:hAnsi="宋体" w:eastAsia="宋体" w:cs="宋体"/>
          <w:b/>
          <w:bCs/>
          <w:color w:val="000000"/>
          <w:kern w:val="0"/>
          <w:sz w:val="24"/>
          <w:szCs w:val="24"/>
          <w:u w:val="single"/>
          <w:lang w:val="en-US" w:eastAsia="zh-CN" w:bidi="ar"/>
        </w:rPr>
        <w:t>机构将配合管理人或销售机构开展客户身份识别及尽职调查、反恐怖融资以及非居民金融账户尽职调查等，及时、真实、准确提供身份信息及资金来源信息。</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rPr>
      </w:pPr>
      <w:r>
        <w:rPr>
          <w:rFonts w:hint="eastAsia" w:ascii="宋体" w:hAnsi="宋体" w:eastAsia="宋体" w:cs="宋体"/>
          <w:color w:val="000000"/>
          <w:kern w:val="0"/>
          <w:sz w:val="24"/>
          <w:szCs w:val="24"/>
          <w:lang w:val="en-US" w:eastAsia="zh-CN" w:bidi="ar"/>
        </w:rPr>
        <w:t>（投资者需全文抄录以下文字以完成确认：</w:t>
      </w:r>
      <w:r>
        <w:rPr>
          <w:rFonts w:hint="eastAsia" w:ascii="宋体" w:hAnsi="宋体" w:eastAsia="宋体" w:cs="宋体"/>
          <w:b/>
          <w:bCs/>
          <w:color w:val="000000"/>
          <w:kern w:val="0"/>
          <w:sz w:val="24"/>
          <w:szCs w:val="24"/>
          <w:lang w:val="en-US" w:eastAsia="zh-CN" w:bidi="ar"/>
        </w:rPr>
        <w:t>“本人/</w:t>
      </w:r>
      <w:r>
        <w:rPr>
          <w:rFonts w:hint="eastAsia" w:ascii="宋体" w:hAnsi="宋体" w:cs="宋体"/>
          <w:b/>
          <w:bCs/>
          <w:color w:val="000000"/>
          <w:kern w:val="0"/>
          <w:sz w:val="24"/>
          <w:szCs w:val="24"/>
          <w:lang w:val="en-US" w:eastAsia="zh-CN" w:bidi="ar"/>
        </w:rPr>
        <w:t>本</w:t>
      </w:r>
      <w:r>
        <w:rPr>
          <w:rFonts w:hint="eastAsia" w:ascii="宋体" w:hAnsi="宋体" w:eastAsia="宋体" w:cs="宋体"/>
          <w:b/>
          <w:bCs/>
          <w:color w:val="000000"/>
          <w:kern w:val="0"/>
          <w:sz w:val="24"/>
          <w:szCs w:val="24"/>
          <w:lang w:val="en-US" w:eastAsia="zh-CN" w:bidi="ar"/>
        </w:rPr>
        <w:t xml:space="preserve">机构已经阅读上述风险揭示，愿意承担投资风险。”如通过线上渠道购买，认/申购交易确认即知晓并同意自身风险承受能力等级并确认风险揭示内容，愿意承担投资风险，与书面签署具有同等效力。）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u w:val="single"/>
        </w:rPr>
      </w:pPr>
      <w:r>
        <w:rPr>
          <w:rFonts w:hint="eastAsia" w:ascii="宋体" w:hAnsi="宋体" w:eastAsia="宋体" w:cs="宋体"/>
          <w:color w:val="000000"/>
          <w:kern w:val="0"/>
          <w:sz w:val="24"/>
          <w:szCs w:val="24"/>
          <w:lang w:val="en-US" w:eastAsia="zh-CN" w:bidi="ar"/>
        </w:rPr>
        <w:t>本人/</w:t>
      </w:r>
      <w:r>
        <w:rPr>
          <w:rFonts w:hint="eastAsia" w:ascii="宋体" w:hAnsi="宋体" w:cs="宋体"/>
          <w:color w:val="000000"/>
          <w:kern w:val="0"/>
          <w:sz w:val="24"/>
          <w:szCs w:val="24"/>
          <w:lang w:val="en-US" w:eastAsia="zh-CN" w:bidi="ar"/>
        </w:rPr>
        <w:t>本</w:t>
      </w:r>
      <w:r>
        <w:rPr>
          <w:rFonts w:hint="eastAsia" w:ascii="宋体" w:hAnsi="宋体" w:eastAsia="宋体" w:cs="宋体"/>
          <w:color w:val="000000"/>
          <w:kern w:val="0"/>
          <w:sz w:val="24"/>
          <w:szCs w:val="24"/>
          <w:lang w:val="en-US" w:eastAsia="zh-CN" w:bidi="ar"/>
        </w:rPr>
        <w:t>机构同时确认如下：</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color w:val="000000"/>
          <w:kern w:val="0"/>
          <w:sz w:val="24"/>
          <w:szCs w:val="24"/>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个人投资者（签字）：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color w:val="000000"/>
          <w:kern w:val="0"/>
          <w:sz w:val="24"/>
          <w:szCs w:val="24"/>
          <w:lang w:val="en-US" w:eastAsia="zh-CN" w:bidi="ar"/>
        </w:rPr>
        <w:t xml:space="preserve">                                           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pPr>
        <w:rPr>
          <w:rFonts w:ascii="宋体" w:hAnsi="宋体" w:cs="宋体"/>
          <w:bCs/>
          <w:color w:val="000000"/>
          <w:sz w:val="24"/>
          <w:highlight w:val="none"/>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color w:val="000000"/>
      </w:rPr>
    </w:lvl>
  </w:abstractNum>
  <w:abstractNum w:abstractNumId="1">
    <w:nsid w:val="AC40BB97"/>
    <w:multiLevelType w:val="singleLevel"/>
    <w:tmpl w:val="AC40BB97"/>
    <w:lvl w:ilvl="0" w:tentative="0">
      <w:start w:val="1"/>
      <w:numFmt w:val="chineseCounting"/>
      <w:suff w:val="nothing"/>
      <w:lvlText w:val="%1、"/>
      <w:lvlJc w:val="left"/>
      <w:rPr>
        <w:rFonts w:hint="eastAsia"/>
        <w:color w:val="000000"/>
      </w:rPr>
    </w:lvl>
  </w:abstractNum>
  <w:abstractNum w:abstractNumId="2">
    <w:nsid w:val="FBDE94D7"/>
    <w:multiLevelType w:val="multilevel"/>
    <w:tmpl w:val="FBDE94D7"/>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
    <w:nsid w:val="197A43F5"/>
    <w:multiLevelType w:val="singleLevel"/>
    <w:tmpl w:val="197A43F5"/>
    <w:lvl w:ilvl="0" w:tentative="0">
      <w:start w:val="3"/>
      <w:numFmt w:val="chineseCounting"/>
      <w:suff w:val="nothing"/>
      <w:lvlText w:val="（%1）"/>
      <w:lvlJc w:val="left"/>
      <w:pPr>
        <w:ind w:left="0" w:firstLine="420"/>
      </w:pPr>
      <w:rPr>
        <w:rFonts w:hint="eastAsia"/>
        <w:color w:val="000000"/>
      </w:rPr>
    </w:lvl>
  </w:abstractNum>
  <w:abstractNum w:abstractNumId="5">
    <w:nsid w:val="40727DE8"/>
    <w:multiLevelType w:val="singleLevel"/>
    <w:tmpl w:val="40727DE8"/>
    <w:lvl w:ilvl="0" w:tentative="0">
      <w:start w:val="1"/>
      <w:numFmt w:val="decimal"/>
      <w:suff w:val="nothing"/>
      <w:lvlText w:val="%1．"/>
      <w:lvlJc w:val="left"/>
      <w:pPr>
        <w:ind w:left="0" w:firstLine="400"/>
      </w:pPr>
      <w:rPr>
        <w:rFonts w:hint="default"/>
        <w:color w:val="000000"/>
      </w:rPr>
    </w:lvl>
  </w:abstractNum>
  <w:abstractNum w:abstractNumId="6">
    <w:nsid w:val="75D2544F"/>
    <w:multiLevelType w:val="singleLevel"/>
    <w:tmpl w:val="75D2544F"/>
    <w:lvl w:ilvl="0" w:tentative="0">
      <w:start w:val="1"/>
      <w:numFmt w:val="chineseCounting"/>
      <w:suff w:val="nothing"/>
      <w:lvlText w:val="（%1）"/>
      <w:lvlJc w:val="left"/>
      <w:pPr>
        <w:ind w:left="0" w:firstLine="420"/>
      </w:pPr>
      <w:rPr>
        <w:rFonts w:hint="eastAsia"/>
        <w:b/>
        <w:bCs/>
        <w:color w:val="000000"/>
      </w:rPr>
    </w:lvl>
  </w:abstractNum>
  <w:abstractNum w:abstractNumId="7">
    <w:nsid w:val="79A7505F"/>
    <w:multiLevelType w:val="singleLevel"/>
    <w:tmpl w:val="79A7505F"/>
    <w:lvl w:ilvl="0" w:tentative="0">
      <w:start w:val="2"/>
      <w:numFmt w:val="chineseCounting"/>
      <w:suff w:val="nothing"/>
      <w:lvlText w:val="（%1）"/>
      <w:lvlJc w:val="left"/>
      <w:pPr>
        <w:ind w:left="0" w:firstLine="420"/>
      </w:pPr>
      <w:rPr>
        <w:rFonts w:hint="eastAsia"/>
        <w:b/>
        <w:bCs/>
        <w:color w:val="000000"/>
      </w:rPr>
    </w:lvl>
  </w:abstractNum>
  <w:num w:numId="1">
    <w:abstractNumId w:val="1"/>
  </w:num>
  <w:num w:numId="2">
    <w:abstractNumId w:val="0"/>
  </w:num>
  <w:num w:numId="3">
    <w:abstractNumId w:val="5"/>
  </w:num>
  <w:num w:numId="4">
    <w:abstractNumId w:val="4"/>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1E45536"/>
    <w:rsid w:val="0226402A"/>
    <w:rsid w:val="02266A4E"/>
    <w:rsid w:val="0233240B"/>
    <w:rsid w:val="03AE1ACD"/>
    <w:rsid w:val="05305490"/>
    <w:rsid w:val="05932F45"/>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5FD05B8"/>
    <w:rsid w:val="164976A9"/>
    <w:rsid w:val="178D1D7E"/>
    <w:rsid w:val="17EA7887"/>
    <w:rsid w:val="18321B09"/>
    <w:rsid w:val="18616AA2"/>
    <w:rsid w:val="191F0F43"/>
    <w:rsid w:val="197D2A54"/>
    <w:rsid w:val="19C3057E"/>
    <w:rsid w:val="19E235E1"/>
    <w:rsid w:val="1A7E4CCF"/>
    <w:rsid w:val="1BCD72C9"/>
    <w:rsid w:val="1BFB7C22"/>
    <w:rsid w:val="1C09008C"/>
    <w:rsid w:val="1D0817CE"/>
    <w:rsid w:val="1E635082"/>
    <w:rsid w:val="1F0F7AA5"/>
    <w:rsid w:val="1F962D64"/>
    <w:rsid w:val="1FFE508D"/>
    <w:rsid w:val="213B4CFA"/>
    <w:rsid w:val="21527232"/>
    <w:rsid w:val="21575C30"/>
    <w:rsid w:val="21B70797"/>
    <w:rsid w:val="21F67436"/>
    <w:rsid w:val="220D70EF"/>
    <w:rsid w:val="23D7DA24"/>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2F11F692"/>
    <w:rsid w:val="2F201B4C"/>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B1C12F3"/>
    <w:rsid w:val="3B7F74DF"/>
    <w:rsid w:val="3BD53B5C"/>
    <w:rsid w:val="3BFDBE8B"/>
    <w:rsid w:val="3CC57F13"/>
    <w:rsid w:val="3D4C282D"/>
    <w:rsid w:val="3D970F4E"/>
    <w:rsid w:val="3DE106C6"/>
    <w:rsid w:val="3DFB4718"/>
    <w:rsid w:val="3E540971"/>
    <w:rsid w:val="3E786275"/>
    <w:rsid w:val="3E931F0D"/>
    <w:rsid w:val="3EF7009B"/>
    <w:rsid w:val="3F7E2660"/>
    <w:rsid w:val="3F7F862F"/>
    <w:rsid w:val="3FA31FDD"/>
    <w:rsid w:val="3FC253CD"/>
    <w:rsid w:val="3FFA261A"/>
    <w:rsid w:val="3FFFA04D"/>
    <w:rsid w:val="40A430BB"/>
    <w:rsid w:val="40E135DA"/>
    <w:rsid w:val="40FB25F3"/>
    <w:rsid w:val="41F528C8"/>
    <w:rsid w:val="427C1487"/>
    <w:rsid w:val="42FA026B"/>
    <w:rsid w:val="43C800C0"/>
    <w:rsid w:val="444440BE"/>
    <w:rsid w:val="44AC49CD"/>
    <w:rsid w:val="44B91F56"/>
    <w:rsid w:val="46184F00"/>
    <w:rsid w:val="466F6F60"/>
    <w:rsid w:val="4691373B"/>
    <w:rsid w:val="46A726DE"/>
    <w:rsid w:val="471F4546"/>
    <w:rsid w:val="4745701D"/>
    <w:rsid w:val="47AC6180"/>
    <w:rsid w:val="48BF1281"/>
    <w:rsid w:val="4B2F6DF6"/>
    <w:rsid w:val="4CC51C60"/>
    <w:rsid w:val="4D3204EA"/>
    <w:rsid w:val="4D697EB1"/>
    <w:rsid w:val="4DFF95C2"/>
    <w:rsid w:val="4E08799D"/>
    <w:rsid w:val="4E2B414A"/>
    <w:rsid w:val="4F5679CC"/>
    <w:rsid w:val="501840BA"/>
    <w:rsid w:val="52B042C0"/>
    <w:rsid w:val="53827B5D"/>
    <w:rsid w:val="53E86B53"/>
    <w:rsid w:val="545721BC"/>
    <w:rsid w:val="54D66C67"/>
    <w:rsid w:val="556B9EA3"/>
    <w:rsid w:val="568633C7"/>
    <w:rsid w:val="57061882"/>
    <w:rsid w:val="57280BF2"/>
    <w:rsid w:val="582C3B01"/>
    <w:rsid w:val="582D059F"/>
    <w:rsid w:val="582D396D"/>
    <w:rsid w:val="59083CAE"/>
    <w:rsid w:val="592570E8"/>
    <w:rsid w:val="59435FE6"/>
    <w:rsid w:val="59480030"/>
    <w:rsid w:val="59A3360E"/>
    <w:rsid w:val="5ADE2855"/>
    <w:rsid w:val="5B056CAE"/>
    <w:rsid w:val="5B770B6E"/>
    <w:rsid w:val="5C664A4B"/>
    <w:rsid w:val="5CE67D31"/>
    <w:rsid w:val="5E5F4050"/>
    <w:rsid w:val="5EA13044"/>
    <w:rsid w:val="5EAD585E"/>
    <w:rsid w:val="5F04726A"/>
    <w:rsid w:val="5F6D37D2"/>
    <w:rsid w:val="5F9C081D"/>
    <w:rsid w:val="5F9D8D66"/>
    <w:rsid w:val="5FBD1139"/>
    <w:rsid w:val="606677EA"/>
    <w:rsid w:val="60F34C3C"/>
    <w:rsid w:val="617668BD"/>
    <w:rsid w:val="61D01645"/>
    <w:rsid w:val="61D37DF9"/>
    <w:rsid w:val="63723353"/>
    <w:rsid w:val="64164D78"/>
    <w:rsid w:val="64993141"/>
    <w:rsid w:val="659F27EB"/>
    <w:rsid w:val="659F600E"/>
    <w:rsid w:val="670B831C"/>
    <w:rsid w:val="67CC2C23"/>
    <w:rsid w:val="67CE6661"/>
    <w:rsid w:val="680A5A06"/>
    <w:rsid w:val="68B9403E"/>
    <w:rsid w:val="68D511B9"/>
    <w:rsid w:val="68FA6041"/>
    <w:rsid w:val="69827CEE"/>
    <w:rsid w:val="6BDE71F2"/>
    <w:rsid w:val="6C9577EB"/>
    <w:rsid w:val="6CBA3A99"/>
    <w:rsid w:val="6D3A1203"/>
    <w:rsid w:val="6D66CE3D"/>
    <w:rsid w:val="6DFF1F5A"/>
    <w:rsid w:val="6E9C369D"/>
    <w:rsid w:val="6EF41B11"/>
    <w:rsid w:val="6F527944"/>
    <w:rsid w:val="6F7FD338"/>
    <w:rsid w:val="702573F3"/>
    <w:rsid w:val="70B57531"/>
    <w:rsid w:val="70FA499F"/>
    <w:rsid w:val="730C182D"/>
    <w:rsid w:val="73FC9A3F"/>
    <w:rsid w:val="751974A1"/>
    <w:rsid w:val="7576C9CC"/>
    <w:rsid w:val="758B30E4"/>
    <w:rsid w:val="75F42331"/>
    <w:rsid w:val="761F7C3C"/>
    <w:rsid w:val="76683D2A"/>
    <w:rsid w:val="76C62D9E"/>
    <w:rsid w:val="76EDDC0D"/>
    <w:rsid w:val="77CE2F69"/>
    <w:rsid w:val="77F748F0"/>
    <w:rsid w:val="77FF016E"/>
    <w:rsid w:val="78244617"/>
    <w:rsid w:val="7A923507"/>
    <w:rsid w:val="7ACB640D"/>
    <w:rsid w:val="7BAFC4E9"/>
    <w:rsid w:val="7BFF1A29"/>
    <w:rsid w:val="7C044D89"/>
    <w:rsid w:val="7C5B8E26"/>
    <w:rsid w:val="7C63442B"/>
    <w:rsid w:val="7D3AA22F"/>
    <w:rsid w:val="7DE35ECA"/>
    <w:rsid w:val="7DF6638E"/>
    <w:rsid w:val="7DFF4E2E"/>
    <w:rsid w:val="7E1A0C5A"/>
    <w:rsid w:val="7E3212D3"/>
    <w:rsid w:val="7F5F887D"/>
    <w:rsid w:val="7FCC7D05"/>
    <w:rsid w:val="7FEF42B8"/>
    <w:rsid w:val="7FFEAB68"/>
    <w:rsid w:val="8EEDA87E"/>
    <w:rsid w:val="8FFF2394"/>
    <w:rsid w:val="9FD01BC3"/>
    <w:rsid w:val="AEBA6F54"/>
    <w:rsid w:val="B3FE25BF"/>
    <w:rsid w:val="B7EFCE79"/>
    <w:rsid w:val="BE6E0F8F"/>
    <w:rsid w:val="C679D4D5"/>
    <w:rsid w:val="C74FB970"/>
    <w:rsid w:val="C7FFBBFA"/>
    <w:rsid w:val="CDEF7912"/>
    <w:rsid w:val="D3FFF2E3"/>
    <w:rsid w:val="D4B948F0"/>
    <w:rsid w:val="D7BE90C3"/>
    <w:rsid w:val="D7FFC7AC"/>
    <w:rsid w:val="DE7F8D62"/>
    <w:rsid w:val="DFFF61C4"/>
    <w:rsid w:val="E77F0587"/>
    <w:rsid w:val="EAE6DD5D"/>
    <w:rsid w:val="EB27097C"/>
    <w:rsid w:val="EECA23E9"/>
    <w:rsid w:val="EFFF85C9"/>
    <w:rsid w:val="F1C67B4E"/>
    <w:rsid w:val="F3F331A4"/>
    <w:rsid w:val="F3FF81F7"/>
    <w:rsid w:val="F67996EE"/>
    <w:rsid w:val="F7779996"/>
    <w:rsid w:val="F7FE62B6"/>
    <w:rsid w:val="F7FFBCB9"/>
    <w:rsid w:val="F8DFCE66"/>
    <w:rsid w:val="F9EDDA97"/>
    <w:rsid w:val="FA543BA3"/>
    <w:rsid w:val="FABA68FE"/>
    <w:rsid w:val="FAFCCEA4"/>
    <w:rsid w:val="FD5FEFDB"/>
    <w:rsid w:val="FD7F9463"/>
    <w:rsid w:val="FDBA1D5F"/>
    <w:rsid w:val="FDF78EC0"/>
    <w:rsid w:val="FEAED78B"/>
    <w:rsid w:val="FEEDC60F"/>
    <w:rsid w:val="FF7DBB46"/>
    <w:rsid w:val="FFDB2BA5"/>
    <w:rsid w:val="FFF7BA26"/>
    <w:rsid w:val="FFFF1F3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9"/>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30"/>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qFormat/>
    <w:uiPriority w:val="0"/>
    <w:rPr>
      <w:rFonts w:ascii="Calibri" w:hAnsi="Calibri" w:cs="黑体"/>
      <w:kern w:val="2"/>
      <w:sz w:val="18"/>
      <w:szCs w:val="18"/>
    </w:r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customStyle="1" w:styleId="25">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character" w:customStyle="1" w:styleId="26">
    <w:name w:val="标题 2 Char"/>
    <w:link w:val="3"/>
    <w:qFormat/>
    <w:uiPriority w:val="0"/>
    <w:rPr>
      <w:rFonts w:ascii="Arial" w:hAnsi="Arial" w:eastAsia="宋体"/>
      <w:b/>
      <w:sz w:val="24"/>
    </w:rPr>
  </w:style>
  <w:style w:type="character" w:customStyle="1" w:styleId="27">
    <w:name w:val="标题 1 字符"/>
    <w:link w:val="2"/>
    <w:qFormat/>
    <w:uiPriority w:val="0"/>
    <w:rPr>
      <w:rFonts w:eastAsia="宋体"/>
      <w:b/>
      <w:kern w:val="44"/>
      <w:sz w:val="44"/>
    </w:rPr>
  </w:style>
  <w:style w:type="character" w:customStyle="1" w:styleId="28">
    <w:name w:val="标题 3 Char"/>
    <w:link w:val="4"/>
    <w:qFormat/>
    <w:uiPriority w:val="0"/>
    <w:rPr>
      <w:rFonts w:hAnsi="Calibri" w:eastAsia="宋体"/>
      <w:b/>
      <w:sz w:val="24"/>
    </w:rPr>
  </w:style>
  <w:style w:type="character" w:customStyle="1" w:styleId="29">
    <w:name w:val="标题 2 字符"/>
    <w:link w:val="3"/>
    <w:uiPriority w:val="0"/>
    <w:rPr>
      <w:rFonts w:ascii="Arial" w:hAnsi="Arial" w:eastAsia="宋体"/>
      <w:b/>
      <w:sz w:val="24"/>
    </w:rPr>
  </w:style>
  <w:style w:type="character" w:customStyle="1" w:styleId="30">
    <w:name w:val="标题 3 字符"/>
    <w:link w:val="4"/>
    <w:qFormat/>
    <w:uiPriority w:val="0"/>
    <w:rPr>
      <w:rFonts w:hAnsi="Calibri" w:eastAsia="宋体"/>
      <w:b/>
      <w:sz w:val="24"/>
    </w:rPr>
  </w:style>
  <w:style w:type="table" w:customStyle="1" w:styleId="31">
    <w:name w:val="Table Normal_0"/>
    <w:unhideWhenUsed/>
    <w:qFormat/>
    <w:uiPriority w:val="0"/>
    <w:rPr>
      <w:lang w:val="en-US" w:eastAsia="zh-CN" w:bidi="ar-SA"/>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39887</Words>
  <Characters>41976</Characters>
  <Lines>1</Lines>
  <Paragraphs>1</Paragraphs>
  <TotalTime>4</TotalTime>
  <ScaleCrop>false</ScaleCrop>
  <LinksUpToDate>false</LinksUpToDate>
  <CharactersWithSpaces>42340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2014-11-10T20:08:00Z</dcterms:created>
  <dc:creator>Administrator</dc:creator>
  <cp:lastModifiedBy>hccb</cp:lastModifiedBy>
  <dcterms:modified xsi:type="dcterms:W3CDTF">2026-08-28T00:50:10Z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C24617B273588DF95BFD8B6AA4FA99F4_43</vt:lpwstr>
  </property>
  <property fmtid="{D5CDD505-2E9C-101B-9397-08002B2CF9AE}" pid="3" name="KSOProductBuildVer">
    <vt:lpwstr>2052-11.8.2.8411</vt:lpwstr>
  </property>
</Properties>
</file>