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outlineLvl w:val="0"/>
        <w:rPr>
          <w:rFonts w:hint="eastAsia"/>
          <w:b/>
          <w:sz w:val="44"/>
          <w:szCs w:val="44"/>
          <w:highlight w:val="none"/>
        </w:rPr>
      </w:pPr>
      <w:r>
        <w:rPr>
          <w:rFonts w:hint="eastAsia"/>
          <w:b/>
          <w:color w:val="000000"/>
          <w:sz w:val="44"/>
          <w:szCs w:val="44"/>
          <w:highlight w:val="none"/>
        </w:rPr>
        <w:t>杭银理财理财计划投资协议书</w:t>
      </w:r>
    </w:p>
    <w:p>
      <w:pPr>
        <w:jc w:val="center"/>
        <w:outlineLvl w:val="1"/>
        <w:rPr>
          <w:rFonts w:hint="eastAsia"/>
          <w:b/>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outlineLvl w:val="2"/>
        <w:rPr>
          <w:rFonts w:hint="eastAsia"/>
          <w:b/>
          <w:sz w:val="32"/>
          <w:szCs w:val="32"/>
          <w:highlight w:val="none"/>
        </w:rPr>
      </w:pPr>
      <w:r>
        <w:rPr>
          <w:rFonts w:hint="eastAsia" w:ascii="宋体" w:hAnsi="宋体" w:cs="宋体"/>
          <w:b/>
          <w:bCs/>
          <w:color w:val="000000"/>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color w:val="000000"/>
          <w:sz w:val="24"/>
          <w:highlight w:val="none"/>
        </w:rPr>
        <w:t>特别提示：杭银理财理财计划投资协议书与</w:t>
      </w:r>
      <w:r>
        <w:rPr>
          <w:rFonts w:hint="eastAsia"/>
          <w:b/>
          <w:bCs/>
          <w:color w:val="000000"/>
          <w:sz w:val="24"/>
          <w:highlight w:val="none"/>
          <w:lang w:eastAsia="zh-CN"/>
        </w:rPr>
        <w:t>理财计划风险揭示书、理财计划产品说明书、</w:t>
      </w:r>
      <w:r>
        <w:rPr>
          <w:rFonts w:hint="eastAsia"/>
          <w:b/>
          <w:bCs/>
          <w:color w:val="000000"/>
          <w:sz w:val="24"/>
          <w:highlight w:val="none"/>
        </w:rPr>
        <w:t>投资者权益须知</w:t>
      </w:r>
      <w:r>
        <w:rPr>
          <w:rFonts w:hint="eastAsia"/>
          <w:b/>
          <w:bCs/>
          <w:color w:val="000000"/>
          <w:sz w:val="24"/>
          <w:highlight w:val="none"/>
          <w:lang w:eastAsia="zh-CN"/>
        </w:rPr>
        <w:t>及理财计划销售协议书</w:t>
      </w:r>
      <w:r>
        <w:rPr>
          <w:rFonts w:hint="eastAsia"/>
          <w:b/>
          <w:bCs/>
          <w:color w:val="000000"/>
          <w:sz w:val="24"/>
          <w:highlight w:val="none"/>
        </w:rPr>
        <w:t>共同构成完整且不可分割的理财计划合同。杭银理财有限责任公司（以下简称“杭银理财”）建议投资者在购买理财计划前认真阅读理财计划合同，投资者签署协议书（含电子渠道签署）即知晓并同意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color w:val="000000"/>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1"/>
        </w:numPr>
        <w:spacing w:line="360" w:lineRule="auto"/>
        <w:ind w:firstLine="482" w:firstLineChars="200"/>
        <w:outlineLvl w:val="2"/>
        <w:rPr>
          <w:rFonts w:hint="eastAsia" w:ascii="宋体" w:hAnsi="宋体"/>
          <w:b/>
          <w:bCs/>
          <w:sz w:val="24"/>
          <w:highlight w:val="none"/>
        </w:rPr>
      </w:pPr>
      <w:r>
        <w:rPr>
          <w:rFonts w:hint="eastAsia"/>
          <w:b/>
          <w:bCs/>
          <w:color w:val="000000"/>
          <w:sz w:val="24"/>
          <w:highlight w:val="none"/>
        </w:rPr>
        <w:t>名词释义</w:t>
      </w:r>
    </w:p>
    <w:p>
      <w:pPr>
        <w:spacing w:line="360" w:lineRule="auto"/>
        <w:ind w:firstLine="480" w:firstLineChars="200"/>
        <w:rPr>
          <w:rFonts w:hint="eastAsia"/>
          <w:bCs/>
          <w:sz w:val="24"/>
          <w:highlight w:val="none"/>
        </w:rPr>
      </w:pPr>
      <w:r>
        <w:rPr>
          <w:rFonts w:hint="eastAsia"/>
          <w:bCs/>
          <w:color w:val="000000"/>
          <w:sz w:val="24"/>
          <w:highlight w:val="none"/>
        </w:rPr>
        <w:t>详见理财计划说明书“释义”部分。</w:t>
      </w:r>
    </w:p>
    <w:p>
      <w:pPr>
        <w:spacing w:line="360" w:lineRule="auto"/>
        <w:ind w:firstLine="480" w:firstLineChars="200"/>
        <w:rPr>
          <w:rFonts w:hint="eastAsia"/>
          <w:bCs/>
          <w:sz w:val="24"/>
          <w:highlight w:val="none"/>
        </w:rPr>
      </w:pPr>
    </w:p>
    <w:p>
      <w:pPr>
        <w:numPr>
          <w:ilvl w:val="0"/>
          <w:numId w:val="1"/>
        </w:numPr>
        <w:spacing w:line="360" w:lineRule="auto"/>
        <w:ind w:firstLine="482" w:firstLineChars="200"/>
        <w:outlineLvl w:val="2"/>
        <w:rPr>
          <w:rFonts w:hint="eastAsia"/>
          <w:b/>
          <w:sz w:val="24"/>
          <w:highlight w:val="none"/>
        </w:rPr>
      </w:pPr>
      <w:r>
        <w:rPr>
          <w:rFonts w:hint="eastAsia"/>
          <w:b/>
          <w:color w:val="000000"/>
          <w:sz w:val="24"/>
          <w:highlight w:val="none"/>
        </w:rPr>
        <w:t>投资者权利与义务</w:t>
      </w:r>
    </w:p>
    <w:p>
      <w:pPr>
        <w:widowControl/>
        <w:numPr>
          <w:ilvl w:val="0"/>
          <w:numId w:val="2"/>
        </w:numPr>
        <w:spacing w:line="360" w:lineRule="auto"/>
        <w:contextualSpacing/>
        <w:outlineLvl w:val="9"/>
        <w:rPr>
          <w:rFonts w:ascii="宋体" w:hAnsi="宋体"/>
          <w:sz w:val="24"/>
          <w:highlight w:val="none"/>
        </w:rPr>
      </w:pPr>
      <w:r>
        <w:rPr>
          <w:rFonts w:hint="eastAsia" w:ascii="宋体" w:hAnsi="宋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2"/>
        </w:numPr>
        <w:spacing w:line="360" w:lineRule="auto"/>
        <w:contextualSpacing/>
        <w:outlineLvl w:val="9"/>
        <w:rPr>
          <w:rFonts w:ascii="宋体" w:hAnsi="宋体"/>
          <w:sz w:val="24"/>
          <w:highlight w:val="none"/>
        </w:rPr>
      </w:pPr>
      <w:r>
        <w:rPr>
          <w:rFonts w:hint="eastAsia" w:ascii="宋体" w:hAnsi="宋体"/>
          <w:color w:val="000000"/>
          <w:sz w:val="24"/>
          <w:highlight w:val="none"/>
        </w:rPr>
        <w:t>投资者保证自身完全了解理财投资的性质，投资所涉及的风险以及自身风险承受能力，在慎重考虑后独立作出交易决定。</w:t>
      </w:r>
    </w:p>
    <w:p>
      <w:pPr>
        <w:widowControl/>
        <w:numPr>
          <w:ilvl w:val="0"/>
          <w:numId w:val="2"/>
        </w:numPr>
        <w:spacing w:line="360" w:lineRule="auto"/>
        <w:contextualSpacing/>
        <w:outlineLvl w:val="9"/>
        <w:rPr>
          <w:rFonts w:ascii="宋体" w:hAnsi="宋体"/>
          <w:sz w:val="24"/>
          <w:highlight w:val="none"/>
        </w:rPr>
      </w:pPr>
      <w:r>
        <w:rPr>
          <w:rFonts w:hint="eastAsia" w:ascii="宋体" w:hAnsi="宋体"/>
          <w:color w:val="000000"/>
          <w:sz w:val="24"/>
          <w:highlight w:val="none"/>
        </w:rPr>
        <w:t>投资者保证其有权利签署本协议和履行本协议所述的义务，并已为此采取一切所需的行为。</w:t>
      </w:r>
    </w:p>
    <w:p>
      <w:pPr>
        <w:widowControl/>
        <w:numPr>
          <w:ilvl w:val="0"/>
          <w:numId w:val="2"/>
        </w:numPr>
        <w:spacing w:line="360" w:lineRule="auto"/>
        <w:contextualSpacing/>
        <w:outlineLvl w:val="9"/>
        <w:rPr>
          <w:rFonts w:ascii="宋体" w:hAnsi="宋体"/>
          <w:sz w:val="24"/>
          <w:highlight w:val="none"/>
        </w:rPr>
      </w:pPr>
      <w:r>
        <w:rPr>
          <w:rFonts w:hint="eastAsia" w:ascii="宋体" w:hAnsi="宋体"/>
          <w:color w:val="000000"/>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2"/>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2"/>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2"/>
        </w:numPr>
        <w:spacing w:line="360" w:lineRule="auto"/>
        <w:contextualSpacing/>
        <w:outlineLvl w:val="9"/>
        <w:rPr>
          <w:rFonts w:ascii="宋体" w:hAnsi="宋体"/>
          <w:sz w:val="24"/>
          <w:highlight w:val="none"/>
        </w:rPr>
      </w:pPr>
      <w:r>
        <w:rPr>
          <w:rFonts w:hint="eastAsia" w:ascii="宋体" w:hAnsi="宋体"/>
          <w:color w:val="000000"/>
          <w:sz w:val="24"/>
          <w:highlight w:val="none"/>
        </w:rPr>
        <w:t>本协议终止前，投资者不得将授权指定账户销户。若发生因投资者注销授权指定账户造成理财计划无法正常兑付的，管理人不承担任何责任。</w:t>
      </w:r>
    </w:p>
    <w:p>
      <w:pPr>
        <w:widowControl/>
        <w:numPr>
          <w:ilvl w:val="0"/>
          <w:numId w:val="2"/>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2"/>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1"/>
        </w:numPr>
        <w:spacing w:line="360" w:lineRule="auto"/>
        <w:ind w:firstLine="482" w:firstLineChars="200"/>
        <w:outlineLvl w:val="2"/>
        <w:rPr>
          <w:rFonts w:hint="eastAsia"/>
          <w:b/>
          <w:sz w:val="24"/>
          <w:highlight w:val="none"/>
        </w:rPr>
      </w:pPr>
      <w:r>
        <w:rPr>
          <w:rFonts w:hint="eastAsia"/>
          <w:b/>
          <w:color w:val="000000"/>
          <w:sz w:val="24"/>
          <w:highlight w:val="none"/>
        </w:rPr>
        <w:t>管理人权利与义务</w:t>
      </w:r>
    </w:p>
    <w:p>
      <w:pPr>
        <w:widowControl/>
        <w:numPr>
          <w:ilvl w:val="0"/>
          <w:numId w:val="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管理人应当诚实守信、勤勉尽责地履行受人之托、代人理财职责。 </w:t>
      </w:r>
    </w:p>
    <w:p>
      <w:pPr>
        <w:widowControl/>
        <w:numPr>
          <w:ilvl w:val="0"/>
          <w:numId w:val="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管理人应当按照理财计划销售文件的约定收取管理费用、确定收益分配方案、向投资者分配收益。 </w:t>
      </w:r>
    </w:p>
    <w:p>
      <w:pPr>
        <w:widowControl/>
        <w:numPr>
          <w:ilvl w:val="0"/>
          <w:numId w:val="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管理人应当按照理财计划销售文件的约定履行风险揭示及信息披露义务。 </w:t>
      </w:r>
    </w:p>
    <w:p>
      <w:pPr>
        <w:widowControl/>
        <w:numPr>
          <w:ilvl w:val="0"/>
          <w:numId w:val="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管理人应当确保理财业务与其他业务相分离，理财计划之间相分离，理财业务操作与其他业务操作相分离。 </w:t>
      </w:r>
    </w:p>
    <w:p>
      <w:pPr>
        <w:widowControl/>
        <w:numPr>
          <w:ilvl w:val="0"/>
          <w:numId w:val="3"/>
        </w:numPr>
        <w:spacing w:line="360" w:lineRule="auto"/>
        <w:contextualSpacing/>
        <w:outlineLvl w:val="9"/>
        <w:rPr>
          <w:rFonts w:ascii="宋体" w:hAnsi="宋体"/>
          <w:sz w:val="24"/>
          <w:highlight w:val="none"/>
        </w:rPr>
      </w:pPr>
      <w:r>
        <w:rPr>
          <w:rFonts w:ascii="宋体" w:hAnsi="宋体"/>
          <w:color w:val="000000"/>
          <w:sz w:val="24"/>
          <w:highlight w:val="none"/>
        </w:rPr>
        <w:t>管理人不得将理财</w:t>
      </w:r>
      <w:r>
        <w:rPr>
          <w:rFonts w:hint="eastAsia" w:ascii="宋体" w:hAnsi="宋体"/>
          <w:color w:val="000000"/>
          <w:sz w:val="24"/>
          <w:highlight w:val="none"/>
        </w:rPr>
        <w:t>计划</w:t>
      </w:r>
      <w:r>
        <w:rPr>
          <w:rFonts w:ascii="宋体" w:hAnsi="宋体"/>
          <w:color w:val="000000"/>
          <w:sz w:val="24"/>
          <w:highlight w:val="none"/>
        </w:rPr>
        <w:t>财产归入其自有资产</w:t>
      </w:r>
      <w:r>
        <w:rPr>
          <w:rFonts w:hint="eastAsia" w:ascii="宋体" w:hAnsi="宋体"/>
          <w:color w:val="000000"/>
          <w:sz w:val="24"/>
          <w:highlight w:val="none"/>
        </w:rPr>
        <w:t>，</w:t>
      </w:r>
      <w:r>
        <w:rPr>
          <w:rFonts w:ascii="宋体" w:hAnsi="宋体"/>
          <w:color w:val="000000"/>
          <w:sz w:val="24"/>
          <w:highlight w:val="none"/>
        </w:rPr>
        <w:t>因依法解散</w:t>
      </w:r>
      <w:r>
        <w:rPr>
          <w:rFonts w:hint="eastAsia" w:ascii="宋体" w:hAnsi="宋体"/>
          <w:color w:val="000000"/>
          <w:sz w:val="24"/>
          <w:highlight w:val="none"/>
        </w:rPr>
        <w:t>、</w:t>
      </w:r>
      <w:r>
        <w:rPr>
          <w:rFonts w:ascii="宋体" w:hAnsi="宋体"/>
          <w:color w:val="000000"/>
          <w:sz w:val="24"/>
          <w:highlight w:val="none"/>
        </w:rPr>
        <w:t>被依法撤销或者被依法宣告破产等原因进行清算的</w:t>
      </w:r>
      <w:r>
        <w:rPr>
          <w:rFonts w:hint="eastAsia" w:ascii="宋体" w:hAnsi="宋体"/>
          <w:color w:val="000000"/>
          <w:sz w:val="24"/>
          <w:highlight w:val="none"/>
        </w:rPr>
        <w:t>，</w:t>
      </w:r>
      <w:r>
        <w:rPr>
          <w:rFonts w:ascii="宋体" w:hAnsi="宋体"/>
          <w:color w:val="000000"/>
          <w:sz w:val="24"/>
          <w:highlight w:val="none"/>
        </w:rPr>
        <w:t>理财</w:t>
      </w:r>
      <w:r>
        <w:rPr>
          <w:rFonts w:hint="eastAsia" w:ascii="宋体" w:hAnsi="宋体"/>
          <w:color w:val="000000"/>
          <w:sz w:val="24"/>
          <w:highlight w:val="none"/>
        </w:rPr>
        <w:t>计划</w:t>
      </w:r>
      <w:r>
        <w:rPr>
          <w:rFonts w:ascii="宋体" w:hAnsi="宋体"/>
          <w:color w:val="000000"/>
          <w:sz w:val="24"/>
          <w:highlight w:val="none"/>
        </w:rPr>
        <w:t>财产不属于其清算财产</w:t>
      </w:r>
      <w:r>
        <w:rPr>
          <w:rFonts w:hint="eastAsia" w:ascii="宋体" w:hAnsi="宋体"/>
          <w:color w:val="000000"/>
          <w:sz w:val="24"/>
          <w:highlight w:val="none"/>
        </w:rPr>
        <w:t>。</w:t>
      </w:r>
    </w:p>
    <w:p>
      <w:pPr>
        <w:widowControl/>
        <w:numPr>
          <w:ilvl w:val="0"/>
          <w:numId w:val="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3"/>
        </w:numPr>
        <w:spacing w:line="360" w:lineRule="auto"/>
        <w:contextualSpacing/>
        <w:outlineLvl w:val="9"/>
        <w:rPr>
          <w:rFonts w:ascii="宋体" w:hAnsi="宋体"/>
          <w:sz w:val="24"/>
          <w:highlight w:val="none"/>
        </w:rPr>
      </w:pPr>
      <w:r>
        <w:rPr>
          <w:rFonts w:hint="eastAsia" w:ascii="宋体" w:hAnsi="宋体"/>
          <w:color w:val="000000"/>
          <w:sz w:val="24"/>
          <w:highlight w:val="none"/>
        </w:rPr>
        <w:t>管理人应就理财计划销售过程中获知的投资者信息、风险承受能力评估结果、适当性匹配情况等承担保密义务。</w:t>
      </w:r>
      <w:r>
        <w:rPr>
          <w:rFonts w:hint="eastAsia" w:ascii="宋体" w:hAnsi="宋体" w:cs="宋体"/>
          <w:bCs/>
          <w:color w:val="000000"/>
          <w:sz w:val="24"/>
          <w:highlight w:val="none"/>
        </w:rPr>
        <w:t>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管理人在此特别披露：若理财计划管理人的关联方担任理财计划的代销机构、托管人、合作机构的，理财计划管理人将按照法律法规和监管要求履行相应程序，投资者认购或申购理财计划即知晓并同意该等安排。 </w:t>
      </w:r>
    </w:p>
    <w:p>
      <w:pPr>
        <w:spacing w:line="360" w:lineRule="auto"/>
        <w:rPr>
          <w:b/>
          <w:sz w:val="24"/>
          <w:highlight w:val="none"/>
        </w:rPr>
      </w:pPr>
    </w:p>
    <w:p>
      <w:pPr>
        <w:numPr>
          <w:ilvl w:val="0"/>
          <w:numId w:val="1"/>
        </w:numPr>
        <w:spacing w:line="360" w:lineRule="auto"/>
        <w:ind w:firstLine="482" w:firstLineChars="200"/>
        <w:outlineLvl w:val="2"/>
        <w:rPr>
          <w:rFonts w:hint="eastAsia"/>
          <w:b/>
          <w:sz w:val="24"/>
          <w:highlight w:val="none"/>
        </w:rPr>
      </w:pPr>
      <w:r>
        <w:rPr>
          <w:rFonts w:hint="eastAsia"/>
          <w:b/>
          <w:color w:val="000000"/>
          <w:sz w:val="24"/>
          <w:highlight w:val="none"/>
        </w:rPr>
        <w:t>理财计划认（申）购、赎回及终止</w:t>
      </w:r>
    </w:p>
    <w:p>
      <w:pPr>
        <w:widowControl/>
        <w:numPr>
          <w:ilvl w:val="0"/>
          <w:numId w:val="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理财计划认/申购办理流程：参照《投资者权益须知》约定。 </w:t>
      </w:r>
    </w:p>
    <w:p>
      <w:pPr>
        <w:widowControl/>
        <w:numPr>
          <w:ilvl w:val="0"/>
          <w:numId w:val="4"/>
        </w:numPr>
        <w:spacing w:line="360" w:lineRule="auto"/>
        <w:contextualSpacing/>
        <w:outlineLvl w:val="9"/>
        <w:rPr>
          <w:rFonts w:ascii="宋体" w:hAnsi="宋体"/>
          <w:sz w:val="24"/>
          <w:highlight w:val="none"/>
        </w:rPr>
      </w:pPr>
      <w:r>
        <w:rPr>
          <w:rFonts w:hint="eastAsia" w:ascii="宋体" w:hAnsi="宋体"/>
          <w:color w:val="000000"/>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4"/>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 xml:space="preserve">理财计划投资品种、投资起点金额、收益支付方式：参照对应期次的《理财计划产品说明书》中的条款约定。 </w:t>
      </w:r>
    </w:p>
    <w:p>
      <w:pPr>
        <w:widowControl/>
        <w:numPr>
          <w:ilvl w:val="0"/>
          <w:numId w:val="4"/>
        </w:numPr>
        <w:spacing w:line="360" w:lineRule="auto"/>
        <w:contextualSpacing/>
        <w:outlineLvl w:val="9"/>
        <w:rPr>
          <w:rFonts w:ascii="宋体" w:hAnsi="宋体"/>
          <w:sz w:val="24"/>
          <w:highlight w:val="none"/>
        </w:rPr>
      </w:pPr>
      <w:r>
        <w:rPr>
          <w:rFonts w:hint="eastAsia" w:ascii="宋体" w:hAnsi="宋体"/>
          <w:color w:val="000000"/>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4"/>
        </w:numPr>
        <w:spacing w:line="360" w:lineRule="auto"/>
        <w:contextualSpacing/>
        <w:outlineLvl w:val="9"/>
        <w:rPr>
          <w:rFonts w:ascii="宋体" w:hAnsi="宋体"/>
          <w:sz w:val="24"/>
          <w:highlight w:val="none"/>
        </w:rPr>
      </w:pPr>
      <w:r>
        <w:rPr>
          <w:rFonts w:hint="eastAsia" w:ascii="宋体" w:hAnsi="宋体"/>
          <w:color w:val="000000"/>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1"/>
        </w:numPr>
        <w:spacing w:line="360" w:lineRule="auto"/>
        <w:ind w:firstLine="482" w:firstLineChars="200"/>
        <w:outlineLvl w:val="2"/>
        <w:rPr>
          <w:rFonts w:hint="eastAsia"/>
          <w:b/>
          <w:sz w:val="24"/>
          <w:highlight w:val="none"/>
        </w:rPr>
      </w:pPr>
      <w:r>
        <w:rPr>
          <w:rFonts w:hint="eastAsia"/>
          <w:b/>
          <w:color w:val="000000"/>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color w:val="000000"/>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1"/>
        </w:numPr>
        <w:spacing w:line="360" w:lineRule="auto"/>
        <w:ind w:firstLine="482" w:firstLineChars="200"/>
        <w:outlineLvl w:val="2"/>
        <w:rPr>
          <w:rFonts w:hint="eastAsia"/>
          <w:b/>
          <w:sz w:val="24"/>
          <w:highlight w:val="none"/>
        </w:rPr>
      </w:pPr>
      <w:r>
        <w:rPr>
          <w:rFonts w:hint="eastAsia"/>
          <w:b/>
          <w:color w:val="000000"/>
          <w:sz w:val="24"/>
          <w:highlight w:val="none"/>
        </w:rPr>
        <w:t>违约责任及免责条款</w:t>
      </w:r>
    </w:p>
    <w:p>
      <w:pPr>
        <w:widowControl/>
        <w:numPr>
          <w:ilvl w:val="0"/>
          <w:numId w:val="5"/>
        </w:numPr>
        <w:spacing w:line="360" w:lineRule="auto"/>
        <w:contextualSpacing/>
        <w:outlineLvl w:val="9"/>
        <w:rPr>
          <w:rFonts w:ascii="宋体" w:hAnsi="宋体"/>
          <w:sz w:val="24"/>
          <w:highlight w:val="none"/>
        </w:rPr>
      </w:pPr>
      <w:r>
        <w:rPr>
          <w:rFonts w:hint="eastAsia" w:ascii="宋体" w:hAnsi="宋体"/>
          <w:color w:val="000000"/>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color w:val="000000"/>
          <w:sz w:val="24"/>
          <w:highlight w:val="none"/>
          <w:lang w:eastAsia="zh-CN"/>
        </w:rPr>
        <w:t>赎回</w:t>
      </w:r>
      <w:r>
        <w:rPr>
          <w:rFonts w:hint="eastAsia" w:ascii="宋体" w:hAnsi="宋体"/>
          <w:color w:val="000000"/>
          <w:sz w:val="24"/>
          <w:highlight w:val="none"/>
        </w:rPr>
        <w:t>，本合同自动终止。因提前终止而产生的损失及相关费用由投资者承担。本合同前述情况终止的，理财本金不计付</w:t>
      </w:r>
      <w:r>
        <w:rPr>
          <w:rFonts w:hint="eastAsia" w:ascii="宋体" w:hAnsi="宋体"/>
          <w:color w:val="000000"/>
          <w:sz w:val="24"/>
          <w:highlight w:val="none"/>
          <w:lang w:eastAsia="zh-CN"/>
        </w:rPr>
        <w:t>赎回</w:t>
      </w:r>
      <w:r>
        <w:rPr>
          <w:rFonts w:hint="eastAsia" w:ascii="宋体" w:hAnsi="宋体"/>
          <w:color w:val="000000"/>
          <w:sz w:val="24"/>
          <w:highlight w:val="none"/>
        </w:rPr>
        <w:t>日前的理财收益，也不计付存款利息。</w:t>
      </w:r>
    </w:p>
    <w:p>
      <w:pPr>
        <w:widowControl/>
        <w:numPr>
          <w:ilvl w:val="0"/>
          <w:numId w:val="5"/>
        </w:numPr>
        <w:spacing w:line="360" w:lineRule="auto"/>
        <w:contextualSpacing/>
        <w:outlineLvl w:val="9"/>
        <w:rPr>
          <w:rFonts w:ascii="宋体" w:hAnsi="宋体"/>
          <w:sz w:val="24"/>
          <w:highlight w:val="none"/>
        </w:rPr>
      </w:pPr>
      <w:r>
        <w:rPr>
          <w:rFonts w:hint="eastAsia" w:ascii="宋体" w:hAnsi="宋体"/>
          <w:color w:val="000000"/>
          <w:sz w:val="24"/>
          <w:highlight w:val="none"/>
        </w:rPr>
        <w:t>投资者违反本协议第二条内容，应承担相应违约责任。管理人对由此导致的理财业务交易延误、中断、终止及投资人损失不承担任何责任，并有权终止双方理财业务关系。因投资人违反双方约定解除本协议给管理人或全体投资者造成损失的，投资人应承担相应的赔偿责任。</w:t>
      </w:r>
    </w:p>
    <w:p>
      <w:pPr>
        <w:widowControl/>
        <w:numPr>
          <w:ilvl w:val="0"/>
          <w:numId w:val="5"/>
        </w:numPr>
        <w:spacing w:line="360" w:lineRule="auto"/>
        <w:contextualSpacing/>
        <w:outlineLvl w:val="9"/>
        <w:rPr>
          <w:rFonts w:ascii="宋体" w:hAnsi="宋体"/>
          <w:sz w:val="24"/>
          <w:highlight w:val="none"/>
        </w:rPr>
      </w:pPr>
      <w:r>
        <w:rPr>
          <w:rFonts w:hint="eastAsia" w:ascii="宋体" w:hAnsi="宋体"/>
          <w:color w:val="000000"/>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5"/>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5"/>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因国家有关法律、法规、规章、政策的修改或新的法律、法规、规章、政策颁布以及紧急措施的出台导致的风险及损失，管理人不承担责任。</w:t>
      </w:r>
    </w:p>
    <w:p>
      <w:pPr>
        <w:widowControl/>
        <w:numPr>
          <w:ilvl w:val="0"/>
          <w:numId w:val="5"/>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管理人若严格按照产品说明书相关规定并勤勉尽责进行投资运作，因市场波动、资产风险事件等非因管理人违反法律法规、监管规定或理财计划合同约定的原因给投资者造成损失的，管理人不承担相应赔偿责任；但管理人存在故意或者重大过失的除外。</w:t>
      </w:r>
    </w:p>
    <w:p>
      <w:pPr>
        <w:widowControl/>
        <w:spacing w:line="360" w:lineRule="auto"/>
        <w:contextualSpacing/>
        <w:rPr>
          <w:rFonts w:ascii="宋体" w:hAnsi="宋体"/>
          <w:sz w:val="24"/>
          <w:highlight w:val="none"/>
        </w:rPr>
      </w:pPr>
    </w:p>
    <w:p>
      <w:pPr>
        <w:numPr>
          <w:ilvl w:val="0"/>
          <w:numId w:val="1"/>
        </w:numPr>
        <w:spacing w:line="360" w:lineRule="auto"/>
        <w:ind w:firstLine="482" w:firstLineChars="200"/>
        <w:outlineLvl w:val="2"/>
        <w:rPr>
          <w:b/>
          <w:sz w:val="24"/>
          <w:highlight w:val="none"/>
        </w:rPr>
      </w:pPr>
      <w:r>
        <w:rPr>
          <w:rFonts w:hint="eastAsia"/>
          <w:b/>
          <w:color w:val="000000"/>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color w:val="000000"/>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color w:val="000000"/>
          <w:sz w:val="24"/>
          <w:highlight w:val="none"/>
        </w:rPr>
        <w:t>的法律和行政法规。本合同项下的及与之有关的一切争议，投资者与管理人双方应首先协商解决，协商不成的，任何一方均有权向被告住所地有管辖权的人民法院提起诉讼。诉讼期间，未涉及争议的条款仍需继续履行。</w:t>
      </w:r>
    </w:p>
    <w:p>
      <w:pPr>
        <w:spacing w:line="360" w:lineRule="auto"/>
        <w:ind w:left="482"/>
        <w:rPr>
          <w:b/>
          <w:sz w:val="24"/>
          <w:highlight w:val="none"/>
        </w:rPr>
      </w:pPr>
    </w:p>
    <w:p>
      <w:pPr>
        <w:numPr>
          <w:ilvl w:val="0"/>
          <w:numId w:val="1"/>
        </w:numPr>
        <w:spacing w:line="360" w:lineRule="auto"/>
        <w:ind w:firstLine="482" w:firstLineChars="200"/>
        <w:outlineLvl w:val="2"/>
        <w:rPr>
          <w:rFonts w:hint="eastAsia"/>
          <w:b/>
          <w:sz w:val="24"/>
          <w:highlight w:val="none"/>
        </w:rPr>
      </w:pPr>
      <w:r>
        <w:rPr>
          <w:rFonts w:hint="eastAsia"/>
          <w:b/>
          <w:color w:val="000000"/>
          <w:sz w:val="24"/>
          <w:highlight w:val="none"/>
        </w:rPr>
        <w:t>协议生效和终止</w:t>
      </w:r>
    </w:p>
    <w:p>
      <w:pPr>
        <w:widowControl/>
        <w:numPr>
          <w:ilvl w:val="0"/>
          <w:numId w:val="6"/>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投资者和管理人双方认可本协议可以纸质或电子数据等形式提交、订立或确认。 </w:t>
      </w:r>
    </w:p>
    <w:p>
      <w:pPr>
        <w:widowControl/>
        <w:numPr>
          <w:ilvl w:val="0"/>
          <w:numId w:val="6"/>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本协议书以纸质书面形式订立的，自投资者</w:t>
      </w:r>
      <w:r>
        <w:rPr>
          <w:rFonts w:hint="eastAsia" w:ascii="宋体" w:hAnsi="宋体"/>
          <w:color w:val="000000"/>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color w:val="000000"/>
          <w:sz w:val="24"/>
          <w:highlight w:val="none"/>
        </w:rPr>
        <w:t>之后立即生效。协议一式</w:t>
      </w:r>
      <w:r>
        <w:rPr>
          <w:rFonts w:hint="eastAsia" w:ascii="宋体" w:hAnsi="宋体"/>
          <w:color w:val="000000"/>
          <w:sz w:val="24"/>
          <w:highlight w:val="none"/>
          <w:lang w:eastAsia="zh-CN"/>
        </w:rPr>
        <w:t>贰</w:t>
      </w:r>
      <w:r>
        <w:rPr>
          <w:rFonts w:hint="eastAsia" w:ascii="宋体" w:hAnsi="宋体"/>
          <w:color w:val="000000"/>
          <w:sz w:val="24"/>
          <w:highlight w:val="none"/>
        </w:rPr>
        <w:t>份，投资者和管理人双方各执</w:t>
      </w:r>
      <w:r>
        <w:rPr>
          <w:rFonts w:hint="eastAsia" w:ascii="宋体" w:hAnsi="宋体"/>
          <w:color w:val="000000"/>
          <w:sz w:val="24"/>
          <w:highlight w:val="none"/>
          <w:lang w:eastAsia="zh-CN"/>
        </w:rPr>
        <w:t>壹</w:t>
      </w:r>
      <w:r>
        <w:rPr>
          <w:rFonts w:hint="eastAsia" w:ascii="宋体" w:hAnsi="宋体"/>
          <w:color w:val="000000"/>
          <w:sz w:val="24"/>
          <w:highlight w:val="none"/>
        </w:rPr>
        <w:t xml:space="preserve">份，具有同等法律效力。 </w:t>
      </w:r>
    </w:p>
    <w:p>
      <w:pPr>
        <w:widowControl/>
        <w:numPr>
          <w:ilvl w:val="0"/>
          <w:numId w:val="6"/>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1"/>
        </w:numPr>
        <w:spacing w:line="360" w:lineRule="auto"/>
        <w:ind w:firstLine="482" w:firstLineChars="200"/>
        <w:outlineLvl w:val="2"/>
        <w:rPr>
          <w:b/>
          <w:sz w:val="24"/>
          <w:highlight w:val="none"/>
        </w:rPr>
      </w:pPr>
      <w:r>
        <w:rPr>
          <w:rFonts w:hint="eastAsia"/>
          <w:b/>
          <w:color w:val="000000"/>
          <w:sz w:val="24"/>
          <w:highlight w:val="none"/>
        </w:rPr>
        <w:t>附则</w:t>
      </w:r>
    </w:p>
    <w:p>
      <w:pPr>
        <w:widowControl/>
        <w:numPr>
          <w:ilvl w:val="0"/>
          <w:numId w:val="7"/>
        </w:numPr>
        <w:spacing w:line="360" w:lineRule="auto"/>
        <w:contextualSpacing/>
        <w:outlineLvl w:val="9"/>
        <w:rPr>
          <w:rFonts w:ascii="宋体" w:hAnsi="宋体"/>
          <w:sz w:val="24"/>
          <w:highlight w:val="none"/>
        </w:rPr>
      </w:pPr>
      <w:r>
        <w:rPr>
          <w:rFonts w:hint="eastAsia" w:ascii="宋体" w:hAnsi="宋体"/>
          <w:color w:val="000000"/>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7"/>
        </w:numPr>
        <w:spacing w:line="360" w:lineRule="auto"/>
        <w:contextualSpacing/>
        <w:outlineLvl w:val="9"/>
        <w:rPr>
          <w:rFonts w:ascii="宋体" w:hAnsi="宋体"/>
          <w:sz w:val="24"/>
          <w:highlight w:val="none"/>
        </w:rPr>
      </w:pPr>
      <w:r>
        <w:rPr>
          <w:rFonts w:hint="eastAsia" w:ascii="宋体" w:hAnsi="宋体"/>
          <w:color w:val="000000"/>
          <w:sz w:val="24"/>
          <w:highlight w:val="none"/>
        </w:rPr>
        <w:t>如果由于任何原因使本合同下的任何条款或内容成为无效或被依法撤销，本合同其他条款或内容的合法性、有效性和可执行性不受影响。</w:t>
      </w:r>
    </w:p>
    <w:p>
      <w:pPr>
        <w:widowControl/>
        <w:numPr>
          <w:ilvl w:val="0"/>
          <w:numId w:val="7"/>
        </w:numPr>
        <w:spacing w:line="360" w:lineRule="auto"/>
        <w:contextualSpacing/>
        <w:outlineLvl w:val="9"/>
        <w:rPr>
          <w:rFonts w:ascii="宋体" w:hAnsi="宋体"/>
          <w:sz w:val="24"/>
          <w:highlight w:val="none"/>
        </w:rPr>
      </w:pPr>
      <w:r>
        <w:rPr>
          <w:rFonts w:hint="eastAsia" w:ascii="宋体" w:hAnsi="宋体"/>
          <w:color w:val="000000"/>
          <w:sz w:val="24"/>
          <w:highlight w:val="none"/>
        </w:rPr>
        <w:t>在理财计划存续期内，如因监管政策或法律法规发生变化，在不损害投资者利益的前提下，管理人有权对理财计划合同进行修订。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9"/>
        <w:widowControl/>
        <w:spacing w:line="360" w:lineRule="auto"/>
        <w:jc w:val="right"/>
        <w:rPr>
          <w:rFonts w:ascii="宋体" w:hAnsi="宋体" w:cs="宋体"/>
          <w:bCs/>
          <w:color w:val="000000"/>
          <w:sz w:val="24"/>
          <w:highlight w:val="none"/>
        </w:rPr>
      </w:pPr>
      <w:r>
        <w:rPr>
          <w:rFonts w:hint="eastAsia" w:ascii="宋体" w:hAnsi="宋体" w:cs="宋体"/>
          <w:color w:val="000000"/>
          <w:kern w:val="0"/>
          <w:highlight w:val="none"/>
        </w:rPr>
        <w:t>杭银理财有限责任公司</w:t>
      </w:r>
    </w:p>
    <w:p>
      <w:pPr>
        <w:pageBreakBefore/>
        <w:widowControl/>
        <w:spacing w:line="360" w:lineRule="auto"/>
        <w:rPr>
          <w:rFonts w:ascii="宋体" w:hAnsi="宋体"/>
          <w:sz w:val="24"/>
          <w:highlight w:val="none"/>
        </w:rPr>
      </w:pPr>
      <w:r>
        <w:rPr>
          <w:rFonts w:hint="eastAsia" w:ascii="宋体" w:hAnsi="宋体"/>
          <w:color w:val="000000"/>
          <w:sz w:val="24"/>
          <w:highlight w:val="none"/>
        </w:rPr>
        <w:t>本页为纸质形式（如有）</w:t>
      </w:r>
      <w:r>
        <w:rPr>
          <w:rFonts w:hint="eastAsia" w:ascii="宋体" w:hAnsi="宋体"/>
          <w:color w:val="000000"/>
          <w:sz w:val="24"/>
          <w:highlight w:val="none"/>
          <w:lang w:val="en-US" w:eastAsia="zh-CN"/>
        </w:rPr>
        <w:t>投资</w:t>
      </w:r>
      <w:r>
        <w:rPr>
          <w:rFonts w:hint="eastAsia" w:ascii="宋体" w:hAnsi="宋体"/>
          <w:color w:val="000000"/>
          <w:sz w:val="24"/>
          <w:highlight w:val="none"/>
        </w:rPr>
        <w:t>协议书签章页</w:t>
      </w: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rFonts w:hint="eastAsia" w:ascii="宋体" w:hAnsi="宋体"/>
          <w:b/>
          <w:bCs/>
          <w:sz w:val="24"/>
          <w:highlight w:val="none"/>
        </w:rPr>
      </w:pPr>
      <w:r>
        <w:rPr>
          <w:rFonts w:hint="eastAsia" w:ascii="宋体" w:hAnsi="宋体"/>
          <w:b/>
          <w:bCs/>
          <w:color w:val="000000"/>
          <w:sz w:val="24"/>
          <w:highlight w:val="none"/>
        </w:rPr>
        <w:t>投资者（签字</w:t>
      </w:r>
      <w:r>
        <w:rPr>
          <w:rFonts w:hint="eastAsia" w:ascii="宋体" w:hAnsi="宋体" w:eastAsia="宋体" w:cs="黑体"/>
          <w:b/>
          <w:bCs/>
          <w:color w:val="000000"/>
          <w:sz w:val="24"/>
          <w:highlight w:val="none"/>
          <w:lang w:eastAsia="zh-CN"/>
        </w:rPr>
        <w:t>或签章</w:t>
      </w:r>
      <w:r>
        <w:rPr>
          <w:rFonts w:hint="eastAsia" w:ascii="宋体" w:hAnsi="宋体"/>
          <w:b/>
          <w:bCs/>
          <w:color w:val="000000"/>
          <w:sz w:val="24"/>
          <w:highlight w:val="none"/>
        </w:rPr>
        <w:t>）：</w:t>
      </w:r>
    </w:p>
    <w:p>
      <w:pPr>
        <w:spacing w:line="360" w:lineRule="auto"/>
        <w:rPr>
          <w:rFonts w:hint="eastAsia" w:ascii="宋体" w:hAnsi="宋体"/>
          <w:b/>
          <w:bCs/>
          <w:sz w:val="24"/>
          <w:highlight w:val="none"/>
        </w:rPr>
      </w:pPr>
    </w:p>
    <w:p>
      <w:pPr>
        <w:spacing w:line="360" w:lineRule="auto"/>
        <w:rPr>
          <w:rFonts w:hint="eastAsia" w:ascii="宋体" w:hAnsi="宋体"/>
          <w:b/>
          <w:bCs/>
          <w:sz w:val="24"/>
          <w:highlight w:val="none"/>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color w:val="000000"/>
          <w:sz w:val="24"/>
          <w:highlight w:val="none"/>
        </w:rPr>
        <w:t xml:space="preserve">   年   月   日</w:t>
      </w: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both"/>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spacing w:line="360" w:lineRule="auto"/>
        <w:rPr>
          <w:rFonts w:ascii="宋体" w:hAnsi="宋体" w:cs="宋体"/>
          <w:bCs/>
          <w:color w:val="000000"/>
          <w:sz w:val="24"/>
        </w:rPr>
      </w:pPr>
    </w:p>
    <w:p>
      <w:pPr>
        <w:rPr>
          <w:rFonts w:ascii="宋体" w:hAnsi="宋体" w:cs="宋体"/>
          <w:bCs/>
          <w:color w:val="000000"/>
          <w:sz w:val="24"/>
          <w:highlight w:val="none"/>
        </w:rPr>
      </w:pPr>
      <w:bookmarkStart w:id="0" w:name="_GoBack"/>
      <w:bookmarkEnd w:id="0"/>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8226EF"/>
    <w:multiLevelType w:val="singleLevel"/>
    <w:tmpl w:val="B08226EF"/>
    <w:lvl w:ilvl="0" w:tentative="0">
      <w:start w:val="1"/>
      <w:numFmt w:val="chineseCounting"/>
      <w:suff w:val="space"/>
      <w:lvlText w:val="第%1条"/>
      <w:lvlJc w:val="left"/>
      <w:rPr>
        <w:rFonts w:hint="eastAsia"/>
        <w:color w:val="000000"/>
      </w:rPr>
    </w:lvl>
  </w:abstractNum>
  <w:abstractNum w:abstractNumId="1">
    <w:nsid w:val="60C0383C"/>
    <w:multiLevelType w:val="singleLevel"/>
    <w:tmpl w:val="60C0383C"/>
    <w:lvl w:ilvl="0" w:tentative="0">
      <w:start w:val="1"/>
      <w:numFmt w:val="chineseCounting"/>
      <w:suff w:val="nothing"/>
      <w:lvlText w:val="（%1）"/>
      <w:lvlJc w:val="left"/>
      <w:pPr>
        <w:ind w:left="0" w:firstLine="420"/>
      </w:pPr>
      <w:rPr>
        <w:rFonts w:hint="eastAsia"/>
        <w:color w:val="000000"/>
      </w:rPr>
    </w:lvl>
  </w:abstractNum>
  <w:abstractNum w:abstractNumId="2">
    <w:nsid w:val="60C03881"/>
    <w:multiLevelType w:val="singleLevel"/>
    <w:tmpl w:val="60C03881"/>
    <w:lvl w:ilvl="0" w:tentative="0">
      <w:start w:val="1"/>
      <w:numFmt w:val="chineseCounting"/>
      <w:suff w:val="nothing"/>
      <w:lvlText w:val="（%1）"/>
      <w:lvlJc w:val="left"/>
      <w:pPr>
        <w:ind w:left="0" w:firstLine="420"/>
      </w:pPr>
      <w:rPr>
        <w:rFonts w:hint="eastAsia"/>
        <w:color w:val="000000"/>
      </w:rPr>
    </w:lvl>
  </w:abstractNum>
  <w:abstractNum w:abstractNumId="3">
    <w:nsid w:val="60C038C0"/>
    <w:multiLevelType w:val="singleLevel"/>
    <w:tmpl w:val="60C038C0"/>
    <w:lvl w:ilvl="0" w:tentative="0">
      <w:start w:val="1"/>
      <w:numFmt w:val="chineseCounting"/>
      <w:suff w:val="nothing"/>
      <w:lvlText w:val="（%1）"/>
      <w:lvlJc w:val="left"/>
      <w:pPr>
        <w:ind w:left="0" w:firstLine="420"/>
      </w:pPr>
      <w:rPr>
        <w:rFonts w:hint="eastAsia"/>
        <w:color w:val="000000"/>
      </w:rPr>
    </w:lvl>
  </w:abstractNum>
  <w:abstractNum w:abstractNumId="4">
    <w:nsid w:val="60C038EA"/>
    <w:multiLevelType w:val="singleLevel"/>
    <w:tmpl w:val="60C038EA"/>
    <w:lvl w:ilvl="0" w:tentative="0">
      <w:start w:val="1"/>
      <w:numFmt w:val="chineseCounting"/>
      <w:suff w:val="nothing"/>
      <w:lvlText w:val="（%1）"/>
      <w:lvlJc w:val="left"/>
      <w:pPr>
        <w:ind w:left="0" w:firstLine="420"/>
      </w:pPr>
      <w:rPr>
        <w:rFonts w:hint="eastAsia"/>
        <w:color w:val="000000"/>
      </w:rPr>
    </w:lvl>
  </w:abstractNum>
  <w:abstractNum w:abstractNumId="5">
    <w:nsid w:val="60C03912"/>
    <w:multiLevelType w:val="singleLevel"/>
    <w:tmpl w:val="60C03912"/>
    <w:lvl w:ilvl="0" w:tentative="0">
      <w:start w:val="1"/>
      <w:numFmt w:val="chineseCounting"/>
      <w:suff w:val="nothing"/>
      <w:lvlText w:val="（%1）"/>
      <w:lvlJc w:val="left"/>
      <w:pPr>
        <w:ind w:left="0" w:firstLine="420"/>
      </w:pPr>
      <w:rPr>
        <w:rFonts w:hint="eastAsia"/>
        <w:color w:val="000000"/>
      </w:rPr>
    </w:lvl>
  </w:abstractNum>
  <w:abstractNum w:abstractNumId="6">
    <w:nsid w:val="60C03933"/>
    <w:multiLevelType w:val="singleLevel"/>
    <w:tmpl w:val="60C03933"/>
    <w:lvl w:ilvl="0" w:tentative="0">
      <w:start w:val="1"/>
      <w:numFmt w:val="chineseCounting"/>
      <w:suff w:val="nothing"/>
      <w:lvlText w:val="（%1）"/>
      <w:lvlJc w:val="left"/>
      <w:pPr>
        <w:ind w:left="0" w:firstLine="420"/>
      </w:pPr>
      <w:rPr>
        <w:rFonts w:hint="eastAsia"/>
        <w:color w:val="00000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0E7438BB"/>
    <w:rsid w:val="10E7747B"/>
    <w:rsid w:val="10F25E29"/>
    <w:rsid w:val="11FA0C01"/>
    <w:rsid w:val="128B25FE"/>
    <w:rsid w:val="12DA17D8"/>
    <w:rsid w:val="15862C7E"/>
    <w:rsid w:val="15FD05B8"/>
    <w:rsid w:val="164976A9"/>
    <w:rsid w:val="178D1D7E"/>
    <w:rsid w:val="17EA7887"/>
    <w:rsid w:val="18321B09"/>
    <w:rsid w:val="18616AA2"/>
    <w:rsid w:val="191F0F43"/>
    <w:rsid w:val="197D2A54"/>
    <w:rsid w:val="19E235E1"/>
    <w:rsid w:val="1A7E4CCF"/>
    <w:rsid w:val="1BCD72C9"/>
    <w:rsid w:val="1BFB7C22"/>
    <w:rsid w:val="1C09008C"/>
    <w:rsid w:val="1D0817CE"/>
    <w:rsid w:val="1E635082"/>
    <w:rsid w:val="1F0F7AA5"/>
    <w:rsid w:val="1F962D64"/>
    <w:rsid w:val="1FFE508D"/>
    <w:rsid w:val="213B4CFA"/>
    <w:rsid w:val="21527232"/>
    <w:rsid w:val="21575C30"/>
    <w:rsid w:val="21B70797"/>
    <w:rsid w:val="21F67436"/>
    <w:rsid w:val="220D70EF"/>
    <w:rsid w:val="23D7DA24"/>
    <w:rsid w:val="24885625"/>
    <w:rsid w:val="24A063EA"/>
    <w:rsid w:val="24C8157C"/>
    <w:rsid w:val="255170B3"/>
    <w:rsid w:val="25BD3406"/>
    <w:rsid w:val="260415D7"/>
    <w:rsid w:val="26896537"/>
    <w:rsid w:val="27DB5649"/>
    <w:rsid w:val="284E53B8"/>
    <w:rsid w:val="28F73A05"/>
    <w:rsid w:val="29E223F6"/>
    <w:rsid w:val="2A7A79DE"/>
    <w:rsid w:val="2B5C1F0C"/>
    <w:rsid w:val="2BD054E2"/>
    <w:rsid w:val="2EAD6691"/>
    <w:rsid w:val="2F0D25D9"/>
    <w:rsid w:val="2F11F692"/>
    <w:rsid w:val="3086176D"/>
    <w:rsid w:val="31124CF4"/>
    <w:rsid w:val="31A3269E"/>
    <w:rsid w:val="322D08A3"/>
    <w:rsid w:val="32626F15"/>
    <w:rsid w:val="329E36D6"/>
    <w:rsid w:val="34105616"/>
    <w:rsid w:val="3486580A"/>
    <w:rsid w:val="34A35A92"/>
    <w:rsid w:val="34A453A9"/>
    <w:rsid w:val="34EC3C25"/>
    <w:rsid w:val="351A5D92"/>
    <w:rsid w:val="35AA025C"/>
    <w:rsid w:val="35CA7D73"/>
    <w:rsid w:val="377307FA"/>
    <w:rsid w:val="3B1C12F3"/>
    <w:rsid w:val="3B7F74DF"/>
    <w:rsid w:val="3BD53B5C"/>
    <w:rsid w:val="3BFDBE8B"/>
    <w:rsid w:val="3CC57F13"/>
    <w:rsid w:val="3D4C282D"/>
    <w:rsid w:val="3D970F4E"/>
    <w:rsid w:val="3DE106C6"/>
    <w:rsid w:val="3E540971"/>
    <w:rsid w:val="3E786275"/>
    <w:rsid w:val="3E931F0D"/>
    <w:rsid w:val="3EF7009B"/>
    <w:rsid w:val="3F7E2660"/>
    <w:rsid w:val="3F7F862F"/>
    <w:rsid w:val="3FA31FDD"/>
    <w:rsid w:val="3FC253CD"/>
    <w:rsid w:val="3FFA261A"/>
    <w:rsid w:val="3FFFA04D"/>
    <w:rsid w:val="40A430BB"/>
    <w:rsid w:val="40E135DA"/>
    <w:rsid w:val="40FB25F3"/>
    <w:rsid w:val="41F528C8"/>
    <w:rsid w:val="427C1487"/>
    <w:rsid w:val="42FA026B"/>
    <w:rsid w:val="43C800C0"/>
    <w:rsid w:val="444440BE"/>
    <w:rsid w:val="44AC49CD"/>
    <w:rsid w:val="44B91F56"/>
    <w:rsid w:val="46184F00"/>
    <w:rsid w:val="466F6F60"/>
    <w:rsid w:val="46A726DE"/>
    <w:rsid w:val="471F4546"/>
    <w:rsid w:val="4745701D"/>
    <w:rsid w:val="47AC6180"/>
    <w:rsid w:val="48BF1281"/>
    <w:rsid w:val="4B2F6DF6"/>
    <w:rsid w:val="4CC51C60"/>
    <w:rsid w:val="4D3204EA"/>
    <w:rsid w:val="4D697EB1"/>
    <w:rsid w:val="4DFF95C2"/>
    <w:rsid w:val="4E08799D"/>
    <w:rsid w:val="4E2B414A"/>
    <w:rsid w:val="4F5679CC"/>
    <w:rsid w:val="501840BA"/>
    <w:rsid w:val="52B042C0"/>
    <w:rsid w:val="53827B5D"/>
    <w:rsid w:val="53E86B53"/>
    <w:rsid w:val="54D66C67"/>
    <w:rsid w:val="556B9EA3"/>
    <w:rsid w:val="568633C7"/>
    <w:rsid w:val="57061882"/>
    <w:rsid w:val="57280BF2"/>
    <w:rsid w:val="582C3B01"/>
    <w:rsid w:val="582D059F"/>
    <w:rsid w:val="582D396D"/>
    <w:rsid w:val="59083CAE"/>
    <w:rsid w:val="592570E8"/>
    <w:rsid w:val="59435FE6"/>
    <w:rsid w:val="59480030"/>
    <w:rsid w:val="59A3360E"/>
    <w:rsid w:val="5ADE2855"/>
    <w:rsid w:val="5B056CAE"/>
    <w:rsid w:val="5C664A4B"/>
    <w:rsid w:val="5CE67D31"/>
    <w:rsid w:val="5E5F4050"/>
    <w:rsid w:val="5EA13044"/>
    <w:rsid w:val="5EAD585E"/>
    <w:rsid w:val="5F04726A"/>
    <w:rsid w:val="5F6D37D2"/>
    <w:rsid w:val="5F9C081D"/>
    <w:rsid w:val="5F9D8D66"/>
    <w:rsid w:val="5FBD1139"/>
    <w:rsid w:val="606677EA"/>
    <w:rsid w:val="60F34C3C"/>
    <w:rsid w:val="617668BD"/>
    <w:rsid w:val="61D01645"/>
    <w:rsid w:val="61D37DF9"/>
    <w:rsid w:val="63723353"/>
    <w:rsid w:val="64164D78"/>
    <w:rsid w:val="64993141"/>
    <w:rsid w:val="659F27EB"/>
    <w:rsid w:val="659F600E"/>
    <w:rsid w:val="670B831C"/>
    <w:rsid w:val="67CC2C23"/>
    <w:rsid w:val="67CE6661"/>
    <w:rsid w:val="680A5A06"/>
    <w:rsid w:val="68B9403E"/>
    <w:rsid w:val="68D511B9"/>
    <w:rsid w:val="68FA6041"/>
    <w:rsid w:val="69827CEE"/>
    <w:rsid w:val="6BDE71F2"/>
    <w:rsid w:val="6C9577EB"/>
    <w:rsid w:val="6CBA3A99"/>
    <w:rsid w:val="6D3A1203"/>
    <w:rsid w:val="6D66CE3D"/>
    <w:rsid w:val="6D7841F1"/>
    <w:rsid w:val="6DFF1F5A"/>
    <w:rsid w:val="6E9C369D"/>
    <w:rsid w:val="6EF41B11"/>
    <w:rsid w:val="6F527944"/>
    <w:rsid w:val="6F7FD338"/>
    <w:rsid w:val="702573F3"/>
    <w:rsid w:val="70B57531"/>
    <w:rsid w:val="70FA499F"/>
    <w:rsid w:val="730C182D"/>
    <w:rsid w:val="73FC9A3F"/>
    <w:rsid w:val="751974A1"/>
    <w:rsid w:val="7576C9CC"/>
    <w:rsid w:val="758B30E4"/>
    <w:rsid w:val="75F42331"/>
    <w:rsid w:val="761F7C3C"/>
    <w:rsid w:val="76683D2A"/>
    <w:rsid w:val="76C62D9E"/>
    <w:rsid w:val="76EDDC0D"/>
    <w:rsid w:val="77CE2F69"/>
    <w:rsid w:val="77D62831"/>
    <w:rsid w:val="77F748F0"/>
    <w:rsid w:val="77FF016E"/>
    <w:rsid w:val="78244617"/>
    <w:rsid w:val="7A923507"/>
    <w:rsid w:val="7ACB640D"/>
    <w:rsid w:val="7BAFC4E9"/>
    <w:rsid w:val="7BFF1A29"/>
    <w:rsid w:val="7C044D89"/>
    <w:rsid w:val="7C5B8E26"/>
    <w:rsid w:val="7C63442B"/>
    <w:rsid w:val="7D3AA22F"/>
    <w:rsid w:val="7DE35ECA"/>
    <w:rsid w:val="7DF6638E"/>
    <w:rsid w:val="7DFF4E2E"/>
    <w:rsid w:val="7E1A0C5A"/>
    <w:rsid w:val="7E3212D3"/>
    <w:rsid w:val="7F5F887D"/>
    <w:rsid w:val="7FCC7D05"/>
    <w:rsid w:val="7FEF42B8"/>
    <w:rsid w:val="7FFEAB68"/>
    <w:rsid w:val="8EEDA87E"/>
    <w:rsid w:val="8FFF2394"/>
    <w:rsid w:val="9FD01BC3"/>
    <w:rsid w:val="AEBA6F54"/>
    <w:rsid w:val="B3FE25BF"/>
    <w:rsid w:val="B7EFCE79"/>
    <w:rsid w:val="BE6E0F8F"/>
    <w:rsid w:val="C679D4D5"/>
    <w:rsid w:val="C7FFBBFA"/>
    <w:rsid w:val="CDEF7912"/>
    <w:rsid w:val="D3FFF2E3"/>
    <w:rsid w:val="D4B948F0"/>
    <w:rsid w:val="D7BE90C3"/>
    <w:rsid w:val="DE7F8D62"/>
    <w:rsid w:val="DFFF61C4"/>
    <w:rsid w:val="EAE6DD5D"/>
    <w:rsid w:val="EECA23E9"/>
    <w:rsid w:val="EFFF85C9"/>
    <w:rsid w:val="F1C67B4E"/>
    <w:rsid w:val="F3F331A4"/>
    <w:rsid w:val="F3FF81F7"/>
    <w:rsid w:val="F67996EE"/>
    <w:rsid w:val="F7779996"/>
    <w:rsid w:val="F7FE62B6"/>
    <w:rsid w:val="F7FFBCB9"/>
    <w:rsid w:val="F8DFCE66"/>
    <w:rsid w:val="F9EDDA97"/>
    <w:rsid w:val="FA543BA3"/>
    <w:rsid w:val="FABA68FE"/>
    <w:rsid w:val="FAFCCEA4"/>
    <w:rsid w:val="FD5FEFDB"/>
    <w:rsid w:val="FD7F9463"/>
    <w:rsid w:val="FDBA1D5F"/>
    <w:rsid w:val="FDF78EC0"/>
    <w:rsid w:val="FEAED78B"/>
    <w:rsid w:val="FF7DBB46"/>
    <w:rsid w:val="FFDB2BA5"/>
    <w:rsid w:val="FFF7BA26"/>
    <w:rsid w:val="FFFF1F33"/>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link w:val="27"/>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9"/>
    <w:semiHidden/>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30"/>
    <w:semiHidden/>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5">
    <w:name w:val="annotation text"/>
    <w:basedOn w:val="1"/>
    <w:link w:val="21"/>
    <w:uiPriority w:val="0"/>
    <w:pPr>
      <w:jc w:val="left"/>
    </w:pPr>
  </w:style>
  <w:style w:type="paragraph" w:styleId="6">
    <w:name w:val="Balloon Text"/>
    <w:basedOn w:val="1"/>
    <w:link w:val="2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annotation subject"/>
    <w:basedOn w:val="5"/>
    <w:next w:val="5"/>
    <w:link w:val="22"/>
    <w:qFormat/>
    <w:uiPriority w:val="0"/>
    <w:rPr>
      <w:b/>
      <w:bCs/>
    </w:rPr>
  </w:style>
  <w:style w:type="table" w:styleId="12">
    <w:name w:val="Table Grid"/>
    <w:basedOn w:val="1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qFormat/>
    <w:uiPriority w:val="0"/>
    <w:rPr>
      <w:sz w:val="21"/>
      <w:szCs w:val="21"/>
    </w:rPr>
  </w:style>
  <w:style w:type="character" w:customStyle="1" w:styleId="16">
    <w:name w:val="批注文字 字符"/>
    <w:link w:val="5"/>
    <w:qFormat/>
    <w:uiPriority w:val="0"/>
    <w:rPr>
      <w:rFonts w:ascii="Calibri" w:hAnsi="Calibri" w:cs="黑体"/>
      <w:kern w:val="2"/>
      <w:sz w:val="21"/>
      <w:szCs w:val="24"/>
    </w:rPr>
  </w:style>
  <w:style w:type="character" w:customStyle="1" w:styleId="17">
    <w:name w:val="批注框文本 字符"/>
    <w:link w:val="6"/>
    <w:qFormat/>
    <w:uiPriority w:val="0"/>
    <w:rPr>
      <w:rFonts w:ascii="Calibri" w:hAnsi="Calibri" w:cs="黑体"/>
      <w:kern w:val="2"/>
      <w:sz w:val="18"/>
      <w:szCs w:val="18"/>
    </w:rPr>
  </w:style>
  <w:style w:type="character" w:customStyle="1" w:styleId="18">
    <w:name w:val="批注主题 字符"/>
    <w:link w:val="10"/>
    <w:qFormat/>
    <w:uiPriority w:val="0"/>
    <w:rPr>
      <w:rFonts w:ascii="Calibri" w:hAnsi="Calibri" w:cs="黑体"/>
      <w:b/>
      <w:bCs/>
      <w:kern w:val="2"/>
      <w:sz w:val="21"/>
      <w:szCs w:val="24"/>
    </w:rPr>
  </w:style>
  <w:style w:type="paragraph" w:customStyle="1" w:styleId="19">
    <w:name w:val="List Paragraph"/>
    <w:basedOn w:val="1"/>
    <w:unhideWhenUsed/>
    <w:qFormat/>
    <w:uiPriority w:val="99"/>
    <w:pPr>
      <w:ind w:firstLine="420" w:firstLineChars="200"/>
    </w:pPr>
  </w:style>
  <w:style w:type="paragraph" w:customStyle="1" w:styleId="2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1">
    <w:name w:val="批注文字 Char"/>
    <w:link w:val="5"/>
    <w:qFormat/>
    <w:uiPriority w:val="0"/>
    <w:rPr>
      <w:rFonts w:ascii="Calibri" w:hAnsi="Calibri" w:cs="黑体"/>
      <w:kern w:val="2"/>
      <w:sz w:val="21"/>
      <w:szCs w:val="24"/>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批注框文本 Char"/>
    <w:link w:val="6"/>
    <w:uiPriority w:val="0"/>
    <w:rPr>
      <w:rFonts w:ascii="Calibri" w:hAnsi="Calibri" w:cs="黑体"/>
      <w:kern w:val="2"/>
      <w:sz w:val="18"/>
      <w:szCs w:val="18"/>
    </w:rPr>
  </w:style>
  <w:style w:type="paragraph" w:customStyle="1" w:styleId="24">
    <w:name w:val="Table Text"/>
    <w:basedOn w:val="1"/>
    <w:semiHidden/>
    <w:qFormat/>
    <w:uiPriority w:val="0"/>
    <w:rPr>
      <w:rFonts w:ascii="宋体" w:hAnsi="宋体" w:eastAsia="宋体" w:cs="宋体"/>
      <w:sz w:val="21"/>
      <w:szCs w:val="21"/>
      <w:lang w:val="en-US" w:eastAsia="en-US" w:bidi="ar-SA"/>
    </w:rPr>
  </w:style>
  <w:style w:type="paragraph" w:customStyle="1" w:styleId="25">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26">
    <w:name w:val="标题 2 Char"/>
    <w:link w:val="3"/>
    <w:qFormat/>
    <w:uiPriority w:val="0"/>
    <w:rPr>
      <w:rFonts w:ascii="Arial" w:hAnsi="Arial" w:eastAsia="宋体"/>
      <w:b/>
      <w:sz w:val="24"/>
    </w:rPr>
  </w:style>
  <w:style w:type="character" w:customStyle="1" w:styleId="27">
    <w:name w:val="标题 1 字符"/>
    <w:link w:val="2"/>
    <w:qFormat/>
    <w:uiPriority w:val="0"/>
    <w:rPr>
      <w:rFonts w:eastAsia="宋体"/>
      <w:b/>
      <w:kern w:val="44"/>
      <w:sz w:val="44"/>
    </w:rPr>
  </w:style>
  <w:style w:type="character" w:customStyle="1" w:styleId="28">
    <w:name w:val="标题 3 Char"/>
    <w:link w:val="4"/>
    <w:qFormat/>
    <w:uiPriority w:val="0"/>
    <w:rPr>
      <w:rFonts w:hAnsi="Calibri" w:eastAsia="宋体"/>
      <w:b/>
      <w:sz w:val="24"/>
    </w:rPr>
  </w:style>
  <w:style w:type="character" w:customStyle="1" w:styleId="29">
    <w:name w:val="标题 2 字符"/>
    <w:link w:val="3"/>
    <w:qFormat/>
    <w:uiPriority w:val="0"/>
    <w:rPr>
      <w:rFonts w:ascii="Arial" w:hAnsi="Arial" w:eastAsia="宋体"/>
      <w:b/>
      <w:sz w:val="24"/>
    </w:rPr>
  </w:style>
  <w:style w:type="character" w:customStyle="1" w:styleId="30">
    <w:name w:val="标题 3 字符"/>
    <w:link w:val="4"/>
    <w:qFormat/>
    <w:uiPriority w:val="0"/>
    <w:rPr>
      <w:rFonts w:hAnsi="Calibri" w:eastAsia="宋体"/>
      <w:b/>
      <w:sz w:val="24"/>
    </w:rPr>
  </w:style>
  <w:style w:type="table" w:customStyle="1" w:styleId="31">
    <w:name w:val="Table Normal_0"/>
    <w:unhideWhenUsed/>
    <w:qFormat/>
    <w:uiPriority w:val="0"/>
    <w:rPr>
      <w:lang w:val="en-US" w:eastAsia="zh-CN" w:bidi="ar-SA"/>
    </w:rPr>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33</Pages>
  <Words>33877</Words>
  <Characters>34745</Characters>
  <Lines>1</Lines>
  <Paragraphs>1</Paragraphs>
  <TotalTime>3</TotalTime>
  <ScaleCrop>false</ScaleCrop>
  <LinksUpToDate>false</LinksUpToDate>
  <CharactersWithSpaces>35110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2014-11-08T20:08:00Z</dcterms:created>
  <dc:creator>Administrator</dc:creator>
  <cp:lastModifiedBy>hccb</cp:lastModifiedBy>
  <dcterms:modified xsi:type="dcterms:W3CDTF">2026-07-14T07:03:01Z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A2F6E72D2CB5F4F40046506AF6CE229D_43</vt:lpwstr>
  </property>
  <property fmtid="{D5CDD505-2E9C-101B-9397-08002B2CF9AE}" pid="3" name="KSOProductBuildVer">
    <vt:lpwstr>2052-11.8.2.8411</vt:lpwstr>
  </property>
</Properties>
</file>