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7A1A6">
      <w:pPr>
        <w:spacing w:before="156" w:beforeLines="50"/>
        <w:jc w:val="center"/>
        <w:rPr>
          <w:rFonts w:ascii="方正小标宋简体" w:eastAsia="方正小标宋简体"/>
          <w:color w:val="auto"/>
          <w:sz w:val="36"/>
          <w:szCs w:val="36"/>
          <w:highlight w:val="none"/>
        </w:rPr>
      </w:pPr>
      <w:r>
        <w:rPr>
          <w:rFonts w:hint="eastAsia" w:ascii="方正小标宋简体" w:eastAsia="方正小标宋简体"/>
          <w:color w:val="auto"/>
          <w:sz w:val="36"/>
          <w:szCs w:val="36"/>
          <w:highlight w:val="none"/>
        </w:rPr>
        <w:t>浙银理财</w:t>
      </w:r>
      <w:r>
        <w:rPr>
          <w:rFonts w:hint="eastAsia" w:ascii="方正小标宋简体" w:eastAsia="方正小标宋简体"/>
          <w:color w:val="auto"/>
          <w:sz w:val="36"/>
          <w:szCs w:val="36"/>
          <w:highlight w:val="none"/>
          <w:lang w:eastAsia="zh-CN"/>
        </w:rPr>
        <w:t>琮简富春258号</w:t>
      </w:r>
      <w:r>
        <w:rPr>
          <w:rFonts w:hint="eastAsia" w:ascii="方正小标宋简体" w:eastAsia="方正小标宋简体"/>
          <w:color w:val="auto"/>
          <w:sz w:val="36"/>
          <w:szCs w:val="36"/>
          <w:highlight w:val="none"/>
        </w:rPr>
        <w:t>理财产品</w:t>
      </w:r>
    </w:p>
    <w:p w14:paraId="002E83FF">
      <w:pPr>
        <w:spacing w:before="156" w:beforeLines="50"/>
        <w:jc w:val="center"/>
        <w:rPr>
          <w:rFonts w:ascii="方正小标宋简体" w:eastAsia="方正小标宋简体"/>
          <w:color w:val="auto"/>
          <w:sz w:val="36"/>
          <w:szCs w:val="36"/>
          <w:highlight w:val="none"/>
        </w:rPr>
      </w:pPr>
      <w:r>
        <w:rPr>
          <w:rFonts w:hint="eastAsia" w:ascii="方正小标宋简体" w:eastAsia="方正小标宋简体"/>
          <w:color w:val="auto"/>
          <w:sz w:val="36"/>
          <w:szCs w:val="36"/>
          <w:highlight w:val="none"/>
        </w:rPr>
        <w:t>风险揭示书</w:t>
      </w:r>
      <w:r>
        <w:rPr>
          <w:rFonts w:hint="eastAsia" w:ascii="方正小标宋简体" w:eastAsia="方正小标宋简体"/>
          <w:color w:val="auto"/>
          <w:sz w:val="28"/>
          <w:szCs w:val="36"/>
          <w:highlight w:val="none"/>
        </w:rPr>
        <w:t>（202</w:t>
      </w:r>
      <w:r>
        <w:rPr>
          <w:rFonts w:hint="eastAsia" w:ascii="方正小标宋简体" w:eastAsia="方正小标宋简体"/>
          <w:color w:val="auto"/>
          <w:sz w:val="28"/>
          <w:szCs w:val="36"/>
          <w:highlight w:val="none"/>
          <w:lang w:val="en-US" w:eastAsia="zh-CN"/>
        </w:rPr>
        <w:t>608</w:t>
      </w:r>
      <w:r>
        <w:rPr>
          <w:rFonts w:hint="eastAsia" w:ascii="方正小标宋简体" w:eastAsia="方正小标宋简体"/>
          <w:color w:val="auto"/>
          <w:sz w:val="28"/>
          <w:szCs w:val="36"/>
          <w:highlight w:val="none"/>
        </w:rPr>
        <w:t>版</w:t>
      </w:r>
      <w:r>
        <w:rPr>
          <w:rFonts w:ascii="方正小标宋简体" w:eastAsia="方正小标宋简体"/>
          <w:color w:val="auto"/>
          <w:sz w:val="28"/>
          <w:szCs w:val="36"/>
          <w:highlight w:val="none"/>
        </w:rPr>
        <w:t>）</w:t>
      </w:r>
    </w:p>
    <w:p w14:paraId="37BB9640">
      <w:pPr>
        <w:spacing w:after="312" w:afterLines="100"/>
        <w:jc w:val="center"/>
        <w:rPr>
          <w:rFonts w:ascii="方正小标宋简体" w:hAnsi="宋体" w:eastAsia="方正小标宋简体"/>
          <w:color w:val="auto"/>
          <w:sz w:val="40"/>
          <w:szCs w:val="44"/>
          <w:highlight w:val="none"/>
        </w:rPr>
      </w:pPr>
      <w:r>
        <w:rPr>
          <w:rFonts w:hint="eastAsia" w:ascii="方正小标宋简体" w:hAnsi="宋体" w:eastAsia="方正小标宋简体"/>
          <w:color w:val="auto"/>
          <w:sz w:val="28"/>
          <w:szCs w:val="30"/>
          <w:highlight w:val="none"/>
        </w:rPr>
        <w:t>理财非存款、产品有风险、投资须谨慎</w:t>
      </w:r>
    </w:p>
    <w:p w14:paraId="4E58D6A1">
      <w:pPr>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尊敬的投资者：</w:t>
      </w:r>
    </w:p>
    <w:p w14:paraId="6D9A4F39">
      <w:pPr>
        <w:ind w:firstLine="480" w:firstLineChars="200"/>
        <w:rPr>
          <w:rFonts w:ascii="仿宋_GB2312" w:eastAsia="仿宋_GB2312"/>
          <w:b/>
          <w:color w:val="auto"/>
          <w:sz w:val="24"/>
          <w:szCs w:val="24"/>
          <w:highlight w:val="none"/>
        </w:rPr>
      </w:pPr>
      <w:r>
        <w:rPr>
          <w:rFonts w:hint="eastAsia" w:ascii="仿宋_GB2312" w:eastAsia="仿宋_GB2312"/>
          <w:color w:val="auto"/>
          <w:sz w:val="24"/>
          <w:szCs w:val="24"/>
          <w:highlight w:val="none"/>
        </w:rPr>
        <w:t>由于本理财产品在投资运作管理中可能面临各种风险因素，根据监管部门要求和投资者权益保护需要，</w:t>
      </w:r>
      <w:r>
        <w:rPr>
          <w:rFonts w:hint="eastAsia" w:ascii="仿宋_GB2312" w:eastAsia="仿宋_GB2312"/>
          <w:b/>
          <w:color w:val="auto"/>
          <w:sz w:val="24"/>
          <w:szCs w:val="24"/>
          <w:highlight w:val="none"/>
        </w:rPr>
        <w:t>浙银理财有限责任公司（以下简称“浙银</w:t>
      </w:r>
      <w:r>
        <w:rPr>
          <w:rFonts w:ascii="仿宋_GB2312" w:eastAsia="仿宋_GB2312"/>
          <w:b/>
          <w:color w:val="auto"/>
          <w:sz w:val="24"/>
          <w:szCs w:val="24"/>
          <w:highlight w:val="none"/>
        </w:rPr>
        <w:t>理财</w:t>
      </w:r>
      <w:r>
        <w:rPr>
          <w:rFonts w:hint="eastAsia" w:ascii="仿宋_GB2312" w:eastAsia="仿宋_GB2312"/>
          <w:b/>
          <w:color w:val="auto"/>
          <w:sz w:val="24"/>
          <w:szCs w:val="24"/>
          <w:highlight w:val="none"/>
        </w:rPr>
        <w:t>”）作为本理财产品的产品管理人郑重提示您：您在选择投资本理财产品前,请务必仔细阅读本理财产品完整销售文件 (包括本</w:t>
      </w:r>
      <w:r>
        <w:rPr>
          <w:rFonts w:ascii="仿宋_GB2312" w:eastAsia="仿宋_GB2312"/>
          <w:b/>
          <w:color w:val="auto"/>
          <w:sz w:val="24"/>
          <w:szCs w:val="24"/>
          <w:highlight w:val="none"/>
        </w:rPr>
        <w:t>《</w:t>
      </w:r>
      <w:r>
        <w:rPr>
          <w:rFonts w:hint="eastAsia" w:ascii="仿宋_GB2312" w:eastAsia="仿宋_GB2312"/>
          <w:b/>
          <w:color w:val="auto"/>
          <w:sz w:val="24"/>
          <w:szCs w:val="24"/>
          <w:highlight w:val="none"/>
        </w:rPr>
        <w:t>风险揭示书</w:t>
      </w:r>
      <w:r>
        <w:rPr>
          <w:rFonts w:ascii="仿宋_GB2312" w:eastAsia="仿宋_GB2312"/>
          <w:b/>
          <w:color w:val="auto"/>
          <w:sz w:val="24"/>
          <w:szCs w:val="24"/>
          <w:highlight w:val="none"/>
        </w:rPr>
        <w:t>》</w:t>
      </w:r>
      <w:r>
        <w:rPr>
          <w:rFonts w:hint="eastAsia" w:ascii="仿宋_GB2312" w:eastAsia="仿宋_GB2312"/>
          <w:b/>
          <w:color w:val="auto"/>
          <w:sz w:val="24"/>
          <w:szCs w:val="24"/>
          <w:highlight w:val="none"/>
        </w:rPr>
        <w:t>《产品说明书》《投资</w:t>
      </w:r>
      <w:r>
        <w:rPr>
          <w:rFonts w:ascii="仿宋_GB2312" w:eastAsia="仿宋_GB2312"/>
          <w:b/>
          <w:color w:val="auto"/>
          <w:sz w:val="24"/>
          <w:szCs w:val="24"/>
          <w:highlight w:val="none"/>
        </w:rPr>
        <w:t>协议书</w:t>
      </w:r>
      <w:r>
        <w:rPr>
          <w:rFonts w:hint="eastAsia" w:ascii="仿宋_GB2312" w:eastAsia="仿宋_GB2312"/>
          <w:b/>
          <w:color w:val="auto"/>
          <w:sz w:val="24"/>
          <w:szCs w:val="24"/>
          <w:highlight w:val="none"/>
        </w:rPr>
        <w:t>》《投资者权益须知》《</w:t>
      </w:r>
      <w:r>
        <w:rPr>
          <w:rFonts w:ascii="仿宋_GB2312" w:eastAsia="仿宋_GB2312"/>
          <w:b/>
          <w:color w:val="auto"/>
          <w:sz w:val="24"/>
          <w:szCs w:val="24"/>
          <w:highlight w:val="none"/>
        </w:rPr>
        <w:t>（代理）销售协议书</w:t>
      </w:r>
      <w:r>
        <w:rPr>
          <w:rFonts w:hint="eastAsia" w:ascii="仿宋_GB2312" w:eastAsia="仿宋_GB2312"/>
          <w:b/>
          <w:color w:val="auto"/>
          <w:sz w:val="24"/>
          <w:szCs w:val="24"/>
          <w:highlight w:val="none"/>
        </w:rPr>
        <w:t>》等)，充分了解本理财产品销售服务规则、资金投资方向、投资风险等具体情况，并在审慎评估自身理财投资目标、投资损失风险承受能力、资产管理需求、资金使用需求等因素的基础上，独立作出是否投资本理财产品的决定。在您投资本理财产品后，请关注本理财产品的信息披露，及时获取相关信息；如影响您风险承受能力的因素发生变化，请及时</w:t>
      </w:r>
      <w:r>
        <w:rPr>
          <w:rFonts w:hint="eastAsia" w:ascii="仿宋_GB2312" w:eastAsia="仿宋_GB2312"/>
          <w:b/>
          <w:color w:val="auto"/>
          <w:sz w:val="24"/>
          <w:szCs w:val="24"/>
          <w:highlight w:val="none"/>
          <w:lang w:eastAsia="zh-CN"/>
        </w:rPr>
        <w:t>完成</w:t>
      </w:r>
      <w:r>
        <w:rPr>
          <w:rFonts w:hint="eastAsia" w:ascii="仿宋_GB2312" w:eastAsia="仿宋_GB2312"/>
          <w:b/>
          <w:color w:val="auto"/>
          <w:sz w:val="24"/>
          <w:szCs w:val="24"/>
          <w:highlight w:val="none"/>
        </w:rPr>
        <w:t>风险承受能力评估。</w:t>
      </w:r>
    </w:p>
    <w:p w14:paraId="5BD5E5DB">
      <w:pPr>
        <w:spacing w:before="240" w:after="240"/>
        <w:ind w:firstLine="480" w:firstLineChars="200"/>
        <w:rPr>
          <w:rFonts w:ascii="黑体" w:hAnsi="黑体" w:eastAsia="黑体"/>
          <w:color w:val="auto"/>
          <w:sz w:val="24"/>
          <w:szCs w:val="24"/>
          <w:highlight w:val="none"/>
        </w:rPr>
      </w:pPr>
      <w:r>
        <w:rPr>
          <w:rFonts w:hint="eastAsia" w:ascii="黑体" w:hAnsi="黑体" w:eastAsia="黑体"/>
          <w:color w:val="auto"/>
          <w:sz w:val="24"/>
          <w:szCs w:val="24"/>
          <w:highlight w:val="none"/>
        </w:rPr>
        <w:t>一、产品风险揭示</w:t>
      </w:r>
    </w:p>
    <w:p w14:paraId="5F5D0ED8">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本风险揭示书列示的风险指理财产品可能涉及的风险，包括但不限于：</w:t>
      </w:r>
    </w:p>
    <w:p w14:paraId="25C24AAF">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（一）政策风险</w:t>
      </w:r>
    </w:p>
    <w:p w14:paraId="61B5636D">
      <w:pPr>
        <w:ind w:firstLine="480" w:firstLineChars="200"/>
        <w:rPr>
          <w:rFonts w:ascii="仿宋_GB2312" w:eastAsia="仿宋_GB2312"/>
          <w:color w:val="auto"/>
          <w:sz w:val="24"/>
          <w:szCs w:val="24"/>
          <w:highlight w:val="none"/>
        </w:rPr>
      </w:pPr>
      <w:r>
        <w:rPr>
          <w:rFonts w:hint="eastAsia" w:ascii="仿宋_GB2312" w:hAnsi="宋体" w:eastAsia="仿宋_GB2312" w:cs="宋体"/>
          <w:bCs/>
          <w:color w:val="auto"/>
          <w:kern w:val="0"/>
          <w:sz w:val="24"/>
          <w:szCs w:val="24"/>
          <w:highlight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364D528C">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（二）信用风险</w:t>
      </w:r>
    </w:p>
    <w:p w14:paraId="41ADCA77">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本理财产品所投资的资产或资产组合项下义务人可能出现信用违约情形，无法如期偿付融资本金与利息，则投资者可能面临本金和收益遭受部分甚至全部损失的风险。</w:t>
      </w:r>
    </w:p>
    <w:p w14:paraId="0FB8EC2A">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（三）市场风险</w:t>
      </w:r>
    </w:p>
    <w:p w14:paraId="6B452151">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32C007A0">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（四）流动性风险</w:t>
      </w:r>
    </w:p>
    <w:p w14:paraId="2DBB9674">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当市场出现极端情况或开放式</w:t>
      </w:r>
      <w:r>
        <w:rPr>
          <w:rFonts w:ascii="仿宋_GB2312" w:hAnsi="宋体" w:eastAsia="仿宋_GB2312" w:cs="宋体"/>
          <w:bCs/>
          <w:color w:val="auto"/>
          <w:kern w:val="0"/>
          <w:sz w:val="24"/>
          <w:szCs w:val="24"/>
          <w:highlight w:val="none"/>
        </w:rPr>
        <w:t>产品</w:t>
      </w:r>
      <w:r>
        <w:rPr>
          <w:rFonts w:hint="eastAsia" w:ascii="仿宋_GB2312" w:hAnsi="宋体" w:eastAsia="仿宋_GB2312" w:cs="宋体"/>
          <w:bCs/>
          <w:color w:val="auto"/>
          <w:kern w:val="0"/>
          <w:sz w:val="24"/>
          <w:szCs w:val="24"/>
          <w:highlight w:val="none"/>
        </w:rPr>
        <w:t>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7AE000D2">
      <w:pPr>
        <w:ind w:firstLine="482"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
          <w:bCs/>
          <w:color w:val="auto"/>
          <w:kern w:val="0"/>
          <w:sz w:val="24"/>
          <w:szCs w:val="24"/>
          <w:highlight w:val="none"/>
        </w:rPr>
        <w:t>投资者在本理财产品说明书约定的封闭期、最短持有期及</w:t>
      </w:r>
      <w:r>
        <w:rPr>
          <w:rFonts w:ascii="仿宋_GB2312" w:hAnsi="宋体" w:eastAsia="仿宋_GB2312" w:cs="宋体"/>
          <w:b/>
          <w:bCs/>
          <w:color w:val="auto"/>
          <w:kern w:val="0"/>
          <w:sz w:val="24"/>
          <w:szCs w:val="24"/>
          <w:highlight w:val="none"/>
        </w:rPr>
        <w:t>/或其他不可赎回时段内不享有提前赎回权。</w:t>
      </w:r>
      <w:r>
        <w:rPr>
          <w:rFonts w:hint="eastAsia" w:ascii="仿宋_GB2312" w:hAnsi="宋体" w:eastAsia="仿宋_GB2312" w:cs="宋体"/>
          <w:bCs/>
          <w:color w:val="auto"/>
          <w:kern w:val="0"/>
          <w:sz w:val="24"/>
          <w:szCs w:val="24"/>
          <w:highlight w:val="none"/>
        </w:rPr>
        <w:t>如果投资者面临用款需求与其他投资机会，可能因所持有的理财产品不能随时赎回或变现，存在用款需求无法满足或错过其他投资机会的风险。</w:t>
      </w:r>
    </w:p>
    <w:p w14:paraId="26D4014A">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（五）经营管理风险</w:t>
      </w:r>
    </w:p>
    <w:p w14:paraId="16D90D24">
      <w:pPr>
        <w:ind w:firstLine="480" w:firstLineChars="200"/>
        <w:rPr>
          <w:rFonts w:ascii="仿宋_GB2312" w:hAnsi="宋体" w:eastAsia="仿宋_GB2312" w:cs="宋体"/>
          <w:bCs/>
          <w:color w:val="auto"/>
          <w:kern w:val="0"/>
          <w:sz w:val="24"/>
          <w:szCs w:val="24"/>
          <w:highlight w:val="none"/>
        </w:rPr>
      </w:pPr>
      <w:r>
        <w:rPr>
          <w:rFonts w:hint="eastAsia" w:ascii="仿宋_GB2312" w:hAnsi="仿宋_GB2312" w:eastAsia="仿宋_GB2312" w:cs="仿宋_GB2312"/>
          <w:color w:val="auto"/>
          <w:sz w:val="24"/>
          <w:szCs w:val="24"/>
          <w:highlight w:val="none"/>
        </w:rPr>
        <w:t>在本理财产品运作过程中，投资管理各方受经验、技能、判断力</w:t>
      </w: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执行力等综合因素的限制，可能对本理财产品的运作与管理形成一定影响，</w:t>
      </w:r>
      <w:r>
        <w:rPr>
          <w:rFonts w:hint="eastAsia" w:ascii="仿宋_GB2312" w:hAnsi="宋体" w:eastAsia="仿宋_GB2312" w:cs="宋体"/>
          <w:bCs/>
          <w:color w:val="auto"/>
          <w:kern w:val="0"/>
          <w:sz w:val="24"/>
          <w:szCs w:val="24"/>
          <w:highlight w:val="none"/>
        </w:rPr>
        <w:t>投资者可能面临本金和收益遭受部分甚至全部损失的风险。</w:t>
      </w:r>
    </w:p>
    <w:p w14:paraId="6AD159DE">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（六）交易对手风险</w:t>
      </w:r>
    </w:p>
    <w:p w14:paraId="1DF182B9">
      <w:pPr>
        <w:ind w:firstLine="480" w:firstLineChars="200"/>
        <w:rPr>
          <w:rFonts w:ascii="仿宋_GB2312" w:hAnsi="宋体" w:eastAsia="仿宋_GB2312" w:cs="宋体"/>
          <w:bCs/>
          <w:color w:val="auto"/>
          <w:kern w:val="0"/>
          <w:sz w:val="24"/>
          <w:szCs w:val="24"/>
          <w:highlight w:val="none"/>
        </w:rPr>
      </w:pPr>
      <w:r>
        <w:rPr>
          <w:rFonts w:hint="eastAsia" w:ascii="仿宋_GB2312" w:hAnsi="仿宋_GB2312" w:eastAsia="仿宋_GB2312" w:cs="仿宋_GB2312"/>
          <w:color w:val="auto"/>
          <w:sz w:val="24"/>
          <w:szCs w:val="24"/>
          <w:highlight w:val="none"/>
        </w:rPr>
        <w:t>由于交易对手受偿付能力、流动性管理能力以及及时履约意愿等因素影响，导致交易对手不履约，可能影响本理财产品的投资管理，则</w:t>
      </w:r>
      <w:r>
        <w:rPr>
          <w:rFonts w:hint="eastAsia" w:ascii="仿宋_GB2312" w:hAnsi="宋体" w:eastAsia="仿宋_GB2312" w:cs="宋体"/>
          <w:bCs/>
          <w:color w:val="auto"/>
          <w:kern w:val="0"/>
          <w:sz w:val="24"/>
          <w:szCs w:val="24"/>
          <w:highlight w:val="none"/>
        </w:rPr>
        <w:t>投资者可能面临本金和收益遭受部分甚至全部损失的风险。</w:t>
      </w:r>
    </w:p>
    <w:p w14:paraId="16782817">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（七）操作风险</w:t>
      </w:r>
    </w:p>
    <w:p w14:paraId="7BC7363A">
      <w:pPr>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产品运作过程中，由于理财产品管理人及理财合作机构因技术系统故障、内部控制存在缺陷或人为因素，导致</w:t>
      </w:r>
      <w:r>
        <w:rPr>
          <w:rFonts w:ascii="仿宋_GB2312" w:hAnsi="仿宋_GB2312" w:eastAsia="仿宋_GB2312" w:cs="仿宋_GB2312"/>
          <w:color w:val="auto"/>
          <w:sz w:val="24"/>
          <w:szCs w:val="24"/>
          <w:highlight w:val="none"/>
        </w:rPr>
        <w:t>操作失误</w:t>
      </w:r>
      <w:r>
        <w:rPr>
          <w:rFonts w:hint="eastAsia" w:ascii="仿宋_GB2312" w:hAnsi="仿宋_GB2312" w:eastAsia="仿宋_GB2312" w:cs="仿宋_GB2312"/>
          <w:color w:val="auto"/>
          <w:sz w:val="24"/>
          <w:szCs w:val="24"/>
          <w:highlight w:val="none"/>
        </w:rPr>
        <w:t>或</w:t>
      </w:r>
      <w:r>
        <w:rPr>
          <w:rFonts w:ascii="仿宋_GB2312" w:hAnsi="仿宋_GB2312" w:eastAsia="仿宋_GB2312" w:cs="仿宋_GB2312"/>
          <w:color w:val="auto"/>
          <w:sz w:val="24"/>
          <w:szCs w:val="24"/>
          <w:highlight w:val="none"/>
        </w:rPr>
        <w:t>违反操作规程等引起的风险，</w:t>
      </w:r>
      <w:r>
        <w:rPr>
          <w:rFonts w:hint="eastAsia" w:ascii="仿宋_GB2312" w:hAnsi="仿宋_GB2312" w:eastAsia="仿宋_GB2312" w:cs="仿宋_GB2312"/>
          <w:color w:val="auto"/>
          <w:sz w:val="24"/>
          <w:szCs w:val="24"/>
          <w:highlight w:val="none"/>
        </w:rPr>
        <w:t>如内部作业、人员管理、系统操作及事务处理不当或失误等，则投资者可能面临本金和收益遭受部分甚至全部损失的风险。</w:t>
      </w:r>
    </w:p>
    <w:p w14:paraId="638F4475">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（八）代销风险（如有）</w:t>
      </w:r>
    </w:p>
    <w:p w14:paraId="47D1B411">
      <w:pPr>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如本理财产品通过代理销售渠道销售，投资者购买理财产品的资金将由销售机构从投资者清算账户扣收并划付产品管理人，产品到期</w:t>
      </w:r>
      <w:r>
        <w:rPr>
          <w:rFonts w:ascii="仿宋_GB2312" w:hAnsi="仿宋_GB2312" w:eastAsia="仿宋_GB2312" w:cs="仿宋_GB2312"/>
          <w:color w:val="auto"/>
          <w:sz w:val="24"/>
          <w:szCs w:val="24"/>
          <w:highlight w:val="none"/>
        </w:rPr>
        <w:t>/终止</w:t>
      </w:r>
      <w:r>
        <w:rPr>
          <w:rFonts w:hint="eastAsia" w:ascii="仿宋_GB2312" w:hAnsi="仿宋_GB2312" w:eastAsia="仿宋_GB2312" w:cs="仿宋_GB2312"/>
          <w:color w:val="auto"/>
          <w:sz w:val="24"/>
          <w:szCs w:val="24"/>
          <w:highlight w:val="none"/>
        </w:rPr>
        <w:t>/赎回</w:t>
      </w:r>
      <w:r>
        <w:rPr>
          <w:rFonts w:ascii="仿宋_GB2312" w:hAnsi="仿宋_GB2312" w:eastAsia="仿宋_GB2312" w:cs="仿宋_GB2312"/>
          <w:color w:val="auto"/>
          <w:sz w:val="24"/>
          <w:szCs w:val="24"/>
          <w:highlight w:val="none"/>
        </w:rPr>
        <w:t>时理财本金及收益相应款项由产品管理人按理财产品销售文件约定划付至</w:t>
      </w:r>
      <w:r>
        <w:rPr>
          <w:rFonts w:hint="eastAsia" w:ascii="仿宋_GB2312" w:hAnsi="仿宋_GB2312" w:eastAsia="仿宋_GB2312" w:cs="仿宋_GB2312"/>
          <w:color w:val="auto"/>
          <w:sz w:val="24"/>
          <w:szCs w:val="24"/>
          <w:highlight w:val="none"/>
        </w:rPr>
        <w:t>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56E89718">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（九）募集期延长</w:t>
      </w:r>
      <w:r>
        <w:rPr>
          <w:rFonts w:ascii="仿宋_GB2312" w:hAnsi="宋体" w:eastAsia="仿宋_GB2312" w:cs="宋体"/>
          <w:b/>
          <w:bCs/>
          <w:color w:val="auto"/>
          <w:kern w:val="0"/>
          <w:sz w:val="24"/>
          <w:szCs w:val="24"/>
          <w:highlight w:val="none"/>
        </w:rPr>
        <w:t>/缩短</w:t>
      </w:r>
      <w:r>
        <w:rPr>
          <w:rFonts w:hint="eastAsia" w:ascii="仿宋_GB2312" w:hAnsi="宋体" w:eastAsia="仿宋_GB2312" w:cs="宋体"/>
          <w:b/>
          <w:bCs/>
          <w:color w:val="auto"/>
          <w:kern w:val="0"/>
          <w:sz w:val="24"/>
          <w:szCs w:val="24"/>
          <w:highlight w:val="none"/>
        </w:rPr>
        <w:t>风险</w:t>
      </w:r>
    </w:p>
    <w:p w14:paraId="29FA2775">
      <w:pPr>
        <w:ind w:firstLine="480" w:firstLineChars="200"/>
        <w:rPr>
          <w:rFonts w:ascii="仿宋_GB2312" w:eastAsia="仿宋_GB2312"/>
          <w:color w:val="auto"/>
          <w:sz w:val="24"/>
          <w:szCs w:val="24"/>
          <w:highlight w:val="none"/>
        </w:rPr>
      </w:pPr>
      <w:r>
        <w:rPr>
          <w:rFonts w:hint="eastAsia" w:ascii="仿宋_GB2312" w:hAnsi="宋体" w:eastAsia="仿宋_GB2312" w:cs="宋体"/>
          <w:bCs/>
          <w:color w:val="auto"/>
          <w:kern w:val="0"/>
          <w:sz w:val="24"/>
          <w:szCs w:val="24"/>
          <w:highlight w:val="none"/>
        </w:rPr>
        <w:t>在本理财产品募集期内，国家宏观政策以及市场相关法律法规政策发生变化、产品募集状况未达到/已达到产品说明书约定的成立条件，或其他经理财产品管理人合理判断需延长</w:t>
      </w:r>
      <w:r>
        <w:rPr>
          <w:rFonts w:ascii="仿宋_GB2312" w:hAnsi="宋体" w:eastAsia="仿宋_GB2312" w:cs="宋体"/>
          <w:bCs/>
          <w:color w:val="auto"/>
          <w:kern w:val="0"/>
          <w:sz w:val="24"/>
          <w:szCs w:val="24"/>
          <w:highlight w:val="none"/>
        </w:rPr>
        <w:t>/缩短</w:t>
      </w:r>
      <w:r>
        <w:rPr>
          <w:rFonts w:hint="eastAsia" w:ascii="仿宋_GB2312" w:hAnsi="宋体" w:eastAsia="仿宋_GB2312" w:cs="宋体"/>
          <w:bCs/>
          <w:color w:val="auto"/>
          <w:kern w:val="0"/>
          <w:sz w:val="24"/>
          <w:szCs w:val="24"/>
          <w:highlight w:val="none"/>
        </w:rPr>
        <w:t>募集期的情形，产品管理人有权宣布本理财产品募集期延长</w:t>
      </w:r>
      <w:r>
        <w:rPr>
          <w:rFonts w:ascii="仿宋_GB2312" w:hAnsi="宋体" w:eastAsia="仿宋_GB2312" w:cs="宋体"/>
          <w:bCs/>
          <w:color w:val="auto"/>
          <w:kern w:val="0"/>
          <w:sz w:val="24"/>
          <w:szCs w:val="24"/>
          <w:highlight w:val="none"/>
        </w:rPr>
        <w:t>/缩短</w:t>
      </w:r>
      <w:r>
        <w:rPr>
          <w:rFonts w:hint="eastAsia" w:ascii="仿宋_GB2312" w:hAnsi="宋体" w:eastAsia="仿宋_GB2312" w:cs="宋体"/>
          <w:bCs/>
          <w:color w:val="auto"/>
          <w:kern w:val="0"/>
          <w:sz w:val="24"/>
          <w:szCs w:val="24"/>
          <w:highlight w:val="none"/>
        </w:rPr>
        <w:t>，本理财产品可能延后/提前成立。</w:t>
      </w:r>
    </w:p>
    <w:p w14:paraId="124CEB4B">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（十）产品不成立风险</w:t>
      </w:r>
    </w:p>
    <w:p w14:paraId="32E5A383">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4B848855">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（十一）提前终止风险</w:t>
      </w:r>
    </w:p>
    <w:p w14:paraId="377D9FF7">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7C4DB0A1">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（十二）延期分配风险</w:t>
      </w:r>
    </w:p>
    <w:p w14:paraId="1DA33F92">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798E710F">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（十三）信息传递风险</w:t>
      </w:r>
    </w:p>
    <w:p w14:paraId="3FDA4799">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理财产品管理人将按照理财产品销售文件中约定的信息披露方式、披露途径向投资者披露涉及本理财产品的各类信息和重大事件，投资者应及时查询了解。</w:t>
      </w:r>
      <w:r>
        <w:rPr>
          <w:rFonts w:hint="eastAsia" w:ascii="仿宋_GB2312" w:hAnsi="宋体" w:eastAsia="仿宋_GB2312" w:cs="宋体"/>
          <w:b/>
          <w:bCs/>
          <w:color w:val="auto"/>
          <w:kern w:val="0"/>
          <w:sz w:val="24"/>
          <w:szCs w:val="24"/>
          <w:highlight w:val="none"/>
        </w:rPr>
        <w:t>如投资者未及时查询相关信息或由于不可抗力</w:t>
      </w:r>
      <w:r>
        <w:rPr>
          <w:rFonts w:hint="eastAsia" w:ascii="仿宋_GB2312" w:hAnsi="宋体" w:eastAsia="仿宋_GB2312" w:cs="宋体"/>
          <w:bCs/>
          <w:color w:val="auto"/>
          <w:kern w:val="0"/>
          <w:sz w:val="24"/>
          <w:szCs w:val="24"/>
          <w:highlight w:val="none"/>
        </w:rPr>
        <w:t>（包括但不限于政府行为、自然灾害、疫情等）</w:t>
      </w:r>
      <w:r>
        <w:rPr>
          <w:rFonts w:hint="eastAsia" w:ascii="仿宋_GB2312" w:hAnsi="宋体" w:eastAsia="仿宋_GB2312" w:cs="宋体"/>
          <w:b/>
          <w:bCs/>
          <w:color w:val="auto"/>
          <w:kern w:val="0"/>
          <w:sz w:val="24"/>
          <w:szCs w:val="24"/>
          <w:highlight w:val="none"/>
        </w:rPr>
        <w:t>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497FD270">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（十四）关联关系及关联交易风险</w:t>
      </w:r>
    </w:p>
    <w:p w14:paraId="03C8EBD3">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w:t>
      </w:r>
      <w:r>
        <w:rPr>
          <w:rFonts w:hint="eastAsia" w:ascii="仿宋_GB2312" w:hAnsi="宋体" w:eastAsia="仿宋_GB2312" w:cs="宋体"/>
          <w:b/>
          <w:bCs/>
          <w:color w:val="auto"/>
          <w:kern w:val="0"/>
          <w:sz w:val="24"/>
          <w:szCs w:val="24"/>
          <w:highlight w:val="none"/>
        </w:rPr>
        <w:t>双方存在关联关系。</w:t>
      </w:r>
    </w:p>
    <w:p w14:paraId="511D5021">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w:t>
      </w:r>
      <w:r>
        <w:rPr>
          <w:rFonts w:hint="eastAsia" w:ascii="仿宋_GB2312" w:hAnsi="宋体" w:eastAsia="仿宋_GB2312" w:cs="宋体"/>
          <w:b/>
          <w:bCs/>
          <w:color w:val="auto"/>
          <w:kern w:val="0"/>
          <w:sz w:val="24"/>
          <w:szCs w:val="24"/>
          <w:highlight w:val="none"/>
        </w:rPr>
        <w:t>提请投资者充分知悉、关注本理财产品关联关系和关联交易风险，投资者签署本理财产品销售文件即代表投资者认可且同意上述可能发生的关联交易并自愿承担相关风险。</w:t>
      </w:r>
    </w:p>
    <w:p w14:paraId="1F6858DA">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（十五）再投资风险</w:t>
      </w:r>
    </w:p>
    <w:p w14:paraId="7330E82C">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由于浙银理财有权根据市场状况和产品余额情况提前终止本理财产品，因市场利率下滑，投资者可能面临本金和收益再投资收益率降低的风险。</w:t>
      </w:r>
    </w:p>
    <w:p w14:paraId="3083E3D9">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（十六）估值风险</w:t>
      </w:r>
    </w:p>
    <w:p w14:paraId="4AE9EB9D">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29546BD9">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业绩报酬，当前述资产管理产品计提业绩报酬时，本理财产品的产品份额净值存在下跌风险。</w:t>
      </w:r>
    </w:p>
    <w:p w14:paraId="192C2765">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（十七）托管及清算风险</w:t>
      </w:r>
    </w:p>
    <w:p w14:paraId="2F3B85EF">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本理财产品存在托管人，若因托管人操作失误或因任何原因未能按约履行托管人职责，或丧失进行托管的能力或法定资格，均可能给本理财产品带来风险。</w:t>
      </w:r>
    </w:p>
    <w:p w14:paraId="48142FC4">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（十八）税务风险</w:t>
      </w:r>
    </w:p>
    <w:p w14:paraId="31E1BF7C">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7953F7AF">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（十九）不同理财产品份额类别存在差异的风险</w:t>
      </w:r>
    </w:p>
    <w:p w14:paraId="6C06637A">
      <w:pPr>
        <w:ind w:firstLine="480" w:firstLineChars="200"/>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管理人有权根据投资者购买理财产品的金额、销售渠道、客户类型等因素，对投资者所持有的理财产品份额设置不同的理财产品份额类别。不同类别的理财产品份额可能在产品销售名称、产品销售代码、销售渠道、销售客群、销售服务费率、托管费率、收费方式、业绩比较基准、认购/申购起点金额及递增金额、认/申购上限金额、认/申购和赎回数量限制、持有金额上/下限、单一投资者持有份额</w:t>
      </w:r>
      <w:r>
        <w:rPr>
          <w:rFonts w:ascii="仿宋_GB2312" w:hAnsi="宋体" w:eastAsia="仿宋_GB2312" w:cs="宋体"/>
          <w:color w:val="auto"/>
          <w:kern w:val="0"/>
          <w:sz w:val="24"/>
          <w:szCs w:val="24"/>
          <w:highlight w:val="none"/>
        </w:rPr>
        <w:t>占比</w:t>
      </w:r>
      <w:r>
        <w:rPr>
          <w:rFonts w:hint="eastAsia" w:ascii="仿宋_GB2312" w:hAnsi="宋体" w:eastAsia="仿宋_GB2312" w:cs="宋体"/>
          <w:color w:val="auto"/>
          <w:kern w:val="0"/>
          <w:sz w:val="24"/>
          <w:szCs w:val="24"/>
          <w:highlight w:val="none"/>
        </w:rPr>
        <w:t>上限、产品规模上限、产品份额净值的计算结果及信息披露等方面存在差异。</w:t>
      </w:r>
    </w:p>
    <w:p w14:paraId="796A1FA1">
      <w:pPr>
        <w:ind w:firstLine="482" w:firstLineChars="200"/>
        <w:rPr>
          <w:rFonts w:hint="eastAsia"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（二十）</w:t>
      </w:r>
      <w:r>
        <w:rPr>
          <w:rFonts w:hint="eastAsia" w:ascii="仿宋_GB2312" w:hAnsi="宋体" w:eastAsia="仿宋_GB2312" w:cs="宋体"/>
          <w:b/>
          <w:bCs/>
          <w:kern w:val="0"/>
          <w:sz w:val="24"/>
          <w:highlight w:val="none"/>
          <w:lang w:eastAsia="zh-CN"/>
        </w:rPr>
        <w:t>投资特定</w:t>
      </w:r>
      <w:r>
        <w:rPr>
          <w:rFonts w:hint="eastAsia" w:ascii="仿宋_GB2312" w:hAnsi="宋体" w:eastAsia="仿宋_GB2312" w:cs="宋体"/>
          <w:b/>
          <w:bCs/>
          <w:kern w:val="0"/>
          <w:sz w:val="24"/>
          <w:highlight w:val="none"/>
        </w:rPr>
        <w:t>风险</w:t>
      </w:r>
    </w:p>
    <w:p w14:paraId="6D4A2996">
      <w:pPr>
        <w:numPr>
          <w:ilvl w:val="0"/>
          <w:numId w:val="0"/>
        </w:numPr>
        <w:ind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本</w:t>
      </w:r>
      <w:r>
        <w:rPr>
          <w:rFonts w:hint="eastAsia" w:ascii="仿宋_GB2312" w:hAnsi="宋体" w:eastAsia="仿宋_GB2312" w:cs="宋体"/>
          <w:b/>
          <w:bCs/>
          <w:color w:val="000000"/>
          <w:kern w:val="0"/>
          <w:sz w:val="24"/>
          <w:highlight w:val="none"/>
          <w:lang w:eastAsia="zh-CN"/>
        </w:rPr>
        <w:t>理财产品因</w:t>
      </w:r>
      <w:r>
        <w:rPr>
          <w:rFonts w:hint="eastAsia" w:ascii="仿宋_GB2312" w:hAnsi="宋体" w:eastAsia="仿宋_GB2312" w:cs="宋体"/>
          <w:b/>
          <w:bCs/>
          <w:color w:val="000000"/>
          <w:kern w:val="0"/>
          <w:sz w:val="24"/>
          <w:highlight w:val="none"/>
        </w:rPr>
        <w:t>拟投资市场</w:t>
      </w:r>
      <w:r>
        <w:rPr>
          <w:rFonts w:hint="eastAsia" w:ascii="仿宋_GB2312" w:hAnsi="宋体" w:eastAsia="仿宋_GB2312" w:cs="宋体"/>
          <w:b/>
          <w:bCs/>
          <w:color w:val="000000"/>
          <w:kern w:val="0"/>
          <w:sz w:val="24"/>
          <w:highlight w:val="none"/>
          <w:lang w:eastAsia="zh-CN"/>
        </w:rPr>
        <w:t>和资产类别</w:t>
      </w:r>
      <w:r>
        <w:rPr>
          <w:rFonts w:hint="eastAsia" w:ascii="仿宋_GB2312" w:hAnsi="宋体" w:eastAsia="仿宋_GB2312" w:cs="宋体"/>
          <w:b/>
          <w:bCs/>
          <w:color w:val="000000"/>
          <w:kern w:val="0"/>
          <w:sz w:val="24"/>
          <w:highlight w:val="none"/>
        </w:rPr>
        <w:t>可能面临的</w:t>
      </w:r>
      <w:r>
        <w:rPr>
          <w:rFonts w:hint="eastAsia" w:ascii="仿宋_GB2312" w:hAnsi="宋体" w:eastAsia="仿宋_GB2312" w:cs="宋体"/>
          <w:b/>
          <w:bCs/>
          <w:color w:val="000000"/>
          <w:kern w:val="0"/>
          <w:sz w:val="24"/>
          <w:highlight w:val="none"/>
          <w:lang w:eastAsia="zh-CN"/>
        </w:rPr>
        <w:t>特定</w:t>
      </w:r>
      <w:r>
        <w:rPr>
          <w:rFonts w:hint="eastAsia" w:ascii="仿宋_GB2312" w:hAnsi="宋体" w:eastAsia="仿宋_GB2312" w:cs="宋体"/>
          <w:b/>
          <w:bCs/>
          <w:color w:val="000000"/>
          <w:kern w:val="0"/>
          <w:sz w:val="24"/>
          <w:highlight w:val="none"/>
        </w:rPr>
        <w:t>风险如下：</w:t>
      </w:r>
    </w:p>
    <w:p w14:paraId="653220C4">
      <w:pPr>
        <w:numPr>
          <w:ilvl w:val="0"/>
          <w:numId w:val="0"/>
        </w:numPr>
        <w:ind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lang w:val="en-US" w:eastAsia="zh-CN"/>
        </w:rPr>
        <w:t>1.</w:t>
      </w:r>
      <w:r>
        <w:rPr>
          <w:rFonts w:hint="eastAsia" w:ascii="仿宋_GB2312" w:hAnsi="宋体" w:eastAsia="仿宋_GB2312" w:cs="宋体"/>
          <w:b/>
          <w:bCs/>
          <w:color w:val="000000"/>
          <w:kern w:val="0"/>
          <w:sz w:val="24"/>
          <w:highlight w:val="none"/>
        </w:rPr>
        <w:t>投资于固定收益类资产</w:t>
      </w:r>
      <w:r>
        <w:rPr>
          <w:rFonts w:hint="eastAsia" w:ascii="仿宋_GB2312" w:hAnsi="宋体" w:eastAsia="仿宋_GB2312" w:cs="宋体"/>
          <w:b/>
          <w:bCs/>
          <w:color w:val="000000"/>
          <w:kern w:val="0"/>
          <w:sz w:val="24"/>
          <w:highlight w:val="none"/>
          <w:lang w:eastAsia="zh-CN"/>
        </w:rPr>
        <w:t>（如有）</w:t>
      </w:r>
      <w:r>
        <w:rPr>
          <w:rFonts w:hint="eastAsia" w:ascii="仿宋_GB2312" w:hAnsi="宋体" w:eastAsia="仿宋_GB2312" w:cs="宋体"/>
          <w:b/>
          <w:bCs/>
          <w:color w:val="000000"/>
          <w:kern w:val="0"/>
          <w:sz w:val="24"/>
          <w:highlight w:val="none"/>
        </w:rPr>
        <w:t>的可能风险：</w:t>
      </w:r>
    </w:p>
    <w:p w14:paraId="375DBF15">
      <w:pPr>
        <w:numPr>
          <w:ilvl w:val="0"/>
          <w:numId w:val="0"/>
        </w:numPr>
        <w:ind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lang w:eastAsia="zh-CN"/>
        </w:rPr>
        <w:t>（</w:t>
      </w:r>
      <w:r>
        <w:rPr>
          <w:rFonts w:hint="eastAsia" w:ascii="仿宋_GB2312" w:hAnsi="宋体" w:eastAsia="仿宋_GB2312" w:cs="宋体"/>
          <w:b/>
          <w:bCs/>
          <w:color w:val="000000"/>
          <w:kern w:val="0"/>
          <w:sz w:val="24"/>
          <w:highlight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27EBD11B">
      <w:pPr>
        <w:numPr>
          <w:ilvl w:val="0"/>
          <w:numId w:val="0"/>
        </w:numPr>
        <w:ind w:firstLine="482" w:firstLineChars="200"/>
        <w:rPr>
          <w:rFonts w:hint="eastAsia" w:ascii="仿宋_GB2312" w:hAnsi="宋体" w:eastAsia="仿宋_GB2312" w:cs="宋体"/>
          <w:b/>
          <w:bCs/>
          <w:color w:val="000000"/>
          <w:kern w:val="0"/>
          <w:sz w:val="24"/>
          <w:highlight w:val="none"/>
          <w:lang w:eastAsia="zh-CN"/>
        </w:rPr>
      </w:pPr>
      <w:r>
        <w:rPr>
          <w:rFonts w:hint="eastAsia" w:ascii="仿宋_GB2312" w:hAnsi="宋体" w:eastAsia="仿宋_GB2312" w:cs="宋体"/>
          <w:b/>
          <w:bCs/>
          <w:color w:val="000000"/>
          <w:kern w:val="0"/>
          <w:sz w:val="24"/>
          <w:highlight w:val="none"/>
          <w:lang w:val="en-US" w:eastAsia="zh-CN"/>
        </w:rPr>
        <w:t>2.</w:t>
      </w:r>
      <w:r>
        <w:rPr>
          <w:rFonts w:hint="eastAsia" w:ascii="仿宋_GB2312" w:hAnsi="宋体" w:eastAsia="仿宋_GB2312" w:cs="宋体"/>
          <w:b/>
          <w:bCs/>
          <w:color w:val="000000"/>
          <w:kern w:val="0"/>
          <w:sz w:val="24"/>
          <w:highlight w:val="none"/>
        </w:rPr>
        <w:t>投资于</w:t>
      </w:r>
      <w:r>
        <w:rPr>
          <w:rFonts w:hint="eastAsia" w:ascii="仿宋_GB2312" w:hAnsi="宋体" w:eastAsia="仿宋_GB2312" w:cs="宋体"/>
          <w:b/>
          <w:bCs/>
          <w:color w:val="000000"/>
          <w:kern w:val="0"/>
          <w:sz w:val="24"/>
          <w:highlight w:val="none"/>
          <w:lang w:eastAsia="zh-CN"/>
        </w:rPr>
        <w:t>股票等权益</w:t>
      </w:r>
      <w:r>
        <w:rPr>
          <w:rFonts w:hint="eastAsia" w:ascii="仿宋_GB2312" w:hAnsi="宋体" w:eastAsia="仿宋_GB2312" w:cs="宋体"/>
          <w:b/>
          <w:bCs/>
          <w:color w:val="000000"/>
          <w:kern w:val="0"/>
          <w:sz w:val="24"/>
          <w:highlight w:val="none"/>
        </w:rPr>
        <w:t>类资产（如有）的可能风险</w:t>
      </w:r>
      <w:r>
        <w:rPr>
          <w:rFonts w:hint="eastAsia" w:ascii="仿宋_GB2312" w:hAnsi="宋体" w:eastAsia="仿宋_GB2312" w:cs="宋体"/>
          <w:b/>
          <w:bCs/>
          <w:color w:val="000000"/>
          <w:kern w:val="0"/>
          <w:sz w:val="24"/>
          <w:highlight w:val="none"/>
          <w:lang w:eastAsia="zh-CN"/>
        </w:rPr>
        <w:t>：</w:t>
      </w:r>
    </w:p>
    <w:p w14:paraId="33AAC8CD">
      <w:pPr>
        <w:numPr>
          <w:ilvl w:val="0"/>
          <w:numId w:val="0"/>
        </w:numPr>
        <w:ind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01018956">
      <w:pPr>
        <w:numPr>
          <w:ilvl w:val="0"/>
          <w:numId w:val="0"/>
        </w:numPr>
        <w:ind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6DB3EEFB">
      <w:pPr>
        <w:ind w:firstLine="482" w:firstLineChars="200"/>
        <w:rPr>
          <w:rFonts w:hint="eastAsia" w:ascii="仿宋_GB2312" w:hAnsi="宋体" w:eastAsia="仿宋_GB2312" w:cs="宋体"/>
          <w:b/>
          <w:bCs/>
          <w:color w:val="000000"/>
          <w:kern w:val="0"/>
          <w:sz w:val="24"/>
          <w:highlight w:val="none"/>
          <w:lang w:eastAsia="zh-CN"/>
        </w:rPr>
      </w:pPr>
      <w:r>
        <w:rPr>
          <w:rFonts w:hint="eastAsia" w:ascii="仿宋_GB2312" w:hAnsi="宋体" w:eastAsia="仿宋_GB2312" w:cs="宋体"/>
          <w:b/>
          <w:bCs/>
          <w:color w:val="000000"/>
          <w:kern w:val="0"/>
          <w:sz w:val="24"/>
          <w:highlight w:val="none"/>
          <w:lang w:val="en-US" w:eastAsia="zh-CN"/>
        </w:rPr>
        <w:t>3</w:t>
      </w:r>
      <w:r>
        <w:rPr>
          <w:rFonts w:hint="eastAsia" w:ascii="仿宋_GB2312" w:hAnsi="宋体" w:eastAsia="仿宋_GB2312" w:cs="宋体"/>
          <w:b/>
          <w:bCs/>
          <w:color w:val="000000"/>
          <w:kern w:val="0"/>
          <w:sz w:val="24"/>
          <w:highlight w:val="none"/>
        </w:rPr>
        <w:t>.投资于商品及金融衍生品类资产（如有）的可能风险</w:t>
      </w:r>
      <w:r>
        <w:rPr>
          <w:rFonts w:hint="eastAsia" w:ascii="仿宋_GB2312" w:hAnsi="宋体" w:eastAsia="仿宋_GB2312" w:cs="宋体"/>
          <w:b/>
          <w:bCs/>
          <w:color w:val="000000"/>
          <w:kern w:val="0"/>
          <w:sz w:val="24"/>
          <w:highlight w:val="none"/>
          <w:lang w:eastAsia="zh-CN"/>
        </w:rPr>
        <w:t>：</w:t>
      </w:r>
    </w:p>
    <w:p w14:paraId="5B7894FD">
      <w:pPr>
        <w:ind w:firstLine="482" w:firstLineChars="200"/>
        <w:rPr>
          <w:rFonts w:hint="eastAsia" w:ascii="仿宋_GB2312" w:hAnsi="宋体" w:eastAsia="仿宋_GB2312" w:cs="宋体"/>
          <w:b/>
          <w:bCs/>
          <w:color w:val="000000"/>
          <w:kern w:val="0"/>
          <w:sz w:val="24"/>
          <w:highlight w:val="none"/>
          <w:lang w:eastAsia="zh-CN"/>
        </w:rPr>
      </w:pPr>
      <w:r>
        <w:rPr>
          <w:rFonts w:hint="eastAsia" w:ascii="仿宋_GB2312" w:hAnsi="宋体" w:eastAsia="仿宋_GB2312" w:cs="宋体"/>
          <w:b/>
          <w:bCs/>
          <w:color w:val="000000"/>
          <w:kern w:val="0"/>
          <w:sz w:val="24"/>
          <w:highlight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w:t>
      </w:r>
      <w:r>
        <w:rPr>
          <w:rFonts w:hint="eastAsia" w:ascii="仿宋_GB2312" w:hAnsi="宋体" w:eastAsia="仿宋_GB2312" w:cs="宋体"/>
          <w:b/>
          <w:bCs/>
          <w:color w:val="000000"/>
          <w:kern w:val="0"/>
          <w:sz w:val="24"/>
          <w:highlight w:val="none"/>
          <w:lang w:eastAsia="zh-CN"/>
        </w:rPr>
        <w:t>基差</w:t>
      </w:r>
      <w:r>
        <w:rPr>
          <w:rFonts w:hint="eastAsia" w:ascii="仿宋_GB2312" w:hAnsi="宋体" w:eastAsia="仿宋_GB2312" w:cs="宋体"/>
          <w:b/>
          <w:bCs/>
          <w:color w:val="000000"/>
          <w:kern w:val="0"/>
          <w:sz w:val="24"/>
          <w:highlight w:val="none"/>
        </w:rPr>
        <w:t>风险</w:t>
      </w:r>
      <w:r>
        <w:rPr>
          <w:rFonts w:hint="eastAsia" w:ascii="仿宋_GB2312" w:hAnsi="宋体" w:eastAsia="仿宋_GB2312" w:cs="宋体"/>
          <w:b/>
          <w:bCs/>
          <w:color w:val="000000"/>
          <w:kern w:val="0"/>
          <w:sz w:val="24"/>
          <w:highlight w:val="none"/>
          <w:lang w:eastAsia="zh-CN"/>
        </w:rPr>
        <w:t>。</w:t>
      </w:r>
    </w:p>
    <w:p w14:paraId="79301DDD">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（二十</w:t>
      </w:r>
      <w:r>
        <w:rPr>
          <w:rFonts w:hint="eastAsia" w:ascii="仿宋_GB2312" w:hAnsi="宋体" w:eastAsia="仿宋_GB2312" w:cs="宋体"/>
          <w:b/>
          <w:bCs/>
          <w:color w:val="auto"/>
          <w:kern w:val="0"/>
          <w:sz w:val="24"/>
          <w:szCs w:val="24"/>
          <w:highlight w:val="none"/>
          <w:lang w:eastAsia="zh-CN"/>
        </w:rPr>
        <w:t>一</w:t>
      </w:r>
      <w:r>
        <w:rPr>
          <w:rFonts w:hint="eastAsia" w:ascii="仿宋_GB2312" w:hAnsi="宋体" w:eastAsia="仿宋_GB2312" w:cs="宋体"/>
          <w:b/>
          <w:bCs/>
          <w:color w:val="auto"/>
          <w:kern w:val="0"/>
          <w:sz w:val="24"/>
          <w:szCs w:val="24"/>
          <w:highlight w:val="none"/>
        </w:rPr>
        <w:t>）其他风险</w:t>
      </w:r>
    </w:p>
    <w:p w14:paraId="68978521">
      <w:pPr>
        <w:ind w:firstLine="480" w:firstLineChars="200"/>
        <w:rPr>
          <w:rFonts w:ascii="仿宋_GB2312" w:eastAsia="仿宋_GB2312"/>
          <w:color w:val="auto"/>
          <w:sz w:val="24"/>
          <w:szCs w:val="24"/>
          <w:highlight w:val="none"/>
        </w:rPr>
      </w:pPr>
      <w:r>
        <w:rPr>
          <w:rFonts w:hint="eastAsia" w:ascii="仿宋_GB2312" w:hAnsi="宋体" w:eastAsia="仿宋_GB2312" w:cs="宋体"/>
          <w:bCs/>
          <w:color w:val="auto"/>
          <w:kern w:val="0"/>
          <w:sz w:val="24"/>
          <w:szCs w:val="24"/>
          <w:highlight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3BA77DA2">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以上所揭示事项仅为列举性质，未能尽述列明投资者投资本理财产品所面临的全部风险和可能导致投资者资产损失的所有因素。投资者应充分认识投资风险，谨慎投资。</w:t>
      </w:r>
    </w:p>
    <w:p w14:paraId="418391B8">
      <w:pPr>
        <w:spacing w:before="240" w:after="240"/>
        <w:ind w:firstLine="480" w:firstLineChars="200"/>
        <w:rPr>
          <w:rFonts w:ascii="黑体" w:hAnsi="黑体" w:eastAsia="黑体" w:cs="宋体"/>
          <w:bCs/>
          <w:color w:val="auto"/>
          <w:kern w:val="0"/>
          <w:sz w:val="24"/>
          <w:szCs w:val="24"/>
          <w:highlight w:val="none"/>
        </w:rPr>
      </w:pPr>
      <w:r>
        <w:rPr>
          <w:rFonts w:hint="eastAsia" w:ascii="黑体" w:hAnsi="黑体" w:eastAsia="黑体" w:cs="宋体"/>
          <w:bCs/>
          <w:color w:val="auto"/>
          <w:kern w:val="0"/>
          <w:sz w:val="24"/>
          <w:szCs w:val="24"/>
          <w:highlight w:val="none"/>
        </w:rPr>
        <w:t>二、投资者提示</w:t>
      </w:r>
    </w:p>
    <w:p w14:paraId="102A28BF">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（一）理财非存款、产品有风险、投资须谨慎。</w:t>
      </w:r>
    </w:p>
    <w:p w14:paraId="296592DB">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（二）本理财产品不受存款保险及其他保障机制的保障。</w:t>
      </w:r>
    </w:p>
    <w:p w14:paraId="106B5980">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（三）本理财产品不保证本金及收益，您的本金可能因为市场变动而蒙受相应损失。投资者应充分认识投资风险。</w:t>
      </w:r>
    </w:p>
    <w:p w14:paraId="3F9AD5EA">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（四）本理财产品业绩比较基准（如有）、过往历史业绩均不代表其业绩承诺或未来表现，不等于投资本理财产品未来实际收益，投资须谨慎。</w:t>
      </w:r>
    </w:p>
    <w:p w14:paraId="251F97D3">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（五）本理财产品信息</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9"/>
        <w:gridCol w:w="7654"/>
      </w:tblGrid>
      <w:tr w14:paraId="4F7E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05C92A82">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产品类型</w:t>
            </w:r>
          </w:p>
        </w:tc>
        <w:tc>
          <w:tcPr>
            <w:tcW w:w="7654" w:type="dxa"/>
            <w:noWrap w:val="0"/>
            <w:vAlign w:val="top"/>
          </w:tcPr>
          <w:p w14:paraId="715DC3F0">
            <w:pP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非保本浮动收益、净值型、【公募】、</w:t>
            </w:r>
            <w:r>
              <w:rPr>
                <w:rFonts w:hint="eastAsia" w:ascii="仿宋_GB2312" w:hAnsi="宋体" w:eastAsia="仿宋_GB2312" w:cs="宋体"/>
                <w:b/>
                <w:bCs/>
                <w:color w:val="auto"/>
                <w:kern w:val="0"/>
                <w:sz w:val="24"/>
                <w:szCs w:val="24"/>
                <w:highlight w:val="none"/>
                <w:lang w:eastAsia="zh-CN"/>
              </w:rPr>
              <w:t>封闭</w:t>
            </w:r>
            <w:r>
              <w:rPr>
                <w:rFonts w:hint="eastAsia" w:ascii="仿宋_GB2312" w:hAnsi="宋体" w:eastAsia="仿宋_GB2312" w:cs="宋体"/>
                <w:b/>
                <w:bCs/>
                <w:color w:val="auto"/>
                <w:kern w:val="0"/>
                <w:sz w:val="24"/>
                <w:szCs w:val="24"/>
                <w:highlight w:val="none"/>
              </w:rPr>
              <w:t>式、</w:t>
            </w:r>
            <w:r>
              <w:rPr>
                <w:rFonts w:hint="eastAsia" w:ascii="仿宋_GB2312" w:hAnsi="宋体" w:eastAsia="仿宋_GB2312" w:cs="宋体"/>
                <w:b/>
                <w:bCs/>
                <w:color w:val="auto"/>
                <w:kern w:val="0"/>
                <w:sz w:val="24"/>
                <w:szCs w:val="24"/>
                <w:highlight w:val="none"/>
                <w:lang w:eastAsia="zh-CN"/>
              </w:rPr>
              <w:t>固定收益</w:t>
            </w:r>
            <w:r>
              <w:rPr>
                <w:rFonts w:hint="eastAsia" w:ascii="仿宋_GB2312" w:hAnsi="宋体" w:eastAsia="仿宋_GB2312" w:cs="宋体"/>
                <w:b/>
                <w:bCs/>
                <w:color w:val="auto"/>
                <w:kern w:val="0"/>
                <w:sz w:val="24"/>
                <w:szCs w:val="24"/>
                <w:highlight w:val="none"/>
              </w:rPr>
              <w:t>类</w:t>
            </w:r>
          </w:p>
        </w:tc>
      </w:tr>
      <w:tr w14:paraId="7235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3F64E8D4">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产品期限</w:t>
            </w:r>
          </w:p>
        </w:tc>
        <w:tc>
          <w:tcPr>
            <w:tcW w:w="7654" w:type="dxa"/>
            <w:noWrap w:val="0"/>
            <w:vAlign w:val="top"/>
          </w:tcPr>
          <w:p w14:paraId="5CF6A478">
            <w:pP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lang w:val="en-US" w:eastAsia="zh-CN"/>
              </w:rPr>
              <w:t>396</w:t>
            </w:r>
            <w:bookmarkStart w:id="0" w:name="_GoBack"/>
            <w:bookmarkEnd w:id="0"/>
            <w:r>
              <w:rPr>
                <w:rFonts w:hint="eastAsia" w:ascii="仿宋_GB2312" w:hAnsi="宋体" w:eastAsia="仿宋_GB2312" w:cs="宋体"/>
                <w:b/>
                <w:bCs/>
                <w:color w:val="auto"/>
                <w:kern w:val="0"/>
                <w:sz w:val="24"/>
                <w:szCs w:val="24"/>
                <w:highlight w:val="none"/>
                <w:lang w:val="en-US" w:eastAsia="zh-CN"/>
              </w:rPr>
              <w:t>天</w:t>
            </w:r>
            <w:r>
              <w:rPr>
                <w:rFonts w:hint="eastAsia" w:ascii="仿宋_GB2312" w:hAnsi="宋体" w:eastAsia="仿宋_GB2312" w:cs="宋体"/>
                <w:b/>
                <w:bCs/>
                <w:color w:val="auto"/>
                <w:kern w:val="0"/>
                <w:sz w:val="24"/>
                <w:szCs w:val="24"/>
                <w:highlight w:val="none"/>
              </w:rPr>
              <w:t>（若本理财产品提前终止或延期终止，以实际到期日计算持有天数）；</w:t>
            </w:r>
            <w:r>
              <w:rPr>
                <w:rFonts w:hint="eastAsia" w:ascii="仿宋_GB2312" w:hAnsi="宋体" w:eastAsia="仿宋_GB2312" w:cs="宋体"/>
                <w:bCs/>
                <w:color w:val="auto"/>
                <w:kern w:val="0"/>
                <w:sz w:val="24"/>
                <w:szCs w:val="24"/>
                <w:highlight w:val="none"/>
              </w:rPr>
              <w:t>本理财产品其他信息详见《产品说明书》。</w:t>
            </w:r>
          </w:p>
        </w:tc>
      </w:tr>
      <w:tr w14:paraId="7093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382261E3">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风险等级</w:t>
            </w:r>
          </w:p>
        </w:tc>
        <w:tc>
          <w:tcPr>
            <w:tcW w:w="7654" w:type="dxa"/>
            <w:noWrap w:val="0"/>
            <w:vAlign w:val="top"/>
          </w:tcPr>
          <w:p w14:paraId="511A6F29">
            <w:pPr>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浙银理财内部风险等级为【</w:t>
            </w:r>
            <w:r>
              <w:rPr>
                <w:rFonts w:hint="eastAsia" w:ascii="仿宋_GB2312" w:hAnsi="宋体" w:eastAsia="仿宋_GB2312" w:cs="宋体"/>
                <w:b/>
                <w:bCs w:val="0"/>
                <w:color w:val="auto"/>
                <w:kern w:val="0"/>
                <w:sz w:val="24"/>
                <w:szCs w:val="24"/>
                <w:highlight w:val="none"/>
                <w:lang w:eastAsia="zh-CN"/>
              </w:rPr>
              <w:t>中低</w:t>
            </w:r>
            <w:r>
              <w:rPr>
                <w:rFonts w:ascii="仿宋_GB2312" w:hAnsi="宋体" w:eastAsia="仿宋_GB2312" w:cs="宋体"/>
                <w:bCs/>
                <w:color w:val="auto"/>
                <w:kern w:val="0"/>
                <w:sz w:val="24"/>
                <w:szCs w:val="24"/>
                <w:highlight w:val="none"/>
              </w:rPr>
              <w:t>】</w:t>
            </w:r>
            <w:r>
              <w:rPr>
                <w:rFonts w:hint="eastAsia" w:ascii="仿宋_GB2312" w:hAnsi="宋体" w:eastAsia="仿宋_GB2312" w:cs="宋体"/>
                <w:b/>
                <w:bCs/>
                <w:color w:val="auto"/>
                <w:kern w:val="0"/>
                <w:sz w:val="24"/>
                <w:szCs w:val="24"/>
                <w:highlight w:val="none"/>
              </w:rPr>
              <w:t>风险【</w:t>
            </w:r>
            <w:r>
              <w:rPr>
                <w:rFonts w:hint="eastAsia" w:ascii="仿宋_GB2312" w:hAnsi="宋体" w:eastAsia="仿宋_GB2312" w:cs="宋体"/>
                <w:b/>
                <w:bCs/>
                <w:color w:val="auto"/>
                <w:kern w:val="0"/>
                <w:sz w:val="24"/>
                <w:szCs w:val="24"/>
                <w:highlight w:val="none"/>
                <w:lang w:val="en-US" w:eastAsia="zh-CN"/>
              </w:rPr>
              <w:t>R2</w:t>
            </w:r>
            <w:r>
              <w:rPr>
                <w:rFonts w:hint="eastAsia" w:ascii="仿宋_GB2312" w:hAnsi="宋体" w:eastAsia="仿宋_GB2312" w:cs="宋体"/>
                <w:b/>
                <w:bCs/>
                <w:color w:val="auto"/>
                <w:kern w:val="0"/>
                <w:sz w:val="24"/>
                <w:szCs w:val="24"/>
                <w:highlight w:val="none"/>
              </w:rPr>
              <w:t>】</w:t>
            </w:r>
          </w:p>
          <w:p w14:paraId="37A80185">
            <w:pPr>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w:t>
            </w:r>
            <w:r>
              <w:rPr>
                <w:rFonts w:hint="eastAsia" w:ascii="仿宋_GB2312" w:hAnsi="宋体" w:eastAsia="仿宋_GB2312" w:cs="宋体"/>
                <w:b/>
                <w:color w:val="auto"/>
                <w:kern w:val="0"/>
                <w:sz w:val="24"/>
                <w:szCs w:val="24"/>
                <w:highlight w:val="none"/>
              </w:rPr>
              <w:t>本风险等级为管理人内部风险评级结果，仅供参考</w:t>
            </w:r>
            <w:r>
              <w:rPr>
                <w:rFonts w:ascii="仿宋_GB2312" w:hAnsi="宋体" w:eastAsia="仿宋_GB2312" w:cs="宋体"/>
                <w:b/>
                <w:color w:val="auto"/>
                <w:kern w:val="0"/>
                <w:sz w:val="24"/>
                <w:szCs w:val="24"/>
                <w:highlight w:val="none"/>
              </w:rPr>
              <w:t>,</w:t>
            </w:r>
            <w:r>
              <w:rPr>
                <w:rFonts w:ascii="宋体" w:hAnsi="宋体"/>
                <w:b/>
                <w:color w:val="auto"/>
                <w:sz w:val="24"/>
                <w:szCs w:val="24"/>
                <w:highlight w:val="none"/>
              </w:rPr>
              <w:t xml:space="preserve"> </w:t>
            </w:r>
            <w:r>
              <w:rPr>
                <w:rFonts w:hint="eastAsia" w:ascii="仿宋_GB2312" w:hAnsi="宋体" w:eastAsia="仿宋_GB2312" w:cs="宋体"/>
                <w:b/>
                <w:color w:val="auto"/>
                <w:kern w:val="0"/>
                <w:sz w:val="24"/>
                <w:szCs w:val="24"/>
                <w:highlight w:val="none"/>
              </w:rPr>
              <w:t>本产品通过代理销售机构渠道销售的，理财产品评级应当以代理销售机构最终披露的评级结果为准。代理销售机构如与管理人理财产品风险评级结果不一致，应当采用对应较高风险等级的评级结果。</w:t>
            </w:r>
            <w:r>
              <w:rPr>
                <w:rFonts w:hint="eastAsia" w:ascii="仿宋_GB2312" w:hAnsi="宋体" w:eastAsia="仿宋_GB2312" w:cs="宋体"/>
                <w:bCs/>
                <w:color w:val="auto"/>
                <w:kern w:val="0"/>
                <w:sz w:val="24"/>
                <w:szCs w:val="24"/>
                <w:highlight w:val="none"/>
              </w:rPr>
              <w:t>）产品管理人在符合监管政策的前提下可对产品风险评级进行动态管理，如产品风险等级发生调整，将提前通过本《产品说明书》“信息披露”约定的方式通知投资者。</w:t>
            </w:r>
          </w:p>
        </w:tc>
      </w:tr>
      <w:tr w14:paraId="5D3B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0840C99A">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适合购买的</w:t>
            </w:r>
          </w:p>
          <w:p w14:paraId="15733F29">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投资者</w:t>
            </w:r>
          </w:p>
        </w:tc>
        <w:tc>
          <w:tcPr>
            <w:tcW w:w="7654" w:type="dxa"/>
            <w:noWrap w:val="0"/>
            <w:vAlign w:val="top"/>
          </w:tcPr>
          <w:p w14:paraId="22387D40">
            <w:pPr>
              <w:snapToGrid w:val="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不特定社会公众（个人、机构投资者）；其中，普通投资者应符合相关法律法规、监管规定，经销售机构评估评定投资者风险承受能力与本产品风险等级相适应。</w:t>
            </w:r>
          </w:p>
          <w:p w14:paraId="5E7F8E14">
            <w:pPr>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本产品通过销售机构销售的，产品风险等级应当以销售机构最终披露的评级结果为准。</w:t>
            </w:r>
          </w:p>
        </w:tc>
      </w:tr>
      <w:tr w14:paraId="10D8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53F13106">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最不利情形下的投资结果示例</w:t>
            </w:r>
          </w:p>
        </w:tc>
        <w:tc>
          <w:tcPr>
            <w:tcW w:w="7654" w:type="dxa"/>
            <w:noWrap w:val="0"/>
            <w:vAlign w:val="top"/>
          </w:tcPr>
          <w:p w14:paraId="7473A373">
            <w:pP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例如，假设投资者投资本理财产品的本金为【10】万元人民币，如本理财产品投资资产出现市场价格剧烈波动或发行人违约等情形，在最不利的情况下，本理财产品投资组合全部亏损的，本理财产品收益为</w:t>
            </w:r>
            <w:r>
              <w:rPr>
                <w:rFonts w:ascii="仿宋_GB2312" w:hAnsi="宋体" w:eastAsia="仿宋_GB2312" w:cs="宋体"/>
                <w:b/>
                <w:bCs/>
                <w:color w:val="auto"/>
                <w:kern w:val="0"/>
                <w:sz w:val="24"/>
                <w:szCs w:val="24"/>
                <w:highlight w:val="none"/>
              </w:rPr>
              <w:t>0，本金全部损失。</w:t>
            </w:r>
          </w:p>
        </w:tc>
      </w:tr>
      <w:tr w14:paraId="53E4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6F5C51D9">
            <w:pPr>
              <w:jc w:val="center"/>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因市场变动</w:t>
            </w:r>
            <w:r>
              <w:rPr>
                <w:rFonts w:hint="eastAsia" w:ascii="仿宋_GB2312" w:hAnsi="宋体" w:eastAsia="仿宋_GB2312" w:cs="宋体"/>
                <w:b/>
                <w:bCs/>
                <w:color w:val="auto"/>
                <w:kern w:val="0"/>
                <w:sz w:val="24"/>
                <w:szCs w:val="24"/>
                <w:highlight w:val="none"/>
                <w:lang w:eastAsia="zh-CN"/>
              </w:rPr>
              <w:t>等</w:t>
            </w:r>
            <w:r>
              <w:rPr>
                <w:rFonts w:hint="eastAsia" w:ascii="仿宋_GB2312" w:hAnsi="宋体" w:eastAsia="仿宋_GB2312" w:cs="宋体"/>
                <w:b/>
                <w:bCs/>
                <w:color w:val="auto"/>
                <w:kern w:val="0"/>
                <w:sz w:val="24"/>
                <w:szCs w:val="24"/>
                <w:highlight w:val="none"/>
              </w:rPr>
              <w:t>而蒙受损失的程度</w:t>
            </w:r>
          </w:p>
        </w:tc>
        <w:tc>
          <w:tcPr>
            <w:tcW w:w="7654" w:type="dxa"/>
            <w:noWrap w:val="0"/>
            <w:vAlign w:val="top"/>
          </w:tcPr>
          <w:p w14:paraId="05F6792B">
            <w:pPr>
              <w:pStyle w:val="16"/>
              <w:widowControl/>
              <w:numPr>
                <w:ilvl w:val="0"/>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14:textFill>
                  <w14:solidFill>
                    <w14:schemeClr w14:val="tx1"/>
                  </w14:solidFill>
                </w14:textFill>
              </w:rPr>
            </w:pPr>
            <w:r>
              <w:rPr>
                <w:rFonts w:hint="eastAsia" w:ascii="仿宋_GB2312" w:hAnsi="宋体" w:eastAsia="仿宋_GB2312" w:cs="宋体"/>
                <w:b/>
                <w:color w:val="000000" w:themeColor="text1"/>
                <w:kern w:val="0"/>
                <w:sz w:val="24"/>
                <w:szCs w:val="24"/>
                <w:highlight w:val="none"/>
                <w14:textFill>
                  <w14:solidFill>
                    <w14:schemeClr w14:val="tx1"/>
                  </w14:solidFill>
                </w14:textFill>
              </w:rPr>
              <w:t>管理人根据理财产品投资范围、投资资产和投资比例等因素，对理财产品进行内部风险评级，仅供投资者参考，不具有任何法律约束力，</w:t>
            </w:r>
            <w:r>
              <w:rPr>
                <w:rFonts w:hint="eastAsia" w:ascii="仿宋_GB2312" w:hAnsi="宋体" w:eastAsia="仿宋_GB2312" w:cs="宋体"/>
                <w:b/>
                <w:color w:val="000000" w:themeColor="text1"/>
                <w:kern w:val="0"/>
                <w:sz w:val="24"/>
                <w:szCs w:val="24"/>
                <w:highlight w:val="none"/>
                <w:lang w:eastAsia="zh-CN"/>
                <w14:textFill>
                  <w14:solidFill>
                    <w14:schemeClr w14:val="tx1"/>
                  </w14:solidFill>
                </w14:textFill>
              </w:rPr>
              <w:t>投资者可能因本《风险揭示书》揭示的市场风险等风险而蒙受损失，</w:t>
            </w:r>
            <w:r>
              <w:rPr>
                <w:rFonts w:hint="eastAsia" w:ascii="仿宋_GB2312" w:hAnsi="宋体" w:eastAsia="仿宋_GB2312" w:cs="宋体"/>
                <w:b/>
                <w:color w:val="000000" w:themeColor="text1"/>
                <w:kern w:val="0"/>
                <w:sz w:val="24"/>
                <w:szCs w:val="24"/>
                <w:highlight w:val="none"/>
                <w14:textFill>
                  <w14:solidFill>
                    <w14:schemeClr w14:val="tx1"/>
                  </w14:solidFill>
                </w14:textFill>
              </w:rPr>
              <w:t>风险评级由低到高分为以下五级：</w:t>
            </w:r>
          </w:p>
          <w:p w14:paraId="2160E2CD">
            <w:pPr>
              <w:pStyle w:val="16"/>
              <w:widowControl/>
              <w:numPr>
                <w:ilvl w:val="255"/>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14:textFill>
                  <w14:solidFill>
                    <w14:schemeClr w14:val="tx1"/>
                  </w14:solidFill>
                </w14:textFill>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1.</w:t>
            </w:r>
            <w:r>
              <w:rPr>
                <w:rFonts w:hint="eastAsia" w:ascii="仿宋_GB2312" w:hAnsi="宋体" w:eastAsia="仿宋_GB2312" w:cs="宋体"/>
                <w:b/>
                <w:color w:val="000000" w:themeColor="text1"/>
                <w:kern w:val="0"/>
                <w:sz w:val="24"/>
                <w:szCs w:val="24"/>
                <w:highlight w:val="none"/>
                <w14:textFill>
                  <w14:solidFill>
                    <w14:schemeClr w14:val="tx1"/>
                  </w14:solidFill>
                </w14:textFill>
              </w:rPr>
              <w:t xml:space="preserve">低风险产品（R1级）：产品总体风险程度低，本金及收益受风险因素影响很小，有很大可能达到业绩比较基准（如有）的产品。 </w:t>
            </w:r>
          </w:p>
          <w:p w14:paraId="2018636C">
            <w:pPr>
              <w:pStyle w:val="16"/>
              <w:widowControl/>
              <w:numPr>
                <w:ilvl w:val="255"/>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lang w:eastAsia="zh-CN"/>
                <w14:textFill>
                  <w14:solidFill>
                    <w14:schemeClr w14:val="tx1"/>
                  </w14:solidFill>
                </w14:textFill>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2.</w:t>
            </w:r>
            <w:r>
              <w:rPr>
                <w:rFonts w:hint="eastAsia" w:ascii="仿宋_GB2312" w:hAnsi="宋体" w:eastAsia="仿宋_GB2312" w:cs="宋体"/>
                <w:b/>
                <w:color w:val="000000" w:themeColor="text1"/>
                <w:kern w:val="0"/>
                <w:sz w:val="24"/>
                <w:szCs w:val="24"/>
                <w:highlight w:val="none"/>
                <w14:textFill>
                  <w14:solidFill>
                    <w14:schemeClr w14:val="tx1"/>
                  </w14:solidFill>
                </w14:textFill>
              </w:rPr>
              <w:t>中低风险产品（R2级）：产品总体风险程度较低，本金损失的可能性小，业绩比较基准（如有）不能实现的概率较低的产品</w:t>
            </w:r>
            <w:r>
              <w:rPr>
                <w:rFonts w:hint="eastAsia" w:ascii="仿宋_GB2312" w:hAnsi="宋体" w:eastAsia="仿宋_GB2312" w:cs="宋体"/>
                <w:b/>
                <w:color w:val="000000" w:themeColor="text1"/>
                <w:kern w:val="0"/>
                <w:sz w:val="24"/>
                <w:szCs w:val="24"/>
                <w:highlight w:val="none"/>
                <w:lang w:eastAsia="zh-CN"/>
                <w14:textFill>
                  <w14:solidFill>
                    <w14:schemeClr w14:val="tx1"/>
                  </w14:solidFill>
                </w14:textFill>
              </w:rPr>
              <w:t>。</w:t>
            </w:r>
          </w:p>
          <w:p w14:paraId="7D332AF7">
            <w:pPr>
              <w:pStyle w:val="16"/>
              <w:widowControl/>
              <w:numPr>
                <w:ilvl w:val="255"/>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14:textFill>
                  <w14:solidFill>
                    <w14:schemeClr w14:val="tx1"/>
                  </w14:solidFill>
                </w14:textFill>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3.</w:t>
            </w:r>
            <w:r>
              <w:rPr>
                <w:rFonts w:hint="eastAsia" w:ascii="仿宋_GB2312" w:hAnsi="宋体" w:eastAsia="仿宋_GB2312" w:cs="宋体"/>
                <w:b/>
                <w:color w:val="000000" w:themeColor="text1"/>
                <w:kern w:val="0"/>
                <w:sz w:val="24"/>
                <w:szCs w:val="24"/>
                <w:highlight w:val="none"/>
                <w14:textFill>
                  <w14:solidFill>
                    <w14:schemeClr w14:val="tx1"/>
                  </w14:solidFill>
                </w14:textFill>
              </w:rPr>
              <w:t>中风险产品（R3级）：产品总体风险程度适中，本金亏损的可能性较小，风险因素对本金及收益会产生一定影响的产品。</w:t>
            </w:r>
          </w:p>
          <w:p w14:paraId="3AFEE809">
            <w:pPr>
              <w:pStyle w:val="16"/>
              <w:widowControl/>
              <w:numPr>
                <w:ilvl w:val="255"/>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none"/>
                <w14:textFill>
                  <w14:solidFill>
                    <w14:schemeClr w14:val="tx1"/>
                  </w14:solidFill>
                </w14:textFill>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4.</w:t>
            </w:r>
            <w:r>
              <w:rPr>
                <w:rFonts w:hint="eastAsia" w:ascii="仿宋_GB2312" w:hAnsi="宋体" w:eastAsia="仿宋_GB2312" w:cs="宋体"/>
                <w:b/>
                <w:color w:val="000000" w:themeColor="text1"/>
                <w:kern w:val="0"/>
                <w:sz w:val="24"/>
                <w:szCs w:val="24"/>
                <w:highlight w:val="none"/>
                <w14:textFill>
                  <w14:solidFill>
                    <w14:schemeClr w14:val="tx1"/>
                  </w14:solidFill>
                </w14:textFill>
              </w:rPr>
              <w:t>中高风险产品（R4级）：产品总体风险程度较高，本金可能存在损失风险，产品收益随投资表现波动的产品。</w:t>
            </w:r>
          </w:p>
          <w:p w14:paraId="5B032149">
            <w:pPr>
              <w:pStyle w:val="16"/>
              <w:widowControl/>
              <w:numPr>
                <w:ilvl w:val="0"/>
                <w:numId w:val="0"/>
              </w:numPr>
              <w:tabs>
                <w:tab w:val="left" w:pos="1080"/>
              </w:tabs>
              <w:snapToGrid w:val="0"/>
              <w:spacing w:line="240" w:lineRule="auto"/>
              <w:ind w:left="0" w:leftChars="0" w:firstLine="0" w:firstLineChars="0"/>
              <w:jc w:val="left"/>
              <w:outlineLvl w:val="0"/>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color w:val="000000" w:themeColor="text1"/>
                <w:kern w:val="0"/>
                <w:sz w:val="24"/>
                <w:szCs w:val="24"/>
                <w:highlight w:val="none"/>
                <w:lang w:val="en-US" w:eastAsia="zh-CN"/>
                <w14:textFill>
                  <w14:solidFill>
                    <w14:schemeClr w14:val="tx1"/>
                  </w14:solidFill>
                </w14:textFill>
              </w:rPr>
              <w:t>5.</w:t>
            </w:r>
            <w:r>
              <w:rPr>
                <w:rFonts w:hint="eastAsia" w:ascii="仿宋_GB2312" w:hAnsi="宋体" w:eastAsia="仿宋_GB2312" w:cs="宋体"/>
                <w:b/>
                <w:color w:val="000000" w:themeColor="text1"/>
                <w:kern w:val="0"/>
                <w:sz w:val="24"/>
                <w:szCs w:val="24"/>
                <w:highlight w:val="none"/>
                <w14:textFill>
                  <w14:solidFill>
                    <w14:schemeClr w14:val="tx1"/>
                  </w14:solidFill>
                </w14:textFill>
              </w:rPr>
              <w:t>高风险产品（R5级）：产品总体风险程度高，本金损失风险较高，产品收益随投资表现波动的产品。</w:t>
            </w:r>
          </w:p>
        </w:tc>
      </w:tr>
    </w:tbl>
    <w:p w14:paraId="19C78CDF">
      <w:pPr>
        <w:spacing w:before="240"/>
        <w:ind w:firstLine="480" w:firstLineChars="200"/>
        <w:rPr>
          <w:rFonts w:ascii="仿宋_GB2312" w:hAnsi="宋体" w:eastAsia="仿宋_GB2312" w:cs="宋体"/>
          <w:b/>
          <w:bCs/>
          <w:color w:val="auto"/>
          <w:kern w:val="0"/>
          <w:sz w:val="24"/>
          <w:szCs w:val="24"/>
          <w:highlight w:val="none"/>
          <w:u w:val="single"/>
        </w:rPr>
      </w:pPr>
      <w:r>
        <w:rPr>
          <w:rFonts w:hint="eastAsia" w:ascii="仿宋_GB2312" w:hAnsi="宋体" w:eastAsia="仿宋_GB2312" w:cs="宋体"/>
          <w:bCs/>
          <w:color w:val="auto"/>
          <w:kern w:val="0"/>
          <w:sz w:val="24"/>
          <w:szCs w:val="24"/>
          <w:highlight w:val="none"/>
        </w:rPr>
        <w:t>（六）</w:t>
      </w:r>
      <w:r>
        <w:rPr>
          <w:rFonts w:hint="eastAsia" w:ascii="仿宋_GB2312" w:hAnsi="宋体" w:eastAsia="仿宋_GB2312" w:cs="宋体"/>
          <w:b/>
          <w:bCs/>
          <w:color w:val="auto"/>
          <w:kern w:val="0"/>
          <w:sz w:val="24"/>
          <w:szCs w:val="24"/>
          <w:highlight w:val="none"/>
        </w:rPr>
        <w:t>普通投资者应确保其风险承受能力评估结果由投资者自行填写，且风险承受能力等级不低于本理财产品风险评级。</w:t>
      </w:r>
      <w:r>
        <w:rPr>
          <w:rFonts w:hint="eastAsia" w:ascii="仿宋_GB2312" w:hAnsi="宋体" w:eastAsia="仿宋_GB2312" w:cs="宋体"/>
          <w:b/>
          <w:bCs/>
          <w:color w:val="auto"/>
          <w:kern w:val="0"/>
          <w:sz w:val="24"/>
          <w:szCs w:val="24"/>
          <w:highlight w:val="none"/>
          <w:u w:val="single"/>
        </w:rPr>
        <w:t>如普通投资者的风险承受能力评估已超过一年，或影响风险承受能力的因素发生变化，请及时完成风险承受能力的重新评估，并对评估结果签字确认。</w:t>
      </w:r>
    </w:p>
    <w:p w14:paraId="590B75DB">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（七）本理财产品的销售文件包括《风险揭示书》《产品说明书》《投资协议书》《投资者权益须知》《（代理）销售协议书》等，</w:t>
      </w:r>
      <w:r>
        <w:rPr>
          <w:rFonts w:hint="eastAsia" w:ascii="仿宋_GB2312" w:hAnsi="宋体" w:eastAsia="仿宋_GB2312" w:cs="宋体"/>
          <w:b/>
          <w:bCs/>
          <w:color w:val="auto"/>
          <w:kern w:val="0"/>
          <w:sz w:val="24"/>
          <w:szCs w:val="24"/>
          <w:highlight w:val="none"/>
        </w:rPr>
        <w:t>投资者通过销售机构线上</w:t>
      </w:r>
      <w:r>
        <w:rPr>
          <w:rFonts w:ascii="仿宋_GB2312" w:hAnsi="宋体" w:eastAsia="仿宋_GB2312" w:cs="宋体"/>
          <w:b/>
          <w:bCs/>
          <w:color w:val="auto"/>
          <w:kern w:val="0"/>
          <w:sz w:val="24"/>
          <w:szCs w:val="24"/>
          <w:highlight w:val="none"/>
        </w:rPr>
        <w:t>/线下渠道成功认购/申购/投资本理财产品，即同意本理财产品销售文件的约定并将资金委托浙银理财投资运作，是投资者真实意愿的充分表达。</w:t>
      </w:r>
    </w:p>
    <w:p w14:paraId="43AA296F">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（八）浙银理财将根据相关法律、法规严格履行投资者信息保密责任，不得无故向其他组织、个人提供或者泄露与投资者有关的业务资料及信息。</w:t>
      </w:r>
      <w:r>
        <w:rPr>
          <w:rFonts w:hint="eastAsia" w:ascii="仿宋_GB2312" w:hAnsi="宋体" w:eastAsia="仿宋_GB2312" w:cs="宋体"/>
          <w:b/>
          <w:bCs/>
          <w:color w:val="auto"/>
          <w:kern w:val="0"/>
          <w:sz w:val="24"/>
          <w:szCs w:val="24"/>
          <w:highlight w:val="none"/>
        </w:rPr>
        <w:t>浙银理财向确有知悉必要的雇员提供投资者信息，或按照有关法律、法规、监管要求向司法机关、行政机关等有关政府部门、投资合作机构及第三方专业机构提供的，不视为对保密义务的违反。</w:t>
      </w:r>
    </w:p>
    <w:p w14:paraId="57B38DBA">
      <w:pPr>
        <w:ind w:firstLine="480" w:firstLineChars="200"/>
        <w:jc w:val="right"/>
        <w:rPr>
          <w:rFonts w:ascii="仿宋_GB2312" w:hAnsi="宋体" w:eastAsia="仿宋_GB2312" w:cs="宋体"/>
          <w:bCs/>
          <w:color w:val="auto"/>
          <w:kern w:val="0"/>
          <w:sz w:val="24"/>
          <w:szCs w:val="24"/>
          <w:highlight w:val="none"/>
        </w:rPr>
      </w:pPr>
    </w:p>
    <w:p w14:paraId="41C1C2AE">
      <w:pPr>
        <w:ind w:firstLine="480" w:firstLineChars="200"/>
        <w:rPr>
          <w:rFonts w:ascii="仿宋_GB2312" w:hAnsi="宋体" w:eastAsia="仿宋_GB2312" w:cs="宋体"/>
          <w:bCs/>
          <w:color w:val="auto"/>
          <w:kern w:val="0"/>
          <w:sz w:val="24"/>
          <w:szCs w:val="24"/>
          <w:highlight w:val="none"/>
        </w:rPr>
      </w:pPr>
    </w:p>
    <w:p w14:paraId="61743600">
      <w:pPr>
        <w:ind w:firstLine="480" w:firstLineChars="200"/>
        <w:jc w:val="right"/>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风险揭示方：浙银理财有限责任公司</w:t>
      </w:r>
    </w:p>
    <w:p w14:paraId="2FF1ED10">
      <w:pPr>
        <w:ind w:firstLine="480" w:firstLineChars="200"/>
        <w:jc w:val="right"/>
        <w:rPr>
          <w:rFonts w:ascii="仿宋_GB2312" w:hAnsi="宋体" w:eastAsia="仿宋_GB2312" w:cs="宋体"/>
          <w:bCs/>
          <w:color w:val="auto"/>
          <w:kern w:val="0"/>
          <w:sz w:val="24"/>
          <w:szCs w:val="24"/>
          <w:highlight w:val="none"/>
        </w:rPr>
      </w:pPr>
    </w:p>
    <w:p w14:paraId="0F7C8A6A">
      <w:pPr>
        <w:ind w:firstLine="480" w:firstLineChars="200"/>
        <w:rPr>
          <w:rFonts w:ascii="仿宋_GB2312" w:hAnsi="宋体" w:eastAsia="仿宋_GB2312" w:cs="宋体"/>
          <w:bCs/>
          <w:color w:val="auto"/>
          <w:kern w:val="0"/>
          <w:sz w:val="24"/>
          <w:szCs w:val="24"/>
          <w:highlight w:val="none"/>
        </w:rPr>
      </w:pPr>
    </w:p>
    <w:p w14:paraId="6C036A7C">
      <w:pPr>
        <w:ind w:firstLine="480" w:firstLineChars="200"/>
        <w:rPr>
          <w:rFonts w:ascii="仿宋_GB2312" w:hAnsi="宋体" w:eastAsia="仿宋_GB2312" w:cs="宋体"/>
          <w:bCs/>
          <w:color w:val="auto"/>
          <w:kern w:val="0"/>
          <w:sz w:val="28"/>
          <w:szCs w:val="30"/>
          <w:highlight w:val="none"/>
        </w:rPr>
      </w:pPr>
      <w:r>
        <w:rPr>
          <w:rFonts w:ascii="仿宋_GB2312" w:hAnsi="宋体" w:eastAsia="仿宋_GB2312" w:cs="宋体"/>
          <w:bCs/>
          <w:color w:val="auto"/>
          <w:kern w:val="0"/>
          <w:sz w:val="24"/>
          <w:szCs w:val="24"/>
          <w:highlight w:val="none"/>
        </w:rPr>
        <w:t>(投资者签字与盖章见下一页)</w:t>
      </w:r>
      <w:r>
        <w:rPr>
          <w:rFonts w:ascii="仿宋_GB2312" w:hAnsi="宋体" w:eastAsia="仿宋_GB2312" w:cs="宋体"/>
          <w:bCs/>
          <w:color w:val="auto"/>
          <w:kern w:val="0"/>
          <w:sz w:val="28"/>
          <w:szCs w:val="30"/>
          <w:highlight w:val="none"/>
        </w:rPr>
        <w:br w:type="page"/>
      </w:r>
    </w:p>
    <w:p w14:paraId="7314C260">
      <w:pPr>
        <w:spacing w:after="156" w:afterLines="50" w:line="360" w:lineRule="auto"/>
        <w:jc w:val="center"/>
        <w:rPr>
          <w:rFonts w:ascii="宋体" w:hAnsi="宋体" w:eastAsia="宋体"/>
          <w:color w:val="auto"/>
          <w:sz w:val="36"/>
          <w:szCs w:val="44"/>
          <w:highlight w:val="none"/>
        </w:rPr>
      </w:pPr>
      <w:r>
        <w:rPr>
          <w:rFonts w:hint="eastAsia" w:ascii="宋体" w:hAnsi="宋体" w:eastAsia="宋体"/>
          <w:color w:val="auto"/>
          <w:sz w:val="36"/>
          <w:szCs w:val="44"/>
          <w:highlight w:val="none"/>
        </w:rPr>
        <w:t>投资者确认函</w:t>
      </w:r>
    </w:p>
    <w:p w14:paraId="776F77AE">
      <w:pPr>
        <w:spacing w:line="360" w:lineRule="auto"/>
        <w:ind w:firstLine="480" w:firstLineChars="200"/>
        <w:rPr>
          <w:rFonts w:ascii="仿宋_GB2312" w:eastAsia="仿宋_GB2312"/>
          <w:b/>
          <w:color w:val="auto"/>
          <w:sz w:val="24"/>
          <w:highlight w:val="none"/>
        </w:rPr>
      </w:pPr>
      <w:r>
        <w:rPr>
          <w:rFonts w:hint="eastAsia" w:ascii="仿宋_GB2312" w:hAnsi="宋体" w:eastAsia="仿宋_GB2312"/>
          <w:color w:val="auto"/>
          <w:sz w:val="24"/>
          <w:szCs w:val="44"/>
          <w:highlight w:val="none"/>
        </w:rPr>
        <w:t>本人</w:t>
      </w:r>
      <w:r>
        <w:rPr>
          <w:rFonts w:ascii="仿宋_GB2312" w:hAnsi="宋体" w:eastAsia="仿宋_GB2312"/>
          <w:color w:val="auto"/>
          <w:sz w:val="24"/>
          <w:szCs w:val="44"/>
          <w:highlight w:val="none"/>
        </w:rPr>
        <w:t>/</w:t>
      </w:r>
      <w:r>
        <w:rPr>
          <w:rFonts w:hint="eastAsia" w:ascii="仿宋_GB2312" w:hAnsi="宋体" w:eastAsia="仿宋_GB2312"/>
          <w:color w:val="auto"/>
          <w:sz w:val="24"/>
          <w:szCs w:val="44"/>
          <w:highlight w:val="none"/>
        </w:rPr>
        <w:t>本公司确认已经收到本理财产品的风险揭示书，且已经认真阅读</w:t>
      </w:r>
      <w:r>
        <w:rPr>
          <w:rFonts w:hint="eastAsia" w:ascii="仿宋_GB2312" w:hAnsi="宋体" w:eastAsia="仿宋_GB2312"/>
          <w:b/>
          <w:color w:val="auto"/>
          <w:sz w:val="24"/>
          <w:szCs w:val="44"/>
          <w:highlight w:val="none"/>
        </w:rPr>
        <w:t>本理财产品完整销售文件包括：《风险揭示书》《产品说明书》《投资协议书》《投资者权益须知》《（代理）销售协议书》等</w:t>
      </w:r>
      <w:r>
        <w:rPr>
          <w:rFonts w:hint="eastAsia" w:ascii="仿宋_GB2312" w:hAnsi="宋体" w:eastAsia="仿宋_GB2312"/>
          <w:color w:val="auto"/>
          <w:sz w:val="24"/>
          <w:szCs w:val="44"/>
          <w:highlight w:val="none"/>
        </w:rPr>
        <w:t>，充分了解并清楚知晓本理财产品的风险，愿意承担相关风险，接受本理财产品销售文件的全部约定。本人</w:t>
      </w:r>
      <w:r>
        <w:rPr>
          <w:rFonts w:ascii="仿宋_GB2312" w:hAnsi="宋体" w:eastAsia="仿宋_GB2312"/>
          <w:color w:val="auto"/>
          <w:sz w:val="24"/>
          <w:szCs w:val="44"/>
          <w:highlight w:val="none"/>
        </w:rPr>
        <w:t>/本公司确认本理财产品完全适合本人/本公司的投资目标</w:t>
      </w:r>
      <w:r>
        <w:rPr>
          <w:rFonts w:hint="eastAsia" w:ascii="仿宋_GB2312" w:hAnsi="宋体" w:eastAsia="仿宋_GB2312"/>
          <w:color w:val="auto"/>
          <w:sz w:val="24"/>
          <w:szCs w:val="44"/>
          <w:highlight w:val="none"/>
        </w:rPr>
        <w:t>、投资预期、风险承受能力及投资经验。本人</w:t>
      </w:r>
      <w:r>
        <w:rPr>
          <w:rFonts w:ascii="仿宋_GB2312" w:hAnsi="宋体" w:eastAsia="仿宋_GB2312"/>
          <w:color w:val="auto"/>
          <w:sz w:val="24"/>
          <w:szCs w:val="44"/>
          <w:highlight w:val="none"/>
        </w:rPr>
        <w:t>/</w:t>
      </w:r>
      <w:r>
        <w:rPr>
          <w:rFonts w:hint="eastAsia" w:ascii="仿宋_GB2312" w:hAnsi="宋体" w:eastAsia="仿宋_GB2312"/>
          <w:color w:val="auto"/>
          <w:sz w:val="24"/>
          <w:szCs w:val="44"/>
          <w:highlight w:val="none"/>
        </w:rPr>
        <w:t>本公司承诺购买本理财产品的投资资金为自有或有权处分的合法资金（包括合法受托管理的资金）。</w:t>
      </w:r>
      <w:r>
        <w:rPr>
          <w:rFonts w:hint="eastAsia" w:ascii="仿宋_GB2312" w:hAnsi="宋体" w:eastAsia="仿宋_GB2312"/>
          <w:b/>
          <w:bCs/>
          <w:color w:val="auto"/>
          <w:sz w:val="24"/>
          <w:szCs w:val="44"/>
          <w:highlight w:val="none"/>
        </w:rPr>
        <w:t>本人</w:t>
      </w:r>
      <w:r>
        <w:rPr>
          <w:rFonts w:ascii="仿宋_GB2312" w:hAnsi="宋体" w:eastAsia="仿宋_GB2312"/>
          <w:b/>
          <w:bCs/>
          <w:color w:val="auto"/>
          <w:sz w:val="24"/>
          <w:szCs w:val="44"/>
          <w:highlight w:val="none"/>
        </w:rPr>
        <w:t>/</w:t>
      </w:r>
      <w:r>
        <w:rPr>
          <w:rFonts w:hint="eastAsia" w:ascii="仿宋_GB2312" w:hAnsi="宋体" w:eastAsia="仿宋_GB2312"/>
          <w:b/>
          <w:bCs/>
          <w:color w:val="auto"/>
          <w:sz w:val="24"/>
          <w:szCs w:val="44"/>
          <w:highlight w:val="none"/>
        </w:rPr>
        <w:t>本公司承诺购买本理财产品的投资资金来源及用途符合法律法规和相关政策要求，不存在使用贷款、发行债券等违反相关法律法规要求筹集的非自有资金购买本理财产品的情形（受托管理的资管产品除外）。</w:t>
      </w:r>
      <w:r>
        <w:rPr>
          <w:rFonts w:hint="eastAsia" w:ascii="仿宋_GB2312" w:hAnsi="宋体" w:eastAsia="仿宋_GB2312"/>
          <w:color w:val="auto"/>
          <w:sz w:val="24"/>
          <w:szCs w:val="44"/>
          <w:highlight w:val="none"/>
        </w:rPr>
        <w:t>（机构投资者）</w:t>
      </w:r>
      <w:r>
        <w:rPr>
          <w:rFonts w:hint="eastAsia" w:ascii="仿宋_GB2312" w:eastAsia="仿宋_GB2312"/>
          <w:b/>
          <w:bCs/>
          <w:color w:val="auto"/>
          <w:sz w:val="24"/>
          <w:highlight w:val="none"/>
        </w:rPr>
        <w:t>本公司进一步承诺，以自有资金或</w:t>
      </w:r>
      <w:r>
        <w:rPr>
          <w:rFonts w:hint="eastAsia" w:ascii="仿宋_GB2312" w:hAnsi="宋体" w:eastAsia="仿宋_GB2312"/>
          <w:b/>
          <w:bCs/>
          <w:color w:val="auto"/>
          <w:sz w:val="24"/>
          <w:szCs w:val="44"/>
          <w:highlight w:val="none"/>
        </w:rPr>
        <w:t>受托管理的资管产品</w:t>
      </w:r>
      <w:r>
        <w:rPr>
          <w:rFonts w:hint="eastAsia" w:ascii="仿宋_GB2312" w:eastAsia="仿宋_GB2312"/>
          <w:b/>
          <w:bCs/>
          <w:color w:val="auto"/>
          <w:sz w:val="24"/>
          <w:highlight w:val="none"/>
        </w:rPr>
        <w:t>购买本理财产品的，已完全知悉并接受本理财产品的投资范围，并确保自有资金或</w:t>
      </w:r>
      <w:r>
        <w:rPr>
          <w:rFonts w:hint="eastAsia" w:ascii="仿宋_GB2312" w:hAnsi="宋体" w:eastAsia="仿宋_GB2312"/>
          <w:b/>
          <w:bCs/>
          <w:color w:val="auto"/>
          <w:sz w:val="24"/>
          <w:szCs w:val="44"/>
          <w:highlight w:val="none"/>
        </w:rPr>
        <w:t>受托管理的资管产品</w:t>
      </w:r>
      <w:r>
        <w:rPr>
          <w:rFonts w:hint="eastAsia" w:ascii="仿宋_GB2312" w:eastAsia="仿宋_GB2312"/>
          <w:b/>
          <w:bCs/>
          <w:color w:val="auto"/>
          <w:sz w:val="24"/>
          <w:highlight w:val="none"/>
        </w:rPr>
        <w:t>投资本理财产品符合相关法律法规、监管规定及受托管理</w:t>
      </w:r>
      <w:r>
        <w:rPr>
          <w:rFonts w:hint="eastAsia" w:ascii="仿宋_GB2312" w:hAnsi="宋体" w:eastAsia="仿宋_GB2312"/>
          <w:b/>
          <w:bCs/>
          <w:color w:val="auto"/>
          <w:sz w:val="24"/>
          <w:szCs w:val="44"/>
          <w:highlight w:val="none"/>
        </w:rPr>
        <w:t>资管产品</w:t>
      </w:r>
      <w:r>
        <w:rPr>
          <w:rFonts w:hint="eastAsia" w:ascii="仿宋_GB2312" w:eastAsia="仿宋_GB2312"/>
          <w:b/>
          <w:bCs/>
          <w:color w:val="auto"/>
          <w:sz w:val="24"/>
          <w:highlight w:val="none"/>
        </w:rPr>
        <w:t>的投资范围，不存在违反监管要求的产品嵌套、以投资本理财产品规避投资范围或杠杆约束等违规行为。</w:t>
      </w:r>
      <w:r>
        <w:rPr>
          <w:rFonts w:hint="eastAsia" w:ascii="仿宋_GB2312" w:eastAsia="仿宋_GB2312"/>
          <w:b/>
          <w:color w:val="auto"/>
          <w:sz w:val="24"/>
          <w:highlight w:val="none"/>
        </w:rPr>
        <w:t>投资本理财产品是经过本人/本公司独立判断之后所做出的符合本人/本公司意愿的决定。</w:t>
      </w:r>
    </w:p>
    <w:p w14:paraId="42D20E36">
      <w:pPr>
        <w:spacing w:line="360" w:lineRule="auto"/>
        <w:ind w:firstLine="482" w:firstLineChars="200"/>
        <w:rPr>
          <w:rFonts w:ascii="仿宋_GB2312" w:eastAsia="仿宋_GB2312"/>
          <w:b/>
          <w:color w:val="auto"/>
          <w:sz w:val="24"/>
          <w:highlight w:val="none"/>
        </w:rPr>
      </w:pPr>
      <w:r>
        <w:rPr>
          <w:rFonts w:hint="eastAsia" w:ascii="仿宋_GB2312" w:hAnsi="宋体" w:eastAsia="仿宋_GB2312"/>
          <w:b/>
          <w:color w:val="auto"/>
          <w:sz w:val="24"/>
          <w:szCs w:val="44"/>
          <w:highlight w:val="none"/>
        </w:rPr>
        <w:t>本</w:t>
      </w:r>
      <w:r>
        <w:rPr>
          <w:rFonts w:ascii="仿宋_GB2312" w:hAnsi="宋体" w:eastAsia="仿宋_GB2312"/>
          <w:b/>
          <w:color w:val="auto"/>
          <w:sz w:val="24"/>
          <w:szCs w:val="44"/>
          <w:highlight w:val="none"/>
        </w:rPr>
        <w:t>理财产品可能委托</w:t>
      </w:r>
      <w:r>
        <w:rPr>
          <w:rFonts w:hint="eastAsia" w:ascii="仿宋_GB2312" w:hAnsi="宋体" w:eastAsia="仿宋_GB2312"/>
          <w:b/>
          <w:color w:val="auto"/>
          <w:sz w:val="24"/>
          <w:szCs w:val="44"/>
          <w:highlight w:val="none"/>
        </w:rPr>
        <w:t>浙银</w:t>
      </w:r>
      <w:r>
        <w:rPr>
          <w:rFonts w:ascii="仿宋_GB2312" w:hAnsi="宋体" w:eastAsia="仿宋_GB2312"/>
          <w:b/>
          <w:color w:val="auto"/>
          <w:sz w:val="24"/>
          <w:szCs w:val="44"/>
          <w:highlight w:val="none"/>
        </w:rPr>
        <w:t>理财</w:t>
      </w:r>
      <w:r>
        <w:rPr>
          <w:rFonts w:hint="eastAsia" w:ascii="仿宋_GB2312" w:hAnsi="宋体" w:eastAsia="仿宋_GB2312"/>
          <w:b/>
          <w:color w:val="auto"/>
          <w:sz w:val="24"/>
          <w:szCs w:val="44"/>
          <w:highlight w:val="none"/>
        </w:rPr>
        <w:t>的</w:t>
      </w:r>
      <w:r>
        <w:rPr>
          <w:rFonts w:ascii="仿宋_GB2312" w:hAnsi="宋体" w:eastAsia="仿宋_GB2312"/>
          <w:b/>
          <w:color w:val="auto"/>
          <w:sz w:val="24"/>
          <w:szCs w:val="44"/>
          <w:highlight w:val="none"/>
        </w:rPr>
        <w:t>关联方【</w:t>
      </w:r>
      <w:r>
        <w:rPr>
          <w:rFonts w:hint="eastAsia" w:ascii="仿宋_GB2312" w:hAnsi="宋体" w:eastAsia="仿宋_GB2312"/>
          <w:b/>
          <w:color w:val="auto"/>
          <w:sz w:val="24"/>
          <w:szCs w:val="44"/>
          <w:highlight w:val="none"/>
        </w:rPr>
        <w:t>浙商</w:t>
      </w:r>
      <w:r>
        <w:rPr>
          <w:rFonts w:ascii="仿宋_GB2312" w:hAnsi="宋体" w:eastAsia="仿宋_GB2312"/>
          <w:b/>
          <w:color w:val="auto"/>
          <w:sz w:val="24"/>
          <w:szCs w:val="44"/>
          <w:highlight w:val="none"/>
        </w:rPr>
        <w:t>银行】</w:t>
      </w:r>
      <w:r>
        <w:rPr>
          <w:rFonts w:hint="eastAsia" w:ascii="仿宋_GB2312" w:hAnsi="宋体" w:eastAsia="仿宋_GB2312"/>
          <w:b/>
          <w:color w:val="auto"/>
          <w:sz w:val="24"/>
          <w:szCs w:val="44"/>
          <w:highlight w:val="none"/>
        </w:rPr>
        <w:t>进行托管或销售</w:t>
      </w:r>
      <w:r>
        <w:rPr>
          <w:rFonts w:ascii="仿宋_GB2312" w:hAnsi="宋体" w:eastAsia="仿宋_GB2312"/>
          <w:b/>
          <w:color w:val="auto"/>
          <w:sz w:val="24"/>
          <w:szCs w:val="44"/>
          <w:highlight w:val="none"/>
        </w:rPr>
        <w:t>，</w:t>
      </w:r>
      <w:r>
        <w:rPr>
          <w:rFonts w:hint="eastAsia" w:ascii="仿宋_GB2312" w:hAnsi="宋体" w:eastAsia="仿宋_GB2312"/>
          <w:b/>
          <w:color w:val="auto"/>
          <w:sz w:val="24"/>
          <w:szCs w:val="44"/>
          <w:highlight w:val="none"/>
        </w:rPr>
        <w:t>【浙商</w:t>
      </w:r>
      <w:r>
        <w:rPr>
          <w:rFonts w:ascii="仿宋_GB2312" w:hAnsi="宋体" w:eastAsia="仿宋_GB2312"/>
          <w:b/>
          <w:color w:val="auto"/>
          <w:sz w:val="24"/>
          <w:szCs w:val="44"/>
          <w:highlight w:val="none"/>
        </w:rPr>
        <w:t>银行】</w:t>
      </w:r>
      <w:r>
        <w:rPr>
          <w:rFonts w:hint="eastAsia" w:ascii="仿宋_GB2312" w:hAnsi="宋体" w:eastAsia="仿宋_GB2312"/>
          <w:b/>
          <w:color w:val="auto"/>
          <w:sz w:val="24"/>
          <w:szCs w:val="44"/>
          <w:highlight w:val="none"/>
        </w:rPr>
        <w:t>系</w:t>
      </w:r>
      <w:r>
        <w:rPr>
          <w:rFonts w:ascii="仿宋_GB2312" w:hAnsi="宋体" w:eastAsia="仿宋_GB2312"/>
          <w:b/>
          <w:color w:val="auto"/>
          <w:sz w:val="24"/>
          <w:szCs w:val="44"/>
          <w:highlight w:val="none"/>
        </w:rPr>
        <w:t>浙银理财的</w:t>
      </w:r>
      <w:r>
        <w:rPr>
          <w:rFonts w:hint="eastAsia" w:ascii="仿宋_GB2312" w:hAnsi="宋体" w:eastAsia="仿宋_GB2312"/>
          <w:b/>
          <w:color w:val="auto"/>
          <w:sz w:val="24"/>
          <w:szCs w:val="44"/>
          <w:highlight w:val="none"/>
        </w:rPr>
        <w:t>【</w:t>
      </w:r>
      <w:r>
        <w:rPr>
          <w:rFonts w:ascii="仿宋_GB2312" w:hAnsi="宋体" w:eastAsia="仿宋_GB2312"/>
          <w:b/>
          <w:color w:val="auto"/>
          <w:sz w:val="24"/>
          <w:szCs w:val="44"/>
          <w:highlight w:val="none"/>
        </w:rPr>
        <w:t>唯一股东</w:t>
      </w:r>
      <w:r>
        <w:rPr>
          <w:rFonts w:hint="eastAsia" w:ascii="仿宋_GB2312" w:hAnsi="宋体" w:eastAsia="仿宋_GB2312"/>
          <w:b/>
          <w:color w:val="auto"/>
          <w:sz w:val="24"/>
          <w:szCs w:val="44"/>
          <w:highlight w:val="none"/>
        </w:rPr>
        <w:t>】，与浙银</w:t>
      </w:r>
      <w:r>
        <w:rPr>
          <w:rFonts w:ascii="仿宋_GB2312" w:hAnsi="宋体" w:eastAsia="仿宋_GB2312"/>
          <w:b/>
          <w:color w:val="auto"/>
          <w:sz w:val="24"/>
          <w:szCs w:val="44"/>
          <w:highlight w:val="none"/>
        </w:rPr>
        <w:t>理财</w:t>
      </w:r>
      <w:r>
        <w:rPr>
          <w:rFonts w:hint="eastAsia" w:ascii="仿宋_GB2312" w:hAnsi="宋体" w:eastAsia="仿宋_GB2312"/>
          <w:b/>
          <w:color w:val="auto"/>
          <w:sz w:val="24"/>
          <w:szCs w:val="44"/>
          <w:highlight w:val="none"/>
        </w:rPr>
        <w:t>具有</w:t>
      </w:r>
      <w:r>
        <w:rPr>
          <w:rFonts w:ascii="仿宋_GB2312" w:hAnsi="宋体" w:eastAsia="仿宋_GB2312"/>
          <w:b/>
          <w:color w:val="auto"/>
          <w:sz w:val="24"/>
          <w:szCs w:val="44"/>
          <w:highlight w:val="none"/>
        </w:rPr>
        <w:t>关联关系。</w:t>
      </w:r>
      <w:r>
        <w:rPr>
          <w:rFonts w:hint="eastAsia" w:ascii="仿宋_GB2312" w:hAnsi="宋体" w:eastAsia="仿宋_GB2312"/>
          <w:b/>
          <w:color w:val="auto"/>
          <w:sz w:val="24"/>
          <w:szCs w:val="44"/>
          <w:highlight w:val="none"/>
        </w:rPr>
        <w:t>如浙银</w:t>
      </w:r>
      <w:r>
        <w:rPr>
          <w:rFonts w:ascii="仿宋_GB2312" w:hAnsi="宋体" w:eastAsia="仿宋_GB2312"/>
          <w:b/>
          <w:color w:val="auto"/>
          <w:sz w:val="24"/>
          <w:szCs w:val="44"/>
          <w:highlight w:val="none"/>
        </w:rPr>
        <w:t>理财委托【</w:t>
      </w:r>
      <w:r>
        <w:rPr>
          <w:rFonts w:hint="eastAsia" w:ascii="仿宋_GB2312" w:hAnsi="宋体" w:eastAsia="仿宋_GB2312"/>
          <w:b/>
          <w:color w:val="auto"/>
          <w:sz w:val="24"/>
          <w:szCs w:val="44"/>
          <w:highlight w:val="none"/>
        </w:rPr>
        <w:t>浙商</w:t>
      </w:r>
      <w:r>
        <w:rPr>
          <w:rFonts w:ascii="仿宋_GB2312" w:hAnsi="宋体" w:eastAsia="仿宋_GB2312"/>
          <w:b/>
          <w:color w:val="auto"/>
          <w:sz w:val="24"/>
          <w:szCs w:val="44"/>
          <w:highlight w:val="none"/>
        </w:rPr>
        <w:t>银行】</w:t>
      </w:r>
      <w:r>
        <w:rPr>
          <w:rFonts w:hint="eastAsia" w:ascii="仿宋_GB2312" w:hAnsi="宋体" w:eastAsia="仿宋_GB2312"/>
          <w:b/>
          <w:color w:val="auto"/>
          <w:sz w:val="24"/>
          <w:szCs w:val="44"/>
          <w:highlight w:val="none"/>
        </w:rPr>
        <w:t>托管或销售</w:t>
      </w:r>
      <w:r>
        <w:rPr>
          <w:rFonts w:ascii="仿宋_GB2312" w:hAnsi="宋体" w:eastAsia="仿宋_GB2312"/>
          <w:b/>
          <w:color w:val="auto"/>
          <w:sz w:val="24"/>
          <w:szCs w:val="44"/>
          <w:highlight w:val="none"/>
        </w:rPr>
        <w:t>本理财产品</w:t>
      </w:r>
      <w:r>
        <w:rPr>
          <w:rFonts w:hint="eastAsia" w:ascii="仿宋_GB2312" w:hAnsi="宋体" w:eastAsia="仿宋_GB2312"/>
          <w:b/>
          <w:color w:val="auto"/>
          <w:sz w:val="24"/>
          <w:szCs w:val="44"/>
          <w:highlight w:val="none"/>
        </w:rPr>
        <w:t>，将</w:t>
      </w:r>
      <w:r>
        <w:rPr>
          <w:rFonts w:ascii="仿宋_GB2312" w:hAnsi="宋体" w:eastAsia="仿宋_GB2312"/>
          <w:b/>
          <w:color w:val="auto"/>
          <w:sz w:val="24"/>
          <w:szCs w:val="44"/>
          <w:highlight w:val="none"/>
        </w:rPr>
        <w:t>存在</w:t>
      </w:r>
      <w:r>
        <w:rPr>
          <w:rFonts w:hint="eastAsia" w:ascii="仿宋_GB2312" w:hAnsi="宋体" w:eastAsia="仿宋_GB2312"/>
          <w:b/>
          <w:color w:val="auto"/>
          <w:sz w:val="24"/>
          <w:szCs w:val="44"/>
          <w:highlight w:val="none"/>
        </w:rPr>
        <w:t>关联</w:t>
      </w:r>
      <w:r>
        <w:rPr>
          <w:rFonts w:ascii="仿宋_GB2312" w:hAnsi="宋体" w:eastAsia="仿宋_GB2312"/>
          <w:b/>
          <w:color w:val="auto"/>
          <w:sz w:val="24"/>
          <w:szCs w:val="44"/>
          <w:highlight w:val="none"/>
        </w:rPr>
        <w:t>交易风险</w:t>
      </w:r>
      <w:r>
        <w:rPr>
          <w:rFonts w:hint="eastAsia" w:ascii="仿宋_GB2312" w:hAnsi="宋体" w:eastAsia="仿宋_GB2312"/>
          <w:b/>
          <w:color w:val="auto"/>
          <w:sz w:val="24"/>
          <w:szCs w:val="44"/>
          <w:highlight w:val="none"/>
        </w:rPr>
        <w:t>，本人</w:t>
      </w:r>
      <w:r>
        <w:rPr>
          <w:rFonts w:ascii="仿宋_GB2312" w:hAnsi="宋体" w:eastAsia="仿宋_GB2312"/>
          <w:b/>
          <w:color w:val="auto"/>
          <w:sz w:val="24"/>
          <w:szCs w:val="44"/>
          <w:highlight w:val="none"/>
        </w:rPr>
        <w:t>/</w:t>
      </w:r>
      <w:r>
        <w:rPr>
          <w:rFonts w:hint="eastAsia" w:ascii="仿宋_GB2312" w:hAnsi="宋体" w:eastAsia="仿宋_GB2312"/>
          <w:b/>
          <w:color w:val="auto"/>
          <w:sz w:val="24"/>
          <w:szCs w:val="44"/>
          <w:highlight w:val="none"/>
        </w:rPr>
        <w:t>本公司确认已充分知悉前述关联关系及关联交易风险的存在，并接受理财产品由销售机构代理销售、托管机构托管，自愿承担相关投资风险。</w:t>
      </w:r>
    </w:p>
    <w:p w14:paraId="4EFCAF95">
      <w:pPr>
        <w:spacing w:line="360" w:lineRule="auto"/>
        <w:rPr>
          <w:rFonts w:ascii="仿宋_GB2312" w:hAnsi="宋体" w:eastAsia="仿宋_GB2312"/>
          <w:color w:val="auto"/>
          <w:sz w:val="24"/>
          <w:szCs w:val="44"/>
          <w:highlight w:val="none"/>
        </w:rPr>
      </w:pPr>
    </w:p>
    <w:p w14:paraId="450F0217">
      <w:pPr>
        <w:spacing w:line="360" w:lineRule="auto"/>
        <w:ind w:firstLine="480" w:firstLineChars="200"/>
        <w:jc w:val="left"/>
        <w:rPr>
          <w:rFonts w:ascii="仿宋_GB2312" w:hAnsi="宋体" w:eastAsia="仿宋_GB2312"/>
          <w:b/>
          <w:color w:val="auto"/>
          <w:sz w:val="24"/>
          <w:szCs w:val="44"/>
          <w:highlight w:val="none"/>
        </w:rPr>
      </w:pPr>
      <w:r>
        <w:rPr>
          <w:rFonts w:hint="eastAsia" w:ascii="仿宋_GB2312" w:hAnsi="宋体" w:eastAsia="仿宋_GB2312"/>
          <w:color w:val="auto"/>
          <w:sz w:val="24"/>
          <w:szCs w:val="44"/>
          <w:highlight w:val="none"/>
        </w:rPr>
        <w:t>★经销售机构评估，本人/本公司的风险承受能力评估结果为（普通投资者自行填写）：【</w:t>
      </w:r>
      <w:r>
        <w:rPr>
          <w:rFonts w:ascii="仿宋_GB2312" w:hAnsi="宋体" w:eastAsia="仿宋_GB2312"/>
          <w:color w:val="auto"/>
          <w:sz w:val="24"/>
          <w:szCs w:val="44"/>
          <w:highlight w:val="none"/>
        </w:rPr>
        <w:t xml:space="preserve">              </w:t>
      </w:r>
      <w:r>
        <w:rPr>
          <w:rFonts w:hint="eastAsia" w:ascii="仿宋_GB2312" w:hAnsi="宋体" w:eastAsia="仿宋_GB2312"/>
          <w:color w:val="auto"/>
          <w:sz w:val="24"/>
          <w:szCs w:val="44"/>
          <w:highlight w:val="none"/>
        </w:rPr>
        <w:t>】。</w:t>
      </w:r>
      <w:r>
        <w:rPr>
          <w:rFonts w:hint="eastAsia" w:ascii="仿宋_GB2312" w:hAnsi="宋体" w:eastAsia="仿宋_GB2312"/>
          <w:b/>
          <w:color w:val="auto"/>
          <w:sz w:val="24"/>
          <w:szCs w:val="44"/>
          <w:highlight w:val="none"/>
        </w:rPr>
        <w:t>如影响自身风险承受的能力的因素发生变化，本人/本公司将及时完成风险承受能力的重新评估。</w:t>
      </w:r>
    </w:p>
    <w:p w14:paraId="3EF7467E">
      <w:pPr>
        <w:ind w:firstLine="420"/>
        <w:jc w:val="left"/>
        <w:rPr>
          <w:rFonts w:ascii="仿宋_GB2312" w:hAnsi="宋体" w:eastAsia="仿宋_GB2312"/>
          <w:color w:val="auto"/>
          <w:sz w:val="24"/>
          <w:szCs w:val="44"/>
          <w:highlight w:val="none"/>
        </w:rPr>
      </w:pPr>
      <w:r>
        <w:rPr>
          <w:rFonts w:ascii="仿宋_GB2312" w:hAnsi="宋体" w:eastAsia="仿宋_GB2312"/>
          <w:color w:val="auto"/>
          <w:sz w:val="24"/>
          <w:szCs w:val="44"/>
          <w:highlight w:val="none"/>
        </w:rPr>
        <mc:AlternateContent>
          <mc:Choice Requires="wps">
            <w:drawing>
              <wp:anchor distT="0" distB="0" distL="114300" distR="114300" simplePos="0" relativeHeight="251659264" behindDoc="0" locked="0" layoutInCell="1" allowOverlap="1">
                <wp:simplePos x="0" y="0"/>
                <wp:positionH relativeFrom="column">
                  <wp:posOffset>37465</wp:posOffset>
                </wp:positionH>
                <wp:positionV relativeFrom="paragraph">
                  <wp:posOffset>167640</wp:posOffset>
                </wp:positionV>
                <wp:extent cx="5305425" cy="952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05425" cy="9525"/>
                        </a:xfrm>
                        <a:prstGeom prst="line">
                          <a:avLst/>
                        </a:prstGeom>
                        <a:noFill/>
                        <a:ln w="19050">
                          <a:solidFill>
                            <a:srgbClr val="808080">
                              <a:lumMod val="50000"/>
                            </a:srgbClr>
                          </a:solidFill>
                          <a:prstDash val="lgDashDot"/>
                          <a:miter lim="800000"/>
                        </a:ln>
                        <a:effectLst/>
                      </wps:spPr>
                      <wps:bodyPr/>
                    </wps:wsp>
                  </a:graphicData>
                </a:graphic>
              </wp:anchor>
            </w:drawing>
          </mc:Choice>
          <mc:Fallback>
            <w:pict>
              <v:line id="_x0000_s1026" o:spid="_x0000_s1026" o:spt="20" style="position:absolute;left:0pt;margin-left:2.95pt;margin-top:13.2pt;height:0.75pt;width:417.75pt;z-index:251659264;mso-width-relative:page;mso-height-relative:page;" filled="f" stroked="t" coordsize="21600,21600" o:gfxdata="UEsDBAoAAAAAAIdO4kAAAAAAAAAAAAAAAAAEAAAAZHJzL1BLAwQUAAAACACHTuJAdDsfaNYAAAAH&#10;AQAADwAAAGRycy9kb3ducmV2LnhtbE2OzW7CMBCE75X6DtZW6q3YQRSSNA6HSgip5cLPA5h4m0SN&#10;11HsQHj7bk9wm50ZzX7FenKduOAQWk8akpkCgVR521Kt4XTcvKUgQjRkTecJNdwwwLp8fipMbv2V&#10;9ng5xFrwCIXcaGhi7HMpQ9WgM2HmeyTOfvzgTORzqKUdzJXHXSfnSi2lMy3xh8b0+Nlg9XsYnYZN&#10;NdG03+2Ot1Oafa9ivf1S41br15dEfYCIOMV7Gf7xGR1KZjr7kWwQnYb3jIsa5ssFCI7TRcLizMYq&#10;A1kW8pG//ANQSwMEFAAAAAgAh07iQPSw9cfrAQAAyAMAAA4AAABkcnMvZTJvRG9jLnhtbK1TzW7U&#10;MBC+I/EOlu9s0mWD2mizPTRqLwVWojyA13ESS/6Tx7vZfQleAIkbnDhy523aPgZjJyxLufRAIjnj&#10;mfE3832eLC/3WpGd8CCtqejZLKdEGG4babqKfry7fnVOCQRmGqasERU9CKCXq5cvloMrxdz2VjXC&#10;EwQxUA6uon0Irswy4L3QDGbWCYPB1nrNAm59lzWeDYiuVTbP8zfZYH3jvOUCAL31GKQTon8OoG1b&#10;yUVt+VYLE0ZULxQLSAl66YCuUrdtK3h437YgAlEVRaYhrVgE7U1cs9WSlZ1nrpd8aoE9p4UnnDST&#10;BoseoWoWGNl6+Q+UltxbsG2YcauzkUhSBFmc5U+0+dAzJxIXlBrcUXT4f7D83W7tiWwquqDEMI0X&#10;/vD5x/2nr48/v+D68P0bWUSRBgcl5l6ZtZ924NY+Mt63XscvciH7JOzhKKzYB8LRWbzOi8W8oIRj&#10;7KJAC0GyP2edh3AjrCbRqKiSJtJmJdvdQhhTf6dEt7HXUin0s1IZMuAUX+RFnk6AVbKJ0RgE322u&#10;lCc7hrd/nsc3Jamtfmub0V3k+EztTPmptb+AYvGaQT8eUV20axviMVZqGfCHUFLHGidoysSoSEM4&#10;0YgqjrpFa2ObQ5Izizu84FR4GsY4Qad7tE9/wN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Dsf&#10;aNYAAAAHAQAADwAAAAAAAAABACAAAAAiAAAAZHJzL2Rvd25yZXYueG1sUEsBAhQAFAAAAAgAh07i&#10;QPSw9cfrAQAAyAMAAA4AAAAAAAAAAQAgAAAAJQEAAGRycy9lMm9Eb2MueG1sUEsFBgAAAAAGAAYA&#10;WQEAAIIFAAAAAA==&#10;">
                <v:fill on="f" focussize="0,0"/>
                <v:stroke weight="1.5pt" color="#404040" miterlimit="8" joinstyle="miter" dashstyle="longDashDot"/>
                <v:imagedata o:title=""/>
                <o:lock v:ext="edit" aspectratio="f"/>
              </v:line>
            </w:pict>
          </mc:Fallback>
        </mc:AlternateContent>
      </w:r>
    </w:p>
    <w:p w14:paraId="527EBD56">
      <w:pPr>
        <w:ind w:firstLine="480" w:firstLineChars="200"/>
        <w:jc w:val="left"/>
        <w:rPr>
          <w:rFonts w:ascii="仿宋_GB2312" w:hAnsi="宋体" w:eastAsia="仿宋_GB2312"/>
          <w:color w:val="auto"/>
          <w:sz w:val="24"/>
          <w:szCs w:val="44"/>
          <w:highlight w:val="none"/>
        </w:rPr>
      </w:pPr>
    </w:p>
    <w:p w14:paraId="1F92BD04">
      <w:pPr>
        <w:ind w:firstLine="480" w:firstLineChars="200"/>
        <w:jc w:val="left"/>
        <w:rPr>
          <w:rFonts w:ascii="仿宋_GB2312" w:hAnsi="宋体" w:eastAsia="仿宋_GB2312"/>
          <w:b/>
          <w:color w:val="auto"/>
          <w:sz w:val="24"/>
          <w:szCs w:val="44"/>
          <w:highlight w:val="none"/>
        </w:rPr>
      </w:pPr>
      <w:r>
        <w:rPr>
          <w:rFonts w:hint="eastAsia" w:ascii="仿宋_GB2312" w:hAnsi="宋体" w:eastAsia="仿宋_GB2312"/>
          <w:color w:val="auto"/>
          <w:sz w:val="24"/>
          <w:szCs w:val="44"/>
          <w:highlight w:val="none"/>
        </w:rPr>
        <w:t>★个人投资者须亲笔抄录以下内容：</w:t>
      </w:r>
      <w:r>
        <w:rPr>
          <w:rFonts w:hint="eastAsia" w:ascii="仿宋_GB2312" w:hAnsi="宋体" w:eastAsia="仿宋_GB2312"/>
          <w:b/>
          <w:color w:val="auto"/>
          <w:sz w:val="24"/>
          <w:szCs w:val="44"/>
          <w:highlight w:val="none"/>
        </w:rPr>
        <w:t>“本人已经阅读风险揭示，愿意承担投资风险。”</w:t>
      </w:r>
      <w:r>
        <w:rPr>
          <w:rFonts w:ascii="仿宋_GB2312" w:hAnsi="宋体" w:eastAsia="仿宋_GB2312"/>
          <w:color w:val="auto"/>
          <w:sz w:val="24"/>
          <w:szCs w:val="44"/>
          <w:highlight w:val="none"/>
        </w:rPr>
        <w:t xml:space="preserve"> </w:t>
      </w:r>
    </w:p>
    <w:p w14:paraId="6B6150E2">
      <w:pPr>
        <w:ind w:firstLine="480" w:firstLineChars="200"/>
        <w:jc w:val="left"/>
        <w:rPr>
          <w:rFonts w:ascii="仿宋_GB2312" w:hAnsi="宋体" w:eastAsia="仿宋_GB2312"/>
          <w:color w:val="auto"/>
          <w:sz w:val="24"/>
          <w:szCs w:val="44"/>
          <w:highlight w:val="none"/>
        </w:rPr>
      </w:pPr>
    </w:p>
    <w:p w14:paraId="371F88F5">
      <w:pPr>
        <w:ind w:firstLine="480" w:firstLineChars="200"/>
        <w:jc w:val="left"/>
        <w:rPr>
          <w:rFonts w:ascii="仿宋_GB2312" w:hAnsi="宋体" w:eastAsia="仿宋_GB2312"/>
          <w:color w:val="auto"/>
          <w:sz w:val="24"/>
          <w:szCs w:val="44"/>
          <w:highlight w:val="none"/>
        </w:rPr>
      </w:pPr>
    </w:p>
    <w:p w14:paraId="1D521327">
      <w:pPr>
        <w:jc w:val="left"/>
        <w:rPr>
          <w:rFonts w:ascii="仿宋_GB2312" w:hAnsi="宋体" w:eastAsia="仿宋_GB2312"/>
          <w:color w:val="auto"/>
          <w:sz w:val="24"/>
          <w:szCs w:val="44"/>
          <w:highlight w:val="none"/>
        </w:rPr>
      </w:pPr>
      <w:r>
        <w:rPr>
          <w:rFonts w:hint="eastAsia" w:ascii="仿宋_GB2312" w:hAnsi="宋体" w:eastAsia="仿宋_GB2312"/>
          <w:color w:val="auto"/>
          <w:sz w:val="24"/>
          <w:szCs w:val="44"/>
          <w:highlight w:val="none"/>
        </w:rPr>
        <w:t>投资者确认（抄录）：</w:t>
      </w:r>
      <w:r>
        <w:rPr>
          <w:rFonts w:ascii="仿宋_GB2312" w:hAnsi="宋体" w:eastAsia="仿宋_GB2312"/>
          <w:color w:val="auto"/>
          <w:sz w:val="24"/>
          <w:szCs w:val="44"/>
          <w:highlight w:val="none"/>
          <w:u w:val="single"/>
        </w:rPr>
        <w:t xml:space="preserve">                                                   </w:t>
      </w:r>
      <w:r>
        <w:rPr>
          <w:rFonts w:ascii="仿宋_GB2312" w:hAnsi="宋体" w:eastAsia="仿宋_GB2312"/>
          <w:color w:val="auto"/>
          <w:sz w:val="24"/>
          <w:szCs w:val="44"/>
          <w:highlight w:val="none"/>
        </w:rPr>
        <w:t xml:space="preserve"> </w:t>
      </w:r>
    </w:p>
    <w:p w14:paraId="1C30630A">
      <w:pPr>
        <w:jc w:val="left"/>
        <w:rPr>
          <w:rFonts w:ascii="仿宋_GB2312" w:hAnsi="宋体" w:eastAsia="仿宋_GB2312"/>
          <w:color w:val="auto"/>
          <w:sz w:val="24"/>
          <w:szCs w:val="44"/>
          <w:highlight w:val="none"/>
        </w:rPr>
      </w:pPr>
    </w:p>
    <w:p w14:paraId="6A1F332D">
      <w:pPr>
        <w:jc w:val="left"/>
        <w:rPr>
          <w:rFonts w:ascii="仿宋_GB2312" w:hAnsi="宋体" w:eastAsia="仿宋_GB2312"/>
          <w:color w:val="auto"/>
          <w:sz w:val="24"/>
          <w:szCs w:val="44"/>
          <w:highlight w:val="none"/>
        </w:rPr>
      </w:pPr>
    </w:p>
    <w:p w14:paraId="2109A179">
      <w:pPr>
        <w:jc w:val="right"/>
        <w:rPr>
          <w:rFonts w:ascii="仿宋_GB2312" w:hAnsi="宋体" w:eastAsia="仿宋_GB2312"/>
          <w:color w:val="auto"/>
          <w:sz w:val="24"/>
          <w:szCs w:val="44"/>
          <w:highlight w:val="none"/>
        </w:rPr>
      </w:pPr>
      <w:r>
        <w:rPr>
          <w:rFonts w:hint="eastAsia" w:ascii="仿宋_GB2312" w:hAnsi="宋体" w:eastAsia="仿宋_GB2312"/>
          <w:color w:val="auto"/>
          <w:sz w:val="24"/>
          <w:szCs w:val="44"/>
          <w:highlight w:val="none"/>
        </w:rPr>
        <w:t>个人投资者签名：                                日期：   年   月   日</w:t>
      </w:r>
    </w:p>
    <w:p w14:paraId="35C9C850">
      <w:pPr>
        <w:jc w:val="left"/>
        <w:rPr>
          <w:rFonts w:ascii="仿宋_GB2312" w:hAnsi="宋体" w:eastAsia="仿宋_GB2312"/>
          <w:color w:val="auto"/>
          <w:sz w:val="24"/>
          <w:szCs w:val="44"/>
          <w:highlight w:val="none"/>
        </w:rPr>
      </w:pPr>
      <w:r>
        <w:rPr>
          <w:rFonts w:ascii="仿宋_GB2312" w:hAnsi="宋体" w:eastAsia="仿宋_GB2312"/>
          <w:color w:val="auto"/>
          <w:sz w:val="24"/>
          <w:szCs w:val="44"/>
          <w:highlight w:val="none"/>
        </w:rPr>
        <mc:AlternateContent>
          <mc:Choice Requires="wps">
            <w:drawing>
              <wp:anchor distT="0" distB="0" distL="114300" distR="114300" simplePos="0" relativeHeight="251660288" behindDoc="0" locked="0" layoutInCell="1" allowOverlap="1">
                <wp:simplePos x="0" y="0"/>
                <wp:positionH relativeFrom="column">
                  <wp:posOffset>37465</wp:posOffset>
                </wp:positionH>
                <wp:positionV relativeFrom="paragraph">
                  <wp:posOffset>169545</wp:posOffset>
                </wp:positionV>
                <wp:extent cx="5305425" cy="952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05425" cy="9525"/>
                        </a:xfrm>
                        <a:prstGeom prst="line">
                          <a:avLst/>
                        </a:prstGeom>
                        <a:noFill/>
                        <a:ln w="19050">
                          <a:solidFill>
                            <a:srgbClr val="808080">
                              <a:lumMod val="50000"/>
                            </a:srgbClr>
                          </a:solidFill>
                          <a:prstDash val="lgDashDot"/>
                          <a:miter lim="800000"/>
                        </a:ln>
                        <a:effectLst/>
                      </wps:spPr>
                      <wps:bodyPr/>
                    </wps:wsp>
                  </a:graphicData>
                </a:graphic>
              </wp:anchor>
            </w:drawing>
          </mc:Choice>
          <mc:Fallback>
            <w:pict>
              <v:line id="_x0000_s1026" o:spid="_x0000_s1026" o:spt="20" style="position:absolute;left:0pt;margin-left:2.95pt;margin-top:13.35pt;height:0.75pt;width:417.75pt;z-index:251660288;mso-width-relative:page;mso-height-relative:page;" filled="f" stroked="t" coordsize="21600,21600" o:gfxdata="UEsDBAoAAAAAAIdO4kAAAAAAAAAAAAAAAAAEAAAAZHJzL1BLAwQUAAAACACHTuJAh6uX2tUAAAAH&#10;AQAADwAAAGRycy9kb3ducmV2LnhtbE2Oy27CMBBF95X6D9ZU6q7YiSiENA6LSgipZcPjA0w8TaLG&#10;4yh2IPx9pytY3ofuPcV6cp244BBaTxqSmQKBVHnbUq3hdNy8ZSBCNGRN5wk13DDAunx+Kkxu/ZX2&#10;eDnEWvAIhdxoaGLscylD1aAzYeZ7JM5+/OBMZDnU0g7myuOuk6lSC+lMS/zQmB4/G6x+D6PTsKkm&#10;mva73fF2ylbfy1hvv9S41fr1JVEfICJO8V6Gf3xGh5KZzn4kG0Sn4X3FRQ3pYgmC42yezEGc2chS&#10;kGUhH/nLP1BLAwQUAAAACACHTuJA3UNsdOkBAADIAwAADgAAAGRycy9lMm9Eb2MueG1srVPNjtMw&#10;EL4j8Q6W7zTZQtBu1HQPWy0XfioBDzB1nMaS/+Rxm/YleAEkbnDiyJ23YXkMxk4oZbnsgURyxjPj&#10;b+b7PFlcH4xmexlQOdvwi1nJmbTCtcpuG/7+3e2TS84wgm1BOysbfpTIr5ePHy0GX8u5651uZWAE&#10;YrEefMP7GH1dFCh6aQBnzktLwc4FA5G2YVu0AQZCN7qYl+XzYnCh9cEJiUje1RjkE2J4CKDrOiXk&#10;yomdkTaOqEFqiEQJe+WRL3O3XSdFfNN1KCPTDSemMa9UhOxNWovlAuptAN8rMbUAD2nhHicDylLR&#10;E9QKIrBdUP9AGSWCQ9fFmXCmGIlkRYjFRXlPm7c9eJm5kNToT6Lj/4MVr/frwFTb8IozC4Yu/O7j&#10;tx8fPv/8/onWu69fWJVEGjzWlHtj12HaoV+HxPjQBZO+xIUdsrDHk7DyEJkgZ/W0rJ7NqYKg2FVF&#10;FoEUf876gPGFdIYlo+Fa2UQbati/xDim/k5Jbutuldbkh1pbNtAUX5VVmU+g06pN0RTEsN3c6MD2&#10;QLd/WaY3J+mdeeXa0V2V9EztTPm5tb+AUvEVYD8e0dtkr1xMx6A2KtIPoZVJNc7QtE1RmYdwopFU&#10;HHVL1sa1xyxnkXZ0wbnwNIxpgs73ZJ//gM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6uX2tUA&#10;AAAHAQAADwAAAAAAAAABACAAAAAiAAAAZHJzL2Rvd25yZXYueG1sUEsBAhQAFAAAAAgAh07iQN1D&#10;bHTpAQAAyAMAAA4AAAAAAAAAAQAgAAAAJAEAAGRycy9lMm9Eb2MueG1sUEsFBgAAAAAGAAYAWQEA&#10;AH8FAAAAAA==&#10;">
                <v:fill on="f" focussize="0,0"/>
                <v:stroke weight="1.5pt" color="#404040" miterlimit="8" joinstyle="miter" dashstyle="longDashDot"/>
                <v:imagedata o:title=""/>
                <o:lock v:ext="edit" aspectratio="f"/>
              </v:line>
            </w:pict>
          </mc:Fallback>
        </mc:AlternateContent>
      </w:r>
    </w:p>
    <w:p w14:paraId="4163E1CA">
      <w:pPr>
        <w:ind w:firstLine="480" w:firstLineChars="200"/>
        <w:jc w:val="left"/>
        <w:rPr>
          <w:rFonts w:ascii="仿宋_GB2312" w:hAnsi="宋体" w:eastAsia="仿宋_GB2312"/>
          <w:color w:val="auto"/>
          <w:sz w:val="24"/>
          <w:szCs w:val="44"/>
          <w:highlight w:val="none"/>
        </w:rPr>
      </w:pPr>
    </w:p>
    <w:p w14:paraId="4D2AAA75">
      <w:pPr>
        <w:ind w:firstLine="480" w:firstLineChars="200"/>
        <w:jc w:val="left"/>
        <w:rPr>
          <w:rFonts w:ascii="仿宋_GB2312" w:hAnsi="宋体" w:eastAsia="仿宋_GB2312"/>
          <w:b/>
          <w:color w:val="auto"/>
          <w:sz w:val="24"/>
          <w:szCs w:val="44"/>
          <w:highlight w:val="none"/>
        </w:rPr>
      </w:pPr>
      <w:r>
        <w:rPr>
          <w:rFonts w:hint="eastAsia" w:ascii="仿宋_GB2312" w:hAnsi="宋体" w:eastAsia="仿宋_GB2312"/>
          <w:color w:val="auto"/>
          <w:sz w:val="24"/>
          <w:szCs w:val="44"/>
          <w:highlight w:val="none"/>
        </w:rPr>
        <w:t>★机构投资者须亲笔抄录以下内容：</w:t>
      </w:r>
      <w:r>
        <w:rPr>
          <w:rFonts w:hint="eastAsia" w:ascii="仿宋_GB2312" w:hAnsi="宋体" w:eastAsia="仿宋_GB2312"/>
          <w:b/>
          <w:color w:val="auto"/>
          <w:sz w:val="24"/>
          <w:szCs w:val="44"/>
          <w:highlight w:val="none"/>
        </w:rPr>
        <w:t>“我司已经阅读风险揭示，愿意承担投资风险。”</w:t>
      </w:r>
      <w:r>
        <w:rPr>
          <w:rFonts w:ascii="仿宋_GB2312" w:hAnsi="宋体" w:eastAsia="仿宋_GB2312"/>
          <w:color w:val="auto"/>
          <w:sz w:val="24"/>
          <w:szCs w:val="44"/>
          <w:highlight w:val="none"/>
        </w:rPr>
        <w:t xml:space="preserve"> </w:t>
      </w:r>
    </w:p>
    <w:p w14:paraId="6002235B">
      <w:pPr>
        <w:ind w:firstLine="480" w:firstLineChars="200"/>
        <w:jc w:val="left"/>
        <w:rPr>
          <w:rFonts w:ascii="仿宋_GB2312" w:hAnsi="宋体" w:eastAsia="仿宋_GB2312"/>
          <w:color w:val="auto"/>
          <w:sz w:val="24"/>
          <w:szCs w:val="44"/>
          <w:highlight w:val="none"/>
        </w:rPr>
      </w:pPr>
    </w:p>
    <w:p w14:paraId="4A5A003A">
      <w:pPr>
        <w:jc w:val="left"/>
        <w:rPr>
          <w:rFonts w:ascii="仿宋_GB2312" w:hAnsi="宋体" w:eastAsia="仿宋_GB2312"/>
          <w:color w:val="auto"/>
          <w:sz w:val="24"/>
          <w:szCs w:val="44"/>
          <w:highlight w:val="none"/>
        </w:rPr>
      </w:pPr>
      <w:r>
        <w:rPr>
          <w:rFonts w:hint="eastAsia" w:ascii="仿宋_GB2312" w:hAnsi="宋体" w:eastAsia="仿宋_GB2312"/>
          <w:color w:val="auto"/>
          <w:sz w:val="24"/>
          <w:szCs w:val="44"/>
          <w:highlight w:val="none"/>
        </w:rPr>
        <w:t>投资者确认（抄录）：</w:t>
      </w:r>
      <w:r>
        <w:rPr>
          <w:rFonts w:ascii="仿宋_GB2312" w:hAnsi="宋体" w:eastAsia="仿宋_GB2312"/>
          <w:color w:val="auto"/>
          <w:sz w:val="24"/>
          <w:szCs w:val="44"/>
          <w:highlight w:val="none"/>
          <w:u w:val="single"/>
        </w:rPr>
        <w:t xml:space="preserve">                                                   </w:t>
      </w:r>
    </w:p>
    <w:p w14:paraId="5EFCE612">
      <w:pPr>
        <w:jc w:val="left"/>
        <w:rPr>
          <w:rFonts w:ascii="仿宋_GB2312" w:hAnsi="宋体" w:eastAsia="仿宋_GB2312"/>
          <w:color w:val="auto"/>
          <w:sz w:val="24"/>
          <w:szCs w:val="44"/>
          <w:highlight w:val="none"/>
        </w:rPr>
      </w:pPr>
    </w:p>
    <w:p w14:paraId="79AC65A6">
      <w:pPr>
        <w:jc w:val="left"/>
        <w:rPr>
          <w:rFonts w:ascii="仿宋_GB2312" w:hAnsi="宋体" w:eastAsia="仿宋_GB2312"/>
          <w:color w:val="auto"/>
          <w:sz w:val="24"/>
          <w:szCs w:val="44"/>
          <w:highlight w:val="none"/>
        </w:rPr>
      </w:pPr>
    </w:p>
    <w:p w14:paraId="392FD09A">
      <w:pPr>
        <w:jc w:val="right"/>
        <w:rPr>
          <w:rFonts w:ascii="仿宋_GB2312" w:hAnsi="宋体" w:eastAsia="仿宋_GB2312"/>
          <w:color w:val="auto"/>
          <w:sz w:val="24"/>
          <w:szCs w:val="44"/>
          <w:highlight w:val="none"/>
        </w:rPr>
      </w:pPr>
      <w:r>
        <w:rPr>
          <w:rFonts w:hint="eastAsia" w:ascii="仿宋_GB2312" w:hAnsi="宋体" w:eastAsia="仿宋_GB2312"/>
          <w:color w:val="auto"/>
          <w:sz w:val="24"/>
          <w:szCs w:val="44"/>
          <w:highlight w:val="none"/>
        </w:rPr>
        <w:t>机构投资者（盖章）：                            日期：   年   月   日</w:t>
      </w:r>
    </w:p>
    <w:p w14:paraId="79E80B4F">
      <w:pPr>
        <w:jc w:val="left"/>
        <w:rPr>
          <w:rFonts w:ascii="仿宋_GB2312" w:hAnsi="宋体" w:eastAsia="仿宋_GB2312"/>
          <w:color w:val="auto"/>
          <w:sz w:val="24"/>
          <w:szCs w:val="44"/>
          <w:highlight w:val="none"/>
        </w:rPr>
      </w:pPr>
    </w:p>
    <w:p w14:paraId="711F2EB8">
      <w:pPr>
        <w:rPr>
          <w:rFonts w:ascii="方正小标宋简体" w:eastAsia="方正小标宋简体"/>
          <w:color w:val="auto"/>
          <w:sz w:val="36"/>
          <w:szCs w:val="36"/>
          <w:highlight w:val="none"/>
        </w:rPr>
      </w:pPr>
      <w:r>
        <w:rPr>
          <w:rFonts w:hint="eastAsia" w:ascii="仿宋_GB2312" w:hAnsi="宋体" w:eastAsia="仿宋_GB2312"/>
          <w:color w:val="auto"/>
          <w:sz w:val="24"/>
          <w:szCs w:val="44"/>
          <w:highlight w:val="none"/>
        </w:rPr>
        <w:t>机构投资者法定代表人或授权代表（签字或盖章）</w:t>
      </w:r>
    </w:p>
    <w:p w14:paraId="6E12C0CE">
      <w:pPr>
        <w:rPr>
          <w:color w:val="auto"/>
          <w:sz w:val="24"/>
          <w:szCs w:val="24"/>
          <w:highlight w:val="none"/>
        </w:rPr>
      </w:pPr>
    </w:p>
    <w:sectPr>
      <w:headerReference r:id="rId3" w:type="default"/>
      <w:footerReference r:id="rId4" w:type="default"/>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41107">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C36A6">
    <w:pPr>
      <w:pStyle w:val="5"/>
      <w:jc w:val="left"/>
      <w:rPr>
        <w:b/>
        <w:sz w:val="24"/>
      </w:rPr>
    </w:pPr>
    <w:r>
      <w:rPr>
        <w:rFonts w:hint="eastAsia"/>
        <w:b/>
        <w:sz w:val="24"/>
      </w:rPr>
      <w:t>理财非存款</w:t>
    </w:r>
    <w:r>
      <w:rPr>
        <w:b/>
        <w:sz w:val="24"/>
      </w:rPr>
      <w:t xml:space="preserve"> </w:t>
    </w:r>
    <w:r>
      <w:rPr>
        <w:rFonts w:hint="eastAsia"/>
        <w:b/>
        <w:sz w:val="24"/>
      </w:rPr>
      <w:t>产品有风险</w:t>
    </w:r>
    <w:r>
      <w:rPr>
        <w:b/>
        <w:sz w:val="24"/>
      </w:rPr>
      <w:t xml:space="preserve"> </w:t>
    </w:r>
    <w:r>
      <w:rPr>
        <w:rFonts w:hint="eastAsia"/>
        <w:b/>
        <w:sz w:val="24"/>
      </w:rPr>
      <w:t>投资须谨慎</w:t>
    </w:r>
    <w:r>
      <w:rPr>
        <w:b/>
        <w:sz w:val="24"/>
      </w:rPr>
      <w:t xml:space="preserve">  </w:t>
    </w:r>
    <w:r>
      <w:rPr>
        <w:rFonts w:hint="eastAsia"/>
        <w:b/>
        <w:sz w:val="21"/>
      </w:rPr>
      <w:t xml:space="preserve">                    </w:t>
    </w:r>
    <w:r>
      <w:rPr>
        <w:b/>
        <w:sz w:val="21"/>
      </w:rPr>
      <w:t xml:space="preserve">         </w:t>
    </w:r>
    <w:r>
      <w:rPr>
        <w:rFonts w:hint="eastAsia"/>
        <w:b/>
        <w:sz w:val="21"/>
      </w:rPr>
      <w:t xml:space="preserve"> </w:t>
    </w:r>
    <w:r>
      <w:rPr>
        <w:b/>
        <w:sz w:val="21"/>
      </w:rPr>
      <w:t xml:space="preserve"> </w:t>
    </w:r>
    <w:r>
      <w:rPr>
        <w:rFonts w:hint="eastAsia"/>
        <w:b/>
        <w:sz w:val="21"/>
      </w:rPr>
      <w:t xml:space="preserve">                    </w:t>
    </w:r>
    <w:r>
      <w:rPr>
        <w:rFonts w:hint="eastAsia"/>
        <w:b/>
        <w:sz w:val="24"/>
      </w:rPr>
      <w:t>浙</w:t>
    </w:r>
    <w:r>
      <w:rPr>
        <w:b/>
        <w:sz w:val="24"/>
      </w:rPr>
      <w:t>银理财</w:t>
    </w:r>
    <w:r>
      <w:pict>
        <v:shape id="ImpTraceLabel01f24a5666b437d1193b837c63dcab0d@"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141FF61E">
                <w:r>
                  <w:t>ImpTraceLabel01f24a5666b437d1193b837c63dcab0d@=dGltZT0xNzg3NTYwMDk3MDAwfHdhdGVyTWFya0luZm895L+d5a+GfGZpbGVOYW1lPea1memTtueQhui0oueQrueugOWvjOaYpTIzOeWPt+eQhui0ouS6p+WTgemjjumZqeaPreekuuS5pi5kb2N4fElQPTEwLjExLjMyLjIzMXxNQUM9MDQ6RDQ6QzQ6NTU6MDc6MTV8Y29tcHV0ZXJOYW1lPeWRmOW3peW3peWPt3xjb21wYW55Pea1meWVhumTtuihjOiCoeS7veaciemZkOWFrOWPuHxkZXA95biC5Zy66JCl6ZSA6YOo77yI5Lqn5ZOB56CU5Y+R6YOo77yJfHVuaXF1ZUNvZGU9MTEzMDM0fHVzZXJOYW1lPemZiOeCnOadsA==</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bordersDoNotSurroundHeader w:val="1"/>
  <w:bordersDoNotSurroundFooter w:val="1"/>
  <w:documentProtection w:edit="forms" w:enforcement="0"/>
  <w:defaultTabStop w:val="420"/>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30632D9"/>
    <w:rsid w:val="11931782"/>
    <w:rsid w:val="73526B0B"/>
    <w:rsid w:val="78DD6D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99"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99"/>
    <w:pPr>
      <w:jc w:val="left"/>
    </w:pPr>
    <w:rPr>
      <w:rFonts w:ascii="Calibri" w:hAnsi="Calibri" w:eastAsia="宋体" w:cs="Times New Roman"/>
    </w:rPr>
  </w:style>
  <w:style w:type="paragraph" w:styleId="3">
    <w:name w:val="Balloon Text"/>
    <w:basedOn w:val="1"/>
    <w:link w:val="13"/>
    <w:unhideWhenUsed/>
    <w:qFormat/>
    <w:uiPriority w:val="0"/>
    <w:rPr>
      <w:sz w:val="18"/>
      <w:szCs w:val="18"/>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unhideWhenUsed/>
    <w:qFormat/>
    <w:uiPriority w:val="0"/>
    <w:rPr>
      <w:rFonts w:ascii="Calibri" w:hAnsi="Calibri" w:eastAsia="宋体" w:cs="Times New Roman"/>
      <w:b/>
      <w:bCs/>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 w:type="character" w:styleId="11">
    <w:name w:val="annotation reference"/>
    <w:basedOn w:val="9"/>
    <w:qFormat/>
    <w:uiPriority w:val="0"/>
    <w:rPr>
      <w:sz w:val="21"/>
      <w:szCs w:val="21"/>
    </w:rPr>
  </w:style>
  <w:style w:type="character" w:customStyle="1" w:styleId="12">
    <w:name w:val="批注文字 字符"/>
    <w:basedOn w:val="9"/>
    <w:link w:val="2"/>
    <w:qFormat/>
    <w:uiPriority w:val="99"/>
    <w:rPr>
      <w:rFonts w:ascii="Calibri" w:hAnsi="Calibri" w:eastAsia="宋体" w:cs="Times New Roman"/>
      <w:kern w:val="2"/>
      <w:sz w:val="21"/>
      <w:szCs w:val="22"/>
    </w:rPr>
  </w:style>
  <w:style w:type="character" w:customStyle="1" w:styleId="13">
    <w:name w:val="批注框文本 字符"/>
    <w:basedOn w:val="9"/>
    <w:link w:val="3"/>
    <w:semiHidden/>
    <w:qFormat/>
    <w:uiPriority w:val="0"/>
    <w:rPr>
      <w:kern w:val="2"/>
      <w:sz w:val="18"/>
      <w:szCs w:val="18"/>
    </w:rPr>
  </w:style>
  <w:style w:type="character" w:customStyle="1" w:styleId="14">
    <w:name w:val="页眉 字符"/>
    <w:basedOn w:val="9"/>
    <w:link w:val="5"/>
    <w:qFormat/>
    <w:uiPriority w:val="0"/>
    <w:rPr>
      <w:kern w:val="2"/>
      <w:sz w:val="18"/>
      <w:szCs w:val="18"/>
    </w:rPr>
  </w:style>
  <w:style w:type="character" w:customStyle="1" w:styleId="15">
    <w:name w:val="批注主题 字符"/>
    <w:basedOn w:val="12"/>
    <w:link w:val="6"/>
    <w:semiHidden/>
    <w:qFormat/>
    <w:uiPriority w:val="0"/>
    <w:rPr>
      <w:rFonts w:ascii="Calibri" w:hAnsi="Calibri" w:eastAsia="宋体" w:cs="Times New Roman"/>
      <w:b/>
      <w:bCs/>
      <w:kern w:val="2"/>
      <w:sz w:val="21"/>
      <w:szCs w:val="22"/>
    </w:rPr>
  </w:style>
  <w:style w:type="paragraph" w:styleId="16">
    <w:name w:val="List Paragraph"/>
    <w:basedOn w:val="1"/>
    <w:unhideWhenUsed/>
    <w:qFormat/>
    <w:uiPriority w:val="99"/>
    <w:pPr>
      <w:ind w:firstLine="420" w:firstLineChars="200"/>
    </w:pPr>
  </w:style>
  <w:style w:type="character" w:customStyle="1" w:styleId="17">
    <w:name w:val="fontstyle01"/>
    <w:basedOn w:val="9"/>
    <w:qFormat/>
    <w:uiPriority w:val="0"/>
    <w:rPr>
      <w:rFonts w:hint="eastAsia" w:ascii="黑体" w:hAnsi="黑体" w:eastAsia="黑体"/>
      <w:color w:val="000000"/>
      <w:sz w:val="18"/>
      <w:szCs w:val="18"/>
    </w:rPr>
  </w:style>
  <w:style w:type="paragraph" w:customStyle="1" w:styleId="18">
    <w:name w:val="修订1"/>
    <w:semiHidden/>
    <w:qFormat/>
    <w:uiPriority w:val="99"/>
    <w:rPr>
      <w:rFonts w:ascii="Calibri" w:hAnsi="Calibri" w:eastAsia="宋体" w:cs="Times New Roman"/>
      <w:kern w:val="2"/>
      <w:sz w:val="21"/>
      <w:szCs w:val="22"/>
      <w:lang w:val="en-US" w:eastAsia="zh-CN" w:bidi="ar-SA"/>
    </w:rPr>
  </w:style>
  <w:style w:type="paragraph" w:customStyle="1" w:styleId="19">
    <w:name w:val="修订2"/>
    <w:unhideWhenUsed/>
    <w:qFormat/>
    <w:uiPriority w:val="99"/>
    <w:rPr>
      <w:rFonts w:ascii="Calibri" w:hAnsi="Calibri" w:eastAsia="宋体" w:cs="Times New Roman"/>
      <w:kern w:val="2"/>
      <w:sz w:val="21"/>
      <w:szCs w:val="22"/>
      <w:lang w:val="en-US" w:eastAsia="zh-CN" w:bidi="ar-SA"/>
    </w:rPr>
  </w:style>
  <w:style w:type="paragraph" w:customStyle="1" w:styleId="20">
    <w:name w:val="修订3"/>
    <w:semiHidden/>
    <w:qFormat/>
    <w:uiPriority w:val="99"/>
    <w:rPr>
      <w:rFonts w:ascii="Calibri" w:hAnsi="Calibri" w:eastAsia="宋体" w:cs="Times New Roman"/>
      <w:kern w:val="2"/>
      <w:sz w:val="21"/>
      <w:szCs w:val="22"/>
      <w:lang w:val="en-US" w:eastAsia="zh-CN" w:bidi="ar-SA"/>
    </w:rPr>
  </w:style>
  <w:style w:type="paragraph" w:customStyle="1" w:styleId="21">
    <w:name w:val="修订4"/>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7</Pages>
  <Words>1143</Words>
  <Characters>6520</Characters>
  <Lines>54</Lines>
  <Paragraphs>15</Paragraphs>
  <TotalTime>140</TotalTime>
  <ScaleCrop>false</ScaleCrop>
  <LinksUpToDate>false</LinksUpToDate>
  <CharactersWithSpaces>7648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2025-12-16T07:40:00Z</dcterms:created>
  <dc:creator>czbank</dc:creator>
  <cp:lastModifiedBy>浙商银行</cp:lastModifiedBy>
  <cp:lastPrinted>2024-06-24T01:45:00Z</cp:lastPrinted>
  <dcterms:modified xsi:type="dcterms:W3CDTF">2026-08-31T08:30:51Z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C0B3F729078CF97C15357B69C114E676</vt:lpwstr>
  </property>
  <property fmtid="{D5CDD505-2E9C-101B-9397-08002B2CF9AE}" pid="3" name="KSOProductBuildVer">
    <vt:lpwstr>2052-12.1.0.24034</vt:lpwstr>
  </property>
  <property fmtid="{D5CDD505-2E9C-101B-9397-08002B2CF9AE}" pid="4" name="KSOTemplateDocerSaveRecord">
    <vt:lpwstr>eyJoZGlkIjoiYWNhOTE4NDNjODhjYzgxMjRkZjJkNjAwYTFhNjQxOWQiLCJ1c2VySWQiOiIzNDYyMDcwMDIifQ==</vt:lpwstr>
  </property>
</Properties>
</file>