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0B168">
      <w:pPr>
        <w:spacing w:before="156" w:beforeLines="50"/>
        <w:jc w:val="center"/>
        <w:rPr>
          <w:rFonts w:ascii="方正小标宋简体" w:eastAsia="方正小标宋简体"/>
          <w:sz w:val="36"/>
          <w:szCs w:val="36"/>
        </w:rPr>
      </w:pPr>
      <w:r>
        <w:rPr>
          <w:rFonts w:hint="eastAsia" w:ascii="方正小标宋简体" w:eastAsia="方正小标宋简体"/>
          <w:sz w:val="36"/>
          <w:szCs w:val="36"/>
        </w:rPr>
        <w:t>浙</w:t>
      </w:r>
      <w:r>
        <w:rPr>
          <w:rFonts w:ascii="方正小标宋简体" w:eastAsia="方正小标宋简体"/>
          <w:sz w:val="36"/>
          <w:szCs w:val="36"/>
        </w:rPr>
        <w:t>银理财理财产品</w:t>
      </w:r>
    </w:p>
    <w:p w14:paraId="432B6BA4">
      <w:pPr>
        <w:spacing w:before="156" w:beforeLines="50"/>
        <w:jc w:val="center"/>
        <w:rPr>
          <w:rFonts w:ascii="方正小标宋简体" w:eastAsia="方正小标宋简体"/>
          <w:sz w:val="36"/>
          <w:szCs w:val="36"/>
        </w:rPr>
      </w:pPr>
      <w:r>
        <w:rPr>
          <w:rFonts w:ascii="方正小标宋简体" w:eastAsia="方正小标宋简体"/>
          <w:sz w:val="36"/>
          <w:szCs w:val="36"/>
        </w:rPr>
        <w:t>投资协议书</w:t>
      </w:r>
    </w:p>
    <w:p w14:paraId="3250270A">
      <w:pPr>
        <w:jc w:val="center"/>
        <w:rPr>
          <w:rFonts w:ascii="方正小标宋简体" w:eastAsia="方正小标宋简体" w:hAnsiTheme="minorEastAsia"/>
          <w:sz w:val="28"/>
          <w:szCs w:val="30"/>
        </w:rPr>
      </w:pPr>
      <w:r>
        <w:rPr>
          <w:rFonts w:hint="eastAsia" w:ascii="方正小标宋简体" w:eastAsia="方正小标宋简体" w:hAnsiTheme="minorEastAsia"/>
          <w:sz w:val="28"/>
          <w:szCs w:val="30"/>
        </w:rPr>
        <w:t>（202</w:t>
      </w:r>
      <w:r>
        <w:rPr>
          <w:rFonts w:hint="eastAsia" w:ascii="方正小标宋简体" w:eastAsia="方正小标宋简体" w:hAnsiTheme="minorEastAsia"/>
          <w:sz w:val="28"/>
          <w:szCs w:val="30"/>
          <w:lang w:val="en-US" w:eastAsia="zh-CN"/>
        </w:rPr>
        <w:t>608</w:t>
      </w:r>
      <w:r>
        <w:rPr>
          <w:rFonts w:hint="eastAsia" w:ascii="方正小标宋简体" w:eastAsia="方正小标宋简体" w:hAnsiTheme="minorEastAsia"/>
          <w:sz w:val="28"/>
          <w:szCs w:val="30"/>
        </w:rPr>
        <w:t>版）</w:t>
      </w:r>
    </w:p>
    <w:p w14:paraId="10040FB9">
      <w:pPr>
        <w:spacing w:after="156" w:afterLines="50"/>
        <w:jc w:val="center"/>
        <w:rPr>
          <w:rFonts w:ascii="方正小标宋简体" w:eastAsia="方正小标宋简体" w:hAnsiTheme="minorEastAsia"/>
          <w:sz w:val="40"/>
          <w:szCs w:val="44"/>
        </w:rPr>
      </w:pPr>
      <w:r>
        <w:rPr>
          <w:rFonts w:hint="eastAsia" w:ascii="方正小标宋简体" w:eastAsia="方正小标宋简体" w:hAnsiTheme="minorEastAsia"/>
          <w:sz w:val="28"/>
          <w:szCs w:val="30"/>
        </w:rPr>
        <w:t>理财非存款、产品有风险、投资须谨慎</w:t>
      </w:r>
    </w:p>
    <w:p w14:paraId="77C15CA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投资者（以下简称“甲方”），与浙银理财有限责任公司（以下简称“乙方”）两方经协商一致，本着平等自愿、诚实信用的原则，就甲方投资乙方发行与管理的理财产品，达成如下协议：</w:t>
      </w:r>
    </w:p>
    <w:p w14:paraId="0446F885">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一、重要提示</w:t>
      </w:r>
    </w:p>
    <w:p w14:paraId="7CC2F39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1.本协议与本理财产品对应的《风险揭示书》、《产品说明书》、《投资者权益须知》、《（代理）销售协议书》构成完整和不可分割的理财产品销售文件，具有同等法律效力。</w:t>
      </w:r>
      <w:r>
        <w:rPr>
          <w:rFonts w:hint="eastAsia" w:ascii="仿宋_GB2312" w:hAnsi="仿宋_GB2312" w:eastAsia="仿宋_GB2312" w:cs="仿宋_GB2312"/>
          <w:b/>
          <w:bCs/>
          <w:sz w:val="24"/>
          <w:szCs w:val="24"/>
        </w:rPr>
        <w:t>为了维护投资者的合法权益，请在投资前仔细阅读本协议及其他销售文件（尤其是黑体加粗的条款），了解理财产品具体情况。如果投资者不同意本协议的任何内容，或者无法准确理解相关条款的解释，请不要进行后续操作。</w:t>
      </w:r>
    </w:p>
    <w:p w14:paraId="2C0A34F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b/>
          <w:bCs/>
          <w:sz w:val="24"/>
          <w:szCs w:val="24"/>
        </w:rPr>
        <w:t>甲方签署本协议（含电子渠道确认）则被视为已详细阅读过本协议及完整理财产品销售文件，并充分理解文件条款和潜在风险，自愿购买本理财产品，并同意遵守理财产品销售文件的各项约定。</w:t>
      </w:r>
    </w:p>
    <w:p w14:paraId="04E42E3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3.在购买理财产品前，甲方应仔细阅读销售文件中的各项条款，确保自己完全明白该项投资的性质和所涉及的风险，详细了解和审慎评估该理财产品的资金投资方向、风险类型等基本情况，</w:t>
      </w:r>
      <w:r>
        <w:rPr>
          <w:rFonts w:hint="eastAsia" w:ascii="仿宋_GB2312" w:hAnsi="仿宋_GB2312" w:eastAsia="仿宋_GB2312" w:cs="仿宋_GB2312"/>
          <w:b/>
          <w:bCs/>
          <w:sz w:val="24"/>
          <w:szCs w:val="24"/>
        </w:rPr>
        <w:t>在慎重考虑后自行决定购买与自身风险承受能力和资产管理需求匹配的理财产品，如影响甲方风险承受能力的因素发生变化，请及时重新完成风险承受能力评估。</w:t>
      </w:r>
    </w:p>
    <w:p w14:paraId="7A7D214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4.本理财产品不保证本金和收益，甲方应知晓并理解，</w:t>
      </w:r>
      <w:r>
        <w:rPr>
          <w:rFonts w:hint="eastAsia" w:ascii="仿宋_GB2312" w:hAnsi="仿宋_GB2312" w:eastAsia="仿宋_GB2312" w:cs="仿宋_GB2312"/>
          <w:b/>
          <w:bCs/>
          <w:sz w:val="24"/>
          <w:szCs w:val="24"/>
        </w:rPr>
        <w:t>理财非存款、产品有风险、投资须谨慎。</w:t>
      </w:r>
      <w:r>
        <w:rPr>
          <w:rFonts w:hint="eastAsia" w:ascii="仿宋_GB2312" w:hAnsi="仿宋_GB2312" w:eastAsia="仿宋_GB2312" w:cs="仿宋_GB2312"/>
          <w:sz w:val="24"/>
          <w:szCs w:val="24"/>
        </w:rPr>
        <w:t>本理财产品可能面临信用风险、市场风险、流动性风险等各类风险因素，具体由乙方在《风险揭示书》中揭示。甲方应仔细阅读并充分理解《风险揭示书》的详细条款及理财产品可能发生的风险。</w:t>
      </w:r>
    </w:p>
    <w:p w14:paraId="7125192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5.在任何情况下乙方发布的理财产品业绩比较基准仅供甲方参考，不代表甲方能获得的实际投资收益，不代表理财产品的未来表现，亦不构成乙方保证甲方获得业绩比较基准反映的收益率的承诺。</w:t>
      </w:r>
    </w:p>
    <w:p w14:paraId="4143727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二、双方权利义务</w:t>
      </w:r>
    </w:p>
    <w:p w14:paraId="1A059D2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（一）甲方的权利义务</w:t>
      </w:r>
    </w:p>
    <w:p w14:paraId="42B6089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1.甲方声明：</w:t>
      </w:r>
    </w:p>
    <w:p w14:paraId="71E58AE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自愿以本协议所约定的理财本金金额购买本理财产品，保证理财本金是其自有或其有权处分的合法资金（包括合法受托管理的资金），不得使用贷款、发行债券等筹集的非自有资金投资（受托管理的资管产品除外），同时将该资金用作理财产品销售文件下交易以及订立和履行本协议并不违反任何法律、法规，且不违反任何约束或影响甲方或其资产的合同、协议或承诺。</w:t>
      </w:r>
      <w:r>
        <w:rPr>
          <w:rFonts w:hint="eastAsia" w:ascii="仿宋_GB2312" w:hAnsi="仿宋_GB2312" w:eastAsia="仿宋_GB2312" w:cs="仿宋_GB2312"/>
          <w:b/>
          <w:bCs/>
          <w:sz w:val="24"/>
          <w:szCs w:val="24"/>
        </w:rPr>
        <w:t>若甲方为机构投资者的，甲方确认已完全知悉并接受本理财产品的投资范围，并确保以自有资金或受托管理的资管产品投资本理财产品符合相关法律法规、监管规定及资管产品的投资范围，不存在违反监管要求的产品嵌套、以投资本理财产品规避投资范围或杠杆约束等违规行为。</w:t>
      </w:r>
    </w:p>
    <w:p w14:paraId="13067912">
      <w:pPr>
        <w:spacing w:line="36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甲方签署本协议符合对甲方具有约束力的法律法规等相关规定，</w:t>
      </w:r>
      <w:r>
        <w:rPr>
          <w:rFonts w:hint="eastAsia" w:ascii="仿宋_GB2312" w:hAnsi="仿宋_GB2312" w:eastAsia="仿宋_GB2312" w:cs="仿宋_GB2312"/>
          <w:sz w:val="24"/>
          <w:szCs w:val="24"/>
        </w:rPr>
        <w:t>不存在法律法规、有权机关或主管机关禁止或限制购买理财产品的各种情形，其购买理财产品的行为亦未违反任何限制性规定。甲方具有完全适当的资格与能力订立、接收及履行本协议以及以其为一方当事人的任何有关文件。甲方签署和履行本协议系其真实意思表示。甲方已经取得签订和履行本协议所需的一切有关批准、许可、备案或者登记。若甲方为个人投资者的，甲方确认其为具有完全民事行为能力的个人；若甲方为机构投资者的，甲方确认已经按照其章程或者其它内部管理文件的要求取得合法、有效的授权。</w:t>
      </w:r>
      <w:r>
        <w:rPr>
          <w:rFonts w:hint="eastAsia" w:ascii="仿宋_GB2312" w:hAnsi="仿宋_GB2312" w:eastAsia="仿宋_GB2312" w:cs="仿宋_GB2312"/>
          <w:b/>
          <w:bCs/>
          <w:sz w:val="24"/>
          <w:szCs w:val="24"/>
        </w:rPr>
        <w:t>否则，由此导致的后果应由甲方自行承担，并赔偿因此给产品管理人带来的损失。</w:t>
      </w:r>
    </w:p>
    <w:p w14:paraId="42C30075">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甲方接受并签署理财产品销售文件，对有关条款不存在任何疑问或异议；甲方已清楚知悉并同意理财产品销售文件下理财产品的投资管理等行为由乙方负责实施，完全知晓产品可能出现的各种风险，在慎重考虑后作出交易决定，愿意并能够承担风险。乙方向甲方提供的市场分析和预测仅供参考，甲方据此做出的任何决策均出于甲方自身的判断，乙方不承担任何责任。</w:t>
      </w:r>
    </w:p>
    <w:p w14:paraId="491E41FB">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3.因甲方理财指定账户资金余额不足或处于非正常状态（包括但不限于冻结、销户等状态）导致银行无法按时办理扣款或到期理财资金及收益无法入账，或者引起其他风险与损失的，均由甲方承担。</w:t>
      </w:r>
    </w:p>
    <w:p w14:paraId="0D380B7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4.甲方同意乙方在本协议及其他理财产品销售文件约定的事项内，依据自身的投资决策流程和风险管理机制做出和实施相关投资管理决定。</w:t>
      </w:r>
    </w:p>
    <w:p w14:paraId="492E20E0">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甲方特别在此声明：同意乙方于本理财产品理财起始日当日将甲方理财指定账户内相应理财资金划转至乙方理财账户，划款前乙方不另行给予通知,划款时也不以电话等方式与甲方进行最后确认，对于风险较高或甲方单笔购买金额较大的理财产品，同样适用上述划款规则。</w:t>
      </w:r>
    </w:p>
    <w:p w14:paraId="7FDBC4F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b/>
          <w:bCs/>
          <w:sz w:val="24"/>
          <w:szCs w:val="24"/>
        </w:rPr>
        <w:t>甲方自签署私募类理财产品销售文件之时起，有权享有24小时的投资冷静期。</w:t>
      </w:r>
      <w:r>
        <w:rPr>
          <w:rFonts w:hint="eastAsia" w:ascii="仿宋_GB2312" w:hAnsi="仿宋_GB2312" w:eastAsia="仿宋_GB2312" w:cs="仿宋_GB2312"/>
          <w:sz w:val="24"/>
          <w:szCs w:val="24"/>
        </w:rPr>
        <w:t>在冷静期内，如甲方改变投资决定，乙方有义务解除已签订的产品文件，并及时退还全部投资款项。</w:t>
      </w:r>
    </w:p>
    <w:p w14:paraId="542349F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甲方保证遵守国家反洗钱和反恐怖融资法律、法规及相关政策要求，不从事涉及洗钱、恐怖融资、逃税、逃废债务、套取现金等违法违规活动；不属于联合国、我国有权部门发布的反洗钱和反恐怖融资监控名单人员或组织，积极配合乙方和销售机构开展包括但不限于投资者客户尽职调查、客户身份资料及交易记录保存、大额和可疑交易报告、反洗钱特别预防措施等各项反洗钱、反恐怖融资及非居民金融账户涉税信息有关的工作，并按乙方或销售机构要求及时、真实、准确、完整地提供相关证明材料。</w:t>
      </w:r>
    </w:p>
    <w:p w14:paraId="2D16D434">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8.</w:t>
      </w:r>
      <w:r>
        <w:rPr>
          <w:rFonts w:hint="eastAsia" w:ascii="仿宋_GB2312" w:hAnsi="仿宋_GB2312" w:eastAsia="仿宋_GB2312" w:cs="仿宋_GB2312"/>
          <w:b/>
        </w:rPr>
        <w:t xml:space="preserve"> </w:t>
      </w:r>
      <w:r>
        <w:rPr>
          <w:rFonts w:hint="eastAsia" w:ascii="仿宋_GB2312" w:hAnsi="仿宋_GB2312" w:eastAsia="仿宋_GB2312" w:cs="仿宋_GB2312"/>
          <w:b/>
          <w:sz w:val="24"/>
          <w:szCs w:val="24"/>
        </w:rPr>
        <w:t>甲方授权乙方在遵循合法、正当、必要、授权原则，符合国家法律法规、监管规定、自律组织要求和本理财产品销售文件约定的前提下，根据理财业务办理需要处理（包括收集、存储、使用、加工、传输、提供、公开、删除等）甲方的以下必要投资者信息。</w:t>
      </w:r>
    </w:p>
    <w:p w14:paraId="2313C59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理财产品投资信息管理目的，可收集甲方信息，包括自然人的姓名、性别、出生年月、证件类型及号码、国籍、职业、通讯地址（居住地址、工作单位地址、邮编）、手机号码、固定电话、电子邮箱，法人或者其他组织的名称、性质、资质、联系方式等基本信息，并在乙方业务系统内进行登记、保存，用于理财客户信息管理、客户理财份额登记。</w:t>
      </w:r>
    </w:p>
    <w:p w14:paraId="477AFAB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乙方出于理财业务必要的联系与通知目的，可使用甲方的手机号码、固定电话、电子邮箱、互联网即时通讯工具等联系方式进行理财产品日常管理、到期提醒、变更通知、信息披露、投诉处理等非接触性联系。</w:t>
      </w:r>
    </w:p>
    <w:p w14:paraId="781F40F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确保理财产品风险等级与客户风险承受能力匹配目的，可收集、保存甲方身份信息、财产信息（包括个人投资者家庭财产信息）、投资偏好信息等，并根据甲方提供的前述信息对其进行风险承受能力评估，向甲方推介符合其风险承受能力的理财产品。</w:t>
      </w:r>
    </w:p>
    <w:p w14:paraId="08618EF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合格投资者认定等客户分类管理目的，可收集、保存甲方财产信息，包括但不限于银行账号、存款、基金、保险、贵金属、资管产品、收入证明、纳税证明及其他甲方自愿提供的可证明其金融资产情况的信息，作为评定客户合格投资者身份的佐证材料。</w:t>
      </w:r>
    </w:p>
    <w:p w14:paraId="52F3A29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履行反洗钱和反恐怖融资义务的目的，可收集、保存甲方信息，包括：自然人的姓名、性别、国籍、职业、住所地或工作单位地址、联系方式、身份证件类型、身份证件号码、身份证件有效期限等；法人或者其他组织的基本信息，包括：名称、住所、经营范围，依法设立或者可依法开展经营、社会活动的证明文件名称、号码、有效期限，控股股东或者实际控制人、法定代表人、负责人和授权办理业务人员的姓名、身份证件种类、号码、有效期限，受益所有人的姓名、地址、身份证件种类、号码、有效期限等甲方留存的有效信息、交易记录及相关法律法规、监管规定的其他相关信息，并根据《中华人民共和国反洗钱法》《中华人民共和国反恐怖主义法》《金融机构反洗钱规定》《银行业金融机构反洗钱和反恐怖融资管理办法》等反洗钱和反恐怖融资法律法规或监管规定，要求甲方提供乙方履行反洗钱、反恐怖融资义务所需的其他信息或证明材料。</w:t>
      </w:r>
    </w:p>
    <w:p w14:paraId="3B5A1C23">
      <w:pPr>
        <w:spacing w:line="360" w:lineRule="auto"/>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在为甲方办理本理财产品销售文件项下事项所必需的情形下，</w:t>
      </w:r>
      <w:r>
        <w:rPr>
          <w:rFonts w:hint="eastAsia" w:ascii="仿宋_GB2312" w:hAnsi="仿宋_GB2312" w:eastAsia="仿宋_GB2312" w:cs="仿宋_GB2312"/>
          <w:b/>
          <w:bCs/>
          <w:sz w:val="24"/>
          <w:szCs w:val="24"/>
        </w:rPr>
        <w:t>乙方可向监管机构、自律组织、理财登记备案机构、托管机构、投资合作机构、代销机构、客户服务热线机构、理财快速赎回服务提供方等提供、留存甲方信息，并要求上述信息接收方按照法律法规规定履行投资者信息保密义务。前述甲方信息包括个人基本信息、联络信息、身份信息、财产信息、账户及相关信息、交易信息、投资经验、风险偏好与投资目标、在与甲方建立业务关系过程中及服务过程中产生、获取、保存的其他与业务相关的个人信息及法律法规、监管规定的其他必要信息。除相关法律法规及监管规范另有规定、有权机关要求提供或者以上甲方同意披露的情形外，乙方不得向任何组织、个人提供或泄漏与甲方有关的资料和信息。</w:t>
      </w:r>
    </w:p>
    <w:p w14:paraId="245C75E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可通过甲方办理个人理财业务填写的纸质或电子资料信息、已在乙方留存的个人信息和金融交易行为数据、甲方主动告知等途径收集个人金融信息。乙方可通过保管纸质材料、纸质材料转化为电子影像、直接转化电子信息的方式存储甲方个人金融信息。</w:t>
      </w:r>
    </w:p>
    <w:p w14:paraId="4B9EDE9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甲方已知悉，处理前述金融信息为申请及办理本授权所涉及的个人理财业务所必需，如乙方没有获得授权或未获取到前述必要个人金融信息，乙方将无法为授权人提供相应金融服务。</w:t>
      </w:r>
    </w:p>
    <w:p w14:paraId="646F3ED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乙方应按照国家档案管理和电子数据管理等规定，采取技术措施和其他必要措施妥善保管甲方个人金融信息，</w:t>
      </w:r>
      <w:r>
        <w:rPr>
          <w:rFonts w:hint="eastAsia" w:ascii="仿宋_GB2312" w:hAnsi="仿宋_GB2312" w:eastAsia="仿宋_GB2312" w:cs="仿宋_GB2312"/>
          <w:b/>
          <w:bCs/>
          <w:sz w:val="24"/>
          <w:szCs w:val="24"/>
        </w:rPr>
        <w:t>并有权存储相关信息自本次申请的业务结清后不少于20年。但极端情况下有可能发生信息毁损、遗失、泄露等情况，乙方将根据消费者个人信息保护应急预案等制度规范尽最大可能保护甲方合法权益。相关法律法规、监管规范另有规定的，从其规定。</w:t>
      </w:r>
    </w:p>
    <w:p w14:paraId="1F5920E4">
      <w:pPr>
        <w:spacing w:line="36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甲方确认已仔细阅读上述条款，对所有条款的含义及相应的法律后果已全部知晓并充分理解，自愿作出上述授权。授权自本协议生效之日起，授权期限至本次申请的业务结清后五年止；授权事项适用于反洗钱、反恐怖融资的，授权期限长期有效。相关法律法规、监管规范另有规定的，从其规定。</w:t>
      </w:r>
    </w:p>
    <w:p w14:paraId="7FF040C9">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乙方保障甲方依据《个人信息保护法》等相关法律法规、监管规定所享有的权利，如需撤销授权或有相关异议，可联系销售机构或拨打乙方客户服务热线（0571-57192881），销售机构或乙方将根据法律法规、监管规定要求与本公司业务规则为甲方处理。</w:t>
      </w:r>
    </w:p>
    <w:p w14:paraId="06B428F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hint="eastAsia" w:ascii="仿宋_GB2312" w:hAnsi="仿宋_GB2312" w:eastAsia="仿宋_GB2312" w:cs="仿宋_GB2312"/>
          <w:b/>
          <w:bCs/>
          <w:sz w:val="24"/>
          <w:szCs w:val="24"/>
        </w:rPr>
        <w:t>甲方保证所提供的所有资料</w:t>
      </w:r>
      <w:r>
        <w:rPr>
          <w:rFonts w:hint="eastAsia" w:ascii="仿宋_GB2312" w:hAnsi="仿宋_GB2312" w:eastAsia="仿宋_GB2312" w:cs="仿宋_GB2312"/>
          <w:b/>
          <w:sz w:val="24"/>
          <w:szCs w:val="24"/>
        </w:rPr>
        <w:t>真实、完整、合法、有效</w:t>
      </w: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rPr>
        <w:t>如有变更，甲方应及时办理变更手续。</w:t>
      </w:r>
      <w:r>
        <w:rPr>
          <w:rFonts w:hint="eastAsia" w:ascii="仿宋_GB2312" w:hAnsi="仿宋_GB2312" w:eastAsia="仿宋_GB2312" w:cs="仿宋_GB2312"/>
          <w:b/>
          <w:sz w:val="24"/>
          <w:szCs w:val="24"/>
        </w:rPr>
        <w:t>若甲方未及时办理相关变更手续，由此导致的一切后果由甲方自行承担。</w:t>
      </w:r>
    </w:p>
    <w:p w14:paraId="4AE612F4">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（二）乙方的权利义务</w:t>
      </w:r>
    </w:p>
    <w:p w14:paraId="6C0AD84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1.乙方按照法律法规、本协议及其他理财产品销售文件的约定，诚实守信、勤勉尽责地履行受人之托、代人理财职责，依法维护理财产品全体投资者的利益。</w:t>
      </w:r>
    </w:p>
    <w:p w14:paraId="216489D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2.乙方不对任何理财产品的收益情况做出承诺或保证，亦不会承诺或保证最低收益或本金安全。对理财产品本金及收益的约定以理财产品的《产品说明书》为准。</w:t>
      </w:r>
    </w:p>
    <w:p w14:paraId="5790711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依照产品说明书载明的投资范围、投资资产种类、投资比例进行投资，在投资管理过程中,遇市场变化导致产品投资比例暂时超出产品说明书约定的浮动区间且乙方认为可能对投资者收益产生重大影响时，乙方将及时调整至产品说明书约定的比例范围。</w:t>
      </w:r>
    </w:p>
    <w:p w14:paraId="0E203D1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通过代销机构购买乙方理财产品时，乙方仍应承担设计发行及理财产品管理人的相关义务和责任。代销机构面向甲方实施销售行为过程引发的相关投诉与纠纷，或因代销机构及其人员过错造成的投资人损失，甲方有权直接向代销机构投诉、索赔。</w:t>
      </w:r>
    </w:p>
    <w:p w14:paraId="4F0BA8A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为实现理财产品的投资目标及/或维护理财产品全体投资者的利益，乙方有权行使与投资相关的权利、履行相关义务，有权决定理财产品所投基础资产投资的管理、合同/文件条款变更、赎回、处置与披露等事宜。</w:t>
      </w:r>
    </w:p>
    <w:p w14:paraId="7488D97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b/>
          <w:bCs/>
          <w:sz w:val="24"/>
          <w:szCs w:val="24"/>
        </w:rPr>
        <w:t>乙方有权代表甲方参加理财产品所投资产的相关会议，对相关事项进行表决；乙方有权代表甲方利益，按照法律法规和监管部门相关规定对理财产品投资产生的风险资产进行多种方式的处置，包括但不限于转让、重组、债转股、资产证券化、委外催收、抵债资产收取与处置、破产重整等。当理财产品的资产安全受到侵害时，乙方有权以自身名义代表理财产品全体投资者采取诉讼或其他权利救济措施，所产生的费用和法律后果由理财产品全体投资者承担，乙方有权从追索回来的款项中优先扣除。</w:t>
      </w:r>
    </w:p>
    <w:p w14:paraId="1E137FD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出现法律法规变化、金融政策调整、紧急措施出台、市场情况变化、异常风险事件等情形之一时，乙方可根据需要做出调整《产品说明书》中约定投资计划的决定，包括但不限于投资范围、投资品种、投资比例、投资方式等内容，并通过约定信息披露途径及时通知投资者。超出理财产品销售文件约定比例的，除高风险类型的理财产品超出比例范围投资较低风险资产外，应当先取得投资者书面同意。</w:t>
      </w:r>
    </w:p>
    <w:p w14:paraId="5B6B51C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hint="eastAsia" w:ascii="仿宋_GB2312" w:hAnsi="仿宋_GB2312" w:eastAsia="仿宋_GB2312" w:cs="仿宋_GB2312"/>
          <w:b/>
          <w:sz w:val="24"/>
          <w:szCs w:val="24"/>
        </w:rPr>
        <w:t>乙方有权向甲方收取理财产品的相关费用，具体收费项目、条件、标准和方式等，以《产品说明书》及对应理财产品相关公告中载明为准。</w:t>
      </w:r>
      <w:r>
        <w:rPr>
          <w:rFonts w:hint="eastAsia" w:ascii="仿宋_GB2312" w:hAnsi="仿宋_GB2312" w:eastAsia="仿宋_GB2312" w:cs="仿宋_GB2312"/>
          <w:b/>
          <w:bCs/>
          <w:sz w:val="24"/>
          <w:szCs w:val="24"/>
        </w:rPr>
        <w:t>乙方亦有权依照法律或国家政策规定对已约定的收费项目、条件、标准和方式进行调整，在调整前将通过《产品说明书》约定的信息披露渠道进行信息披露，相关信息披露内容与理财产品销售文件具有同等法律效力。甲方有权不接受调整，并按照乙方信息披露内容中约定的方式提前赎回理财产品。甲方应在充分知晓、理解有关信息披露内容和渠道后签署本协议，并在签署本协议后通过约定的信息披露渠道持续关注理财产品信息披露内容。</w:t>
      </w:r>
    </w:p>
    <w:p w14:paraId="12199D1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hint="eastAsia" w:ascii="仿宋_GB2312" w:hAnsi="仿宋_GB2312" w:eastAsia="仿宋_GB2312" w:cs="仿宋_GB2312"/>
        </w:rPr>
        <w:t xml:space="preserve"> </w:t>
      </w:r>
      <w:r>
        <w:rPr>
          <w:rFonts w:hint="eastAsia" w:ascii="仿宋_GB2312" w:hAnsi="仿宋_GB2312" w:eastAsia="仿宋_GB2312" w:cs="仿宋_GB2312"/>
          <w:sz w:val="24"/>
          <w:szCs w:val="24"/>
        </w:rPr>
        <w:t>鉴于理财产品投资可能涉及复杂的金融交易，乙方在遵循相关法律法规、监管规定并尽可能维护甲方利益的前提下，有权对该类交易中涉及的、双方未能在理财产品文件中约定的事宜按照相关交易惯例处理。</w:t>
      </w:r>
    </w:p>
    <w:p w14:paraId="34C21651">
      <w:pPr>
        <w:spacing w:line="360" w:lineRule="auto"/>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10.</w:t>
      </w:r>
      <w:r>
        <w:rPr>
          <w:rFonts w:hint="eastAsia" w:ascii="仿宋_GB2312" w:hAnsi="仿宋_GB2312" w:eastAsia="仿宋_GB2312" w:cs="仿宋_GB2312"/>
        </w:rPr>
        <w:t xml:space="preserve"> </w:t>
      </w:r>
      <w:r>
        <w:rPr>
          <w:rFonts w:hint="eastAsia" w:ascii="仿宋_GB2312" w:hAnsi="仿宋_GB2312" w:eastAsia="仿宋_GB2312" w:cs="仿宋_GB2312"/>
          <w:b/>
          <w:sz w:val="24"/>
          <w:szCs w:val="24"/>
        </w:rPr>
        <w:t>乙方在理财产品实际到期日或开放时间内赎回日起的N个工作日内（具体详见每期产品说明书约定）将理财收益和本金通过销售机构划入甲方理财指定账户，到期日或开放时间内赎回日至资金到账日期间，甲方资金不计利息。乙方向甲方支付的投资理财收益为未扣税收益，相关税款由甲方自行缴纳，乙方不承担代扣代缴相关税款的责任，法律、法规或规章规定必须由乙方代扣代缴的除外。</w:t>
      </w:r>
    </w:p>
    <w:p w14:paraId="7F5B8DD7">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三、免责条款</w:t>
      </w:r>
    </w:p>
    <w:p w14:paraId="46D760B4">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因法律法规及监管政策变化、自然灾害、战争等不能预见、不能避免、不能克服的不可抗力事件或系统故障、通讯故障、投资市场停止交易等意外事件，导致乙方无法或延后履行本协议的有关义务，或造成理财产品损失，乙方不承担责任，但应以适当的方式通知甲方，并采取一切必要的补救措施以减少有关损失。</w:t>
      </w:r>
    </w:p>
    <w:p w14:paraId="3A6CE0F6">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由于国家有关法律、法规、政策的改变、紧急措施的出台而导致甲方承担的风险，乙方不承担责任，但应在条件允许的情况下通知甲方（包括但不限于网站公告、网上银行、手机银行等），并采取一切必要的补救措施以减少以上原因造成的损失。</w:t>
      </w:r>
    </w:p>
    <w:p w14:paraId="592F66E3">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在本理财产品存续期内，如有权机关要求乙方配合对甲方理财份额、理财账户、授权指定账户进行查封、冻结或扣划的，乙方有权根据实际情况采取包括但不限于全额或部分终止理财交易、停止向甲方支付投资本金及投资收益等措施。由于提前终止交易而产生的一切损失及费用将由甲方承担，乙方有权将此损失及费用从甲方的授权指定账户、理财本金及收益中扣除。乙方对上述后果不承担任何责任。</w:t>
      </w:r>
    </w:p>
    <w:p w14:paraId="4721ABD2">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4.因甲方指定账户冻结、挂失、换卡、销户、长期不动户等原因造成账户变更或异常，甲方应及时到销售机构办理变更手续，并经乙方和销售机构确认。</w:t>
      </w:r>
      <w:r>
        <w:rPr>
          <w:rFonts w:hint="eastAsia" w:ascii="仿宋_GB2312" w:hAnsi="仿宋_GB2312" w:eastAsia="仿宋_GB2312" w:cs="仿宋_GB2312"/>
          <w:b/>
          <w:sz w:val="24"/>
          <w:szCs w:val="24"/>
        </w:rPr>
        <w:t>如因甲方未及时办理变更手续而造成乙方及/或销售机构无法向甲方进行正常收益分配和资金清算分配，由此导致甲方损失的由甲方自行承担，乙方不承担责任。</w:t>
      </w:r>
    </w:p>
    <w:p w14:paraId="6206AA3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乙方或其销售机构发现或有合理理由怀疑甲方存在高风险情形、甲方或其资金、交易行为与洗钱、恐怖融资、逃税等犯罪活动相关的，乙方有权采取拒绝或暂停接受申请、限制交易、冻结份额以及提前终止业务等一项或多项限制措施，造成甲方损失的，乙方不承担责任。</w:t>
      </w:r>
    </w:p>
    <w:p w14:paraId="3E34F497">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四、协议的生效与失效</w:t>
      </w:r>
    </w:p>
    <w:p w14:paraId="1E9FDC8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甲乙双方认可本协议可以纸质或电子数据等形式提交、订立或确认。</w:t>
      </w:r>
    </w:p>
    <w:p w14:paraId="7FC569B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线下签约方式。本协议自甲方在协议上签字或盖章（甲方为自然人的，应签字；甲方为机构的，应由法定代表人或授权代理人签字并加盖公章）且乙方确认甲方成功认（申）购并收到甲方缴付的全部投资本金之日起生效。</w:t>
      </w:r>
    </w:p>
    <w:p w14:paraId="063EB31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电子渠道签约方式。通过电子渠道进行理财交易的，本协议经甲方通过点击确认或完成电子签署（含USBKey、人脸识别、银联要素验证等）且乙方确认甲方成功认（申）购并收到甲方缴付的全部投资本金之日起生效。</w:t>
      </w:r>
      <w:r>
        <w:rPr>
          <w:rFonts w:hint="eastAsia" w:ascii="仿宋_GB2312" w:hAnsi="仿宋_GB2312" w:eastAsia="仿宋_GB2312" w:cs="仿宋_GB2312"/>
          <w:b/>
          <w:bCs/>
          <w:sz w:val="24"/>
          <w:szCs w:val="24"/>
        </w:rPr>
        <w:t>甲方签署本协议表示甲方同意接受本协议，以及对应《产品说明书》、《风险揭示书》、《（代理）销售协议书》、《投资者权益须知》等相关销售文件的全部约定内容，并认可其法律约束力。</w:t>
      </w:r>
    </w:p>
    <w:p w14:paraId="4137DE6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3.甲方购买多个乙方发行的理财产品时，该份理财产品销售文件的效力和履行情况均独立于其他理财产品销售文件。</w:t>
      </w:r>
    </w:p>
    <w:p w14:paraId="35165B97">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4.发生理财产品到期、提前终止、提前赎回等情形并结清后，本协议自动终止（本协议个人金融信息授权相关条款除外）。</w:t>
      </w:r>
    </w:p>
    <w:p w14:paraId="36EB7B0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rPr>
        <w:t xml:space="preserve"> </w:t>
      </w:r>
      <w:r>
        <w:rPr>
          <w:rFonts w:hint="eastAsia" w:ascii="仿宋_GB2312" w:hAnsi="仿宋_GB2312" w:eastAsia="仿宋_GB2312" w:cs="仿宋_GB2312"/>
          <w:sz w:val="24"/>
          <w:szCs w:val="24"/>
        </w:rPr>
        <w:t>如甲方购买理财产品后，又变更该笔理财产品销售文件的具体内容（包括但不限于交易变更、金额变更、资金账户变更、投资者信息变更等），</w:t>
      </w:r>
      <w:r>
        <w:rPr>
          <w:rFonts w:hint="eastAsia" w:ascii="仿宋_GB2312" w:hAnsi="仿宋_GB2312" w:eastAsia="仿宋_GB2312" w:cs="仿宋_GB2312"/>
          <w:b/>
          <w:bCs/>
          <w:sz w:val="24"/>
          <w:szCs w:val="24"/>
        </w:rPr>
        <w:t>则以双方最近一次交易达成的交易内容为准。</w:t>
      </w:r>
    </w:p>
    <w:p w14:paraId="2F81C9C6">
      <w:pPr>
        <w:spacing w:line="36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五、</w:t>
      </w:r>
      <w:r>
        <w:rPr>
          <w:rFonts w:hint="eastAsia" w:ascii="仿宋_GB2312" w:hAnsi="仿宋_GB2312" w:eastAsia="仿宋_GB2312" w:cs="仿宋_GB2312"/>
          <w:sz w:val="24"/>
          <w:szCs w:val="24"/>
        </w:rPr>
        <w:t>本协议适用中华人民共和国法律，为本协议之目的，不包括香港特别行政区、澳门特别行政区和台湾地区的法律；法律、法规或规章无明文规定的，可适用通行的金融惯例。如本协议履行过程中部分条款与法律、法规或规章的规定相抵触时，有关的权利和义务应按相关法律、法规或规章的规定履行。</w:t>
      </w:r>
    </w:p>
    <w:p w14:paraId="0B153C2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违约责任</w:t>
      </w:r>
    </w:p>
    <w:p w14:paraId="404AD6A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除法律法规、监管规定另有要求或双方另有约定外，任何一方不履行或不完全履行本协议及理财产品其他销售文件约定的，应承担违约责任，赔偿因此给对方及/或本理财产品财产造成的损失。</w:t>
      </w:r>
    </w:p>
    <w:p w14:paraId="5FE7045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原因（包括但不限于资金来源不合法、认购不符合自身风险承受能力的理财产品、违反约定解除本协议或赎回理财产品等）导致理财交易延误、中断、终止及损失的，</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不承担任何责任，并有权解除本协议、终止双方理财业务关系；如因此给</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rPr>
        <w:t>或本理财产品其他</w:t>
      </w:r>
      <w:r>
        <w:rPr>
          <w:rFonts w:hint="eastAsia" w:ascii="仿宋_GB2312" w:hAnsi="仿宋_GB2312" w:eastAsia="仿宋_GB2312" w:cs="仿宋_GB2312"/>
          <w:sz w:val="24"/>
          <w:szCs w:val="24"/>
          <w:lang w:eastAsia="zh-CN"/>
        </w:rPr>
        <w:t>投资者</w:t>
      </w:r>
      <w:r>
        <w:rPr>
          <w:rFonts w:hint="eastAsia" w:ascii="仿宋_GB2312" w:hAnsi="仿宋_GB2312" w:eastAsia="仿宋_GB2312" w:cs="仿宋_GB2312"/>
          <w:sz w:val="24"/>
          <w:szCs w:val="24"/>
        </w:rPr>
        <w:t>造成损失的，</w:t>
      </w:r>
      <w:r>
        <w:rPr>
          <w:rFonts w:hint="eastAsia" w:ascii="仿宋_GB2312" w:hAnsi="仿宋_GB2312" w:eastAsia="仿宋_GB2312" w:cs="仿宋_GB2312"/>
          <w:sz w:val="24"/>
          <w:szCs w:val="24"/>
          <w:lang w:eastAsia="zh-CN"/>
        </w:rPr>
        <w:t>甲方</w:t>
      </w:r>
      <w:r>
        <w:rPr>
          <w:rFonts w:hint="eastAsia" w:ascii="仿宋_GB2312" w:hAnsi="仿宋_GB2312" w:eastAsia="仿宋_GB2312" w:cs="仿宋_GB2312"/>
          <w:sz w:val="24"/>
          <w:szCs w:val="24"/>
        </w:rPr>
        <w:t>应承担赔偿责任。</w:t>
      </w:r>
    </w:p>
    <w:p w14:paraId="5083861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七</w:t>
      </w:r>
      <w:r>
        <w:rPr>
          <w:rFonts w:hint="eastAsia" w:ascii="仿宋_GB2312" w:hAnsi="仿宋_GB2312" w:eastAsia="仿宋_GB2312" w:cs="仿宋_GB2312"/>
          <w:b/>
          <w:sz w:val="24"/>
          <w:szCs w:val="24"/>
        </w:rPr>
        <w:t>、争议的解决</w:t>
      </w:r>
    </w:p>
    <w:p w14:paraId="7ED07D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因履行本协议或与本协议有关的活动而产生的一切争议，应首先本着诚实信用原则通过友好协商解决；不能协商解决的，任何一方应向乙方住所地有管辖权的人民法院提起诉讼。在争议解决期间，若该争议不影响本协议及理财产品销售文件其他条款的履行，则该其他条款应继续履行。因处理争议产生的费</w:t>
      </w:r>
      <w:bookmarkStart w:id="0" w:name="_GoBack"/>
      <w:bookmarkEnd w:id="0"/>
      <w:r>
        <w:rPr>
          <w:rFonts w:hint="eastAsia" w:ascii="仿宋_GB2312" w:hAnsi="仿宋_GB2312" w:eastAsia="仿宋_GB2312" w:cs="仿宋_GB2312"/>
          <w:sz w:val="24"/>
          <w:szCs w:val="24"/>
        </w:rPr>
        <w:t>用（包括但不限于律师费等），除法院判决/裁定另有规定，由败诉方承担。</w:t>
      </w:r>
    </w:p>
    <w:p w14:paraId="39607821">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、本协议未尽事宜，以理财产品《产品说明书》、《风险揭示书》、《</w:t>
      </w:r>
      <w:r>
        <w:rPr>
          <w:rFonts w:hint="eastAsia" w:ascii="仿宋_GB2312" w:hAnsi="仿宋_GB2312" w:eastAsia="仿宋_GB2312" w:cs="仿宋_GB2312"/>
          <w:b/>
          <w:bCs/>
          <w:sz w:val="24"/>
          <w:szCs w:val="24"/>
        </w:rPr>
        <w:t>（代理）销售协议书</w:t>
      </w:r>
      <w:r>
        <w:rPr>
          <w:rFonts w:hint="eastAsia" w:ascii="仿宋_GB2312" w:hAnsi="仿宋_GB2312" w:eastAsia="仿宋_GB2312" w:cs="仿宋_GB2312"/>
          <w:b/>
          <w:sz w:val="24"/>
          <w:szCs w:val="24"/>
        </w:rPr>
        <w:t>》及《投资者权益须知》的内容为准。</w:t>
      </w:r>
    </w:p>
    <w:p w14:paraId="06CA8E1F">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九</w:t>
      </w:r>
      <w:r>
        <w:rPr>
          <w:rFonts w:hint="eastAsia" w:ascii="仿宋_GB2312" w:hAnsi="仿宋_GB2312" w:eastAsia="仿宋_GB2312" w:cs="仿宋_GB2312"/>
          <w:b/>
          <w:sz w:val="24"/>
          <w:szCs w:val="24"/>
        </w:rPr>
        <w:t>、业务咨询及投诉</w:t>
      </w:r>
    </w:p>
    <w:p w14:paraId="76B9967C">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1.甲方对本产品有任何意见或异议，或其它疑义事项，可向销售机构或产品管理人进行反馈。</w:t>
      </w:r>
      <w:r>
        <w:rPr>
          <w:rFonts w:hint="eastAsia" w:ascii="仿宋_GB2312" w:hAnsi="仿宋_GB2312" w:eastAsia="仿宋_GB2312" w:cs="仿宋_GB2312"/>
          <w:bCs/>
          <w:sz w:val="24"/>
          <w:szCs w:val="24"/>
        </w:rPr>
        <w:t>销售机构或产品管理人将由专人接听，记录您的意见建议，并由双方协商共同解决。</w:t>
      </w:r>
    </w:p>
    <w:p w14:paraId="18BC6941">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2.联络方式：</w:t>
      </w:r>
    </w:p>
    <w:p w14:paraId="285C5B3D">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销售机构：</w:t>
      </w:r>
      <w:r>
        <w:rPr>
          <w:rFonts w:hint="eastAsia" w:ascii="仿宋_GB2312" w:hAnsi="仿宋_GB2312" w:eastAsia="仿宋_GB2312" w:cs="仿宋_GB2312"/>
          <w:b/>
          <w:sz w:val="24"/>
          <w:szCs w:val="24"/>
          <w:lang w:val="en-US" w:eastAsia="zh-CN"/>
        </w:rPr>
        <w:t>如</w:t>
      </w:r>
      <w:r>
        <w:rPr>
          <w:rFonts w:hint="eastAsia" w:ascii="仿宋_GB2312" w:hAnsi="仿宋_GB2312" w:eastAsia="仿宋_GB2312" w:cs="仿宋_GB2312"/>
          <w:b/>
          <w:sz w:val="24"/>
          <w:szCs w:val="24"/>
        </w:rPr>
        <w:t>通过浙商银行（作为销售机构）购买本理财产品的，请联系浙商银行客户服务热线：95527，浙商银行官方网站：www.czbank.com。在其他销售机构购买理财产品的，请联系其他销售机构，具体</w:t>
      </w:r>
      <w:r>
        <w:rPr>
          <w:rFonts w:hint="eastAsia" w:ascii="仿宋_GB2312" w:hAnsi="仿宋_GB2312" w:eastAsia="仿宋_GB2312" w:cs="仿宋_GB2312"/>
          <w:b/>
          <w:sz w:val="24"/>
          <w:szCs w:val="24"/>
          <w:lang w:val="en-US" w:eastAsia="zh-CN"/>
        </w:rPr>
        <w:t>联系方式</w:t>
      </w:r>
      <w:r>
        <w:rPr>
          <w:rFonts w:hint="eastAsia" w:ascii="仿宋_GB2312" w:hAnsi="仿宋_GB2312" w:eastAsia="仿宋_GB2312" w:cs="仿宋_GB2312"/>
          <w:b/>
          <w:sz w:val="24"/>
          <w:szCs w:val="24"/>
        </w:rPr>
        <w:t>以《产品说明书》等销售文件的披露为准。</w:t>
      </w:r>
    </w:p>
    <w:p w14:paraId="32FC6793">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产品管理人：浙银理财客户服务热线：0571-57192881；浙银理财官方网站：www.czbank-wm.com。</w:t>
      </w:r>
    </w:p>
    <w:p w14:paraId="2687C988">
      <w:pPr>
        <w:rPr>
          <w:rFonts w:hint="eastAsia" w:ascii="仿宋_GB2312" w:hAnsi="仿宋_GB2312" w:eastAsia="仿宋_GB2312" w:cs="仿宋_GB2312"/>
          <w:sz w:val="24"/>
          <w:szCs w:val="24"/>
        </w:rPr>
      </w:pPr>
    </w:p>
    <w:p w14:paraId="2330A0B2">
      <w:pPr>
        <w:rPr>
          <w:rFonts w:hint="eastAsia" w:ascii="仿宋_GB2312" w:hAnsi="仿宋_GB2312" w:eastAsia="仿宋_GB2312" w:cs="仿宋_GB2312"/>
          <w:sz w:val="24"/>
          <w:szCs w:val="24"/>
        </w:rPr>
      </w:pPr>
    </w:p>
    <w:p w14:paraId="0B36FA98">
      <w:pPr>
        <w:rPr>
          <w:rFonts w:hint="eastAsia" w:ascii="仿宋_GB2312" w:hAnsi="仿宋_GB2312" w:eastAsia="仿宋_GB2312" w:cs="仿宋_GB2312"/>
          <w:sz w:val="24"/>
          <w:szCs w:val="24"/>
        </w:rPr>
      </w:pPr>
    </w:p>
    <w:p w14:paraId="40D70289">
      <w:pPr>
        <w:rPr>
          <w:rFonts w:hint="eastAsia" w:ascii="仿宋_GB2312" w:hAnsi="仿宋_GB2312" w:eastAsia="仿宋_GB2312" w:cs="仿宋_GB2312"/>
          <w:sz w:val="24"/>
          <w:szCs w:val="24"/>
        </w:rPr>
      </w:pPr>
    </w:p>
    <w:p w14:paraId="6C224049">
      <w:pPr>
        <w:rPr>
          <w:rFonts w:hint="eastAsia" w:ascii="仿宋_GB2312" w:hAnsi="仿宋_GB2312" w:eastAsia="仿宋_GB2312" w:cs="仿宋_GB2312"/>
          <w:sz w:val="24"/>
          <w:szCs w:val="24"/>
        </w:rPr>
      </w:pPr>
    </w:p>
    <w:p w14:paraId="3B40A847">
      <w:pPr>
        <w:rPr>
          <w:rFonts w:hint="eastAsia" w:ascii="仿宋_GB2312" w:hAnsi="仿宋_GB2312" w:eastAsia="仿宋_GB2312" w:cs="仿宋_GB2312"/>
          <w:sz w:val="24"/>
          <w:szCs w:val="24"/>
        </w:rPr>
      </w:pPr>
    </w:p>
    <w:p w14:paraId="21FC83AB">
      <w:pPr>
        <w:rPr>
          <w:rFonts w:hint="eastAsia" w:ascii="仿宋_GB2312" w:hAnsi="仿宋_GB2312" w:eastAsia="仿宋_GB2312" w:cs="仿宋_GB2312"/>
          <w:sz w:val="24"/>
          <w:szCs w:val="24"/>
        </w:rPr>
      </w:pPr>
    </w:p>
    <w:p w14:paraId="17A9516A">
      <w:pPr>
        <w:rPr>
          <w:rFonts w:hint="eastAsia" w:ascii="仿宋_GB2312" w:hAnsi="仿宋_GB2312" w:eastAsia="仿宋_GB2312" w:cs="仿宋_GB2312"/>
          <w:sz w:val="24"/>
          <w:szCs w:val="24"/>
        </w:rPr>
      </w:pPr>
    </w:p>
    <w:p w14:paraId="73BBF722">
      <w:pPr>
        <w:rPr>
          <w:rFonts w:hint="eastAsia" w:ascii="仿宋_GB2312" w:hAnsi="仿宋_GB2312" w:eastAsia="仿宋_GB2312" w:cs="仿宋_GB2312"/>
          <w:sz w:val="24"/>
          <w:szCs w:val="24"/>
        </w:rPr>
      </w:pPr>
    </w:p>
    <w:p w14:paraId="16C810A9">
      <w:pPr>
        <w:rPr>
          <w:rFonts w:hint="eastAsia" w:ascii="仿宋_GB2312" w:hAnsi="仿宋_GB2312" w:eastAsia="仿宋_GB2312" w:cs="仿宋_GB2312"/>
          <w:sz w:val="24"/>
          <w:szCs w:val="24"/>
        </w:rPr>
      </w:pPr>
    </w:p>
    <w:p w14:paraId="6B6A0E60">
      <w:pPr>
        <w:rPr>
          <w:rFonts w:hint="eastAsia" w:ascii="仿宋_GB2312" w:hAnsi="仿宋_GB2312" w:eastAsia="仿宋_GB2312" w:cs="仿宋_GB2312"/>
          <w:sz w:val="24"/>
          <w:szCs w:val="24"/>
        </w:rPr>
      </w:pPr>
    </w:p>
    <w:p w14:paraId="0D8E074B">
      <w:pPr>
        <w:rPr>
          <w:rFonts w:hint="eastAsia" w:ascii="仿宋_GB2312" w:hAnsi="仿宋_GB2312" w:eastAsia="仿宋_GB2312" w:cs="仿宋_GB2312"/>
          <w:sz w:val="24"/>
          <w:szCs w:val="24"/>
        </w:rPr>
      </w:pPr>
    </w:p>
    <w:p w14:paraId="6636F2C9">
      <w:pPr>
        <w:rPr>
          <w:rFonts w:hint="eastAsia" w:ascii="仿宋_GB2312" w:hAnsi="仿宋_GB2312" w:eastAsia="仿宋_GB2312" w:cs="仿宋_GB2312"/>
          <w:sz w:val="24"/>
          <w:szCs w:val="24"/>
        </w:rPr>
      </w:pPr>
    </w:p>
    <w:p w14:paraId="01E8E430">
      <w:pPr>
        <w:rPr>
          <w:rFonts w:hint="eastAsia" w:ascii="仿宋_GB2312" w:hAnsi="仿宋_GB2312" w:eastAsia="仿宋_GB2312" w:cs="仿宋_GB2312"/>
          <w:sz w:val="24"/>
          <w:szCs w:val="24"/>
        </w:rPr>
      </w:pPr>
    </w:p>
    <w:p w14:paraId="27AF54B6">
      <w:pPr>
        <w:rPr>
          <w:rFonts w:hint="eastAsia" w:ascii="仿宋_GB2312" w:hAnsi="仿宋_GB2312" w:eastAsia="仿宋_GB2312" w:cs="仿宋_GB2312"/>
          <w:sz w:val="24"/>
          <w:szCs w:val="24"/>
        </w:rPr>
      </w:pPr>
    </w:p>
    <w:p w14:paraId="208C1F69">
      <w:pPr>
        <w:rPr>
          <w:rFonts w:hint="eastAsia" w:ascii="仿宋_GB2312" w:hAnsi="仿宋_GB2312" w:eastAsia="仿宋_GB2312" w:cs="仿宋_GB2312"/>
          <w:sz w:val="24"/>
          <w:szCs w:val="24"/>
        </w:rPr>
      </w:pPr>
    </w:p>
    <w:p w14:paraId="31D6E9E6">
      <w:pPr>
        <w:rPr>
          <w:rFonts w:hint="eastAsia" w:ascii="仿宋_GB2312" w:hAnsi="仿宋_GB2312" w:eastAsia="仿宋_GB2312" w:cs="仿宋_GB2312"/>
          <w:sz w:val="24"/>
          <w:szCs w:val="24"/>
        </w:rPr>
      </w:pPr>
    </w:p>
    <w:p w14:paraId="068092FF">
      <w:pPr>
        <w:rPr>
          <w:rFonts w:hint="eastAsia" w:ascii="仿宋_GB2312" w:hAnsi="仿宋_GB2312" w:eastAsia="仿宋_GB2312" w:cs="仿宋_GB2312"/>
          <w:sz w:val="24"/>
          <w:szCs w:val="24"/>
        </w:rPr>
      </w:pPr>
    </w:p>
    <w:p w14:paraId="2B21F914">
      <w:pPr>
        <w:rPr>
          <w:rFonts w:hint="eastAsia" w:ascii="仿宋_GB2312" w:hAnsi="仿宋_GB2312" w:eastAsia="仿宋_GB2312" w:cs="仿宋_GB2312"/>
          <w:sz w:val="24"/>
          <w:szCs w:val="24"/>
        </w:rPr>
      </w:pPr>
    </w:p>
    <w:p w14:paraId="4EF69CB6">
      <w:pPr>
        <w:rPr>
          <w:rFonts w:hint="eastAsia" w:ascii="仿宋_GB2312" w:hAnsi="仿宋_GB2312" w:eastAsia="仿宋_GB2312" w:cs="仿宋_GB2312"/>
          <w:sz w:val="24"/>
          <w:szCs w:val="24"/>
        </w:rPr>
      </w:pPr>
    </w:p>
    <w:p w14:paraId="005B188E">
      <w:pPr>
        <w:rPr>
          <w:rFonts w:hint="eastAsia" w:ascii="仿宋_GB2312" w:hAnsi="仿宋_GB2312" w:eastAsia="仿宋_GB2312" w:cs="仿宋_GB2312"/>
          <w:sz w:val="24"/>
          <w:szCs w:val="24"/>
        </w:rPr>
      </w:pPr>
    </w:p>
    <w:p w14:paraId="7F27AE5C">
      <w:pPr>
        <w:rPr>
          <w:rFonts w:hint="eastAsia" w:ascii="仿宋_GB2312" w:hAnsi="仿宋_GB2312" w:eastAsia="仿宋_GB2312" w:cs="仿宋_GB2312"/>
          <w:sz w:val="24"/>
          <w:szCs w:val="24"/>
        </w:rPr>
      </w:pPr>
    </w:p>
    <w:p w14:paraId="4D512434">
      <w:pPr>
        <w:rPr>
          <w:rFonts w:hint="eastAsia" w:ascii="仿宋_GB2312" w:hAnsi="仿宋_GB2312" w:eastAsia="仿宋_GB2312" w:cs="仿宋_GB2312"/>
          <w:sz w:val="24"/>
          <w:szCs w:val="24"/>
        </w:rPr>
      </w:pPr>
    </w:p>
    <w:p w14:paraId="3779B591">
      <w:pPr>
        <w:rPr>
          <w:rFonts w:hint="eastAsia" w:ascii="仿宋_GB2312" w:hAnsi="仿宋_GB2312" w:eastAsia="仿宋_GB2312" w:cs="仿宋_GB2312"/>
          <w:sz w:val="24"/>
          <w:szCs w:val="24"/>
        </w:rPr>
      </w:pPr>
    </w:p>
    <w:p w14:paraId="3DB9732F">
      <w:pPr>
        <w:rPr>
          <w:rFonts w:hint="eastAsia" w:ascii="仿宋_GB2312" w:hAnsi="仿宋_GB2312" w:eastAsia="仿宋_GB2312" w:cs="仿宋_GB2312"/>
          <w:sz w:val="24"/>
          <w:szCs w:val="24"/>
        </w:rPr>
      </w:pPr>
    </w:p>
    <w:p w14:paraId="0E9A4B4E">
      <w:pPr>
        <w:rPr>
          <w:rFonts w:hint="eastAsia" w:ascii="仿宋_GB2312" w:hAnsi="仿宋_GB2312" w:eastAsia="仿宋_GB2312" w:cs="仿宋_GB2312"/>
          <w:sz w:val="24"/>
          <w:szCs w:val="24"/>
        </w:rPr>
      </w:pPr>
    </w:p>
    <w:p w14:paraId="25EF8E06">
      <w:pPr>
        <w:rPr>
          <w:rFonts w:hint="eastAsia" w:ascii="仿宋_GB2312" w:hAnsi="仿宋_GB2312" w:eastAsia="仿宋_GB2312" w:cs="仿宋_GB2312"/>
          <w:sz w:val="24"/>
          <w:szCs w:val="24"/>
        </w:rPr>
      </w:pPr>
    </w:p>
    <w:p w14:paraId="07453767">
      <w:pPr>
        <w:rPr>
          <w:rFonts w:hint="eastAsia" w:ascii="仿宋_GB2312" w:hAnsi="仿宋_GB2312" w:eastAsia="仿宋_GB2312" w:cs="仿宋_GB2312"/>
          <w:sz w:val="24"/>
          <w:szCs w:val="24"/>
        </w:rPr>
      </w:pPr>
    </w:p>
    <w:p w14:paraId="3D14A572">
      <w:pPr>
        <w:rPr>
          <w:rFonts w:hint="eastAsia" w:ascii="仿宋_GB2312" w:hAnsi="仿宋_GB2312" w:eastAsia="仿宋_GB2312" w:cs="仿宋_GB2312"/>
          <w:sz w:val="24"/>
          <w:szCs w:val="24"/>
        </w:rPr>
      </w:pPr>
    </w:p>
    <w:p w14:paraId="0423AA10">
      <w:pPr>
        <w:rPr>
          <w:rFonts w:hint="eastAsia" w:ascii="仿宋_GB2312" w:hAnsi="仿宋_GB2312" w:eastAsia="仿宋_GB2312" w:cs="仿宋_GB2312"/>
          <w:sz w:val="24"/>
          <w:szCs w:val="24"/>
        </w:rPr>
      </w:pPr>
    </w:p>
    <w:p w14:paraId="08C1AD39">
      <w:pPr>
        <w:rPr>
          <w:rFonts w:hint="eastAsia" w:ascii="仿宋_GB2312" w:hAnsi="仿宋_GB2312" w:eastAsia="仿宋_GB2312" w:cs="仿宋_GB2312"/>
          <w:sz w:val="24"/>
          <w:szCs w:val="24"/>
        </w:rPr>
      </w:pPr>
    </w:p>
    <w:p w14:paraId="33E9E8D3">
      <w:pPr>
        <w:rPr>
          <w:rFonts w:hint="eastAsia" w:ascii="仿宋_GB2312" w:hAnsi="仿宋_GB2312" w:eastAsia="仿宋_GB2312" w:cs="仿宋_GB2312"/>
          <w:sz w:val="24"/>
          <w:szCs w:val="24"/>
        </w:rPr>
      </w:pPr>
    </w:p>
    <w:p w14:paraId="42C47C9F">
      <w:pPr>
        <w:rPr>
          <w:rFonts w:hint="eastAsia" w:ascii="仿宋_GB2312" w:hAnsi="仿宋_GB2312" w:eastAsia="仿宋_GB2312" w:cs="仿宋_GB2312"/>
          <w:sz w:val="24"/>
          <w:szCs w:val="24"/>
        </w:rPr>
      </w:pPr>
    </w:p>
    <w:p w14:paraId="77DB77DD">
      <w:pPr>
        <w:rPr>
          <w:rFonts w:hint="eastAsia" w:ascii="仿宋_GB2312" w:hAnsi="仿宋_GB2312" w:eastAsia="仿宋_GB2312" w:cs="仿宋_GB2312"/>
          <w:sz w:val="24"/>
          <w:szCs w:val="24"/>
        </w:rPr>
      </w:pPr>
    </w:p>
    <w:p w14:paraId="62C70341">
      <w:pPr>
        <w:rPr>
          <w:rFonts w:hint="eastAsia" w:ascii="仿宋_GB2312" w:hAnsi="仿宋_GB2312" w:eastAsia="仿宋_GB2312" w:cs="仿宋_GB2312"/>
          <w:sz w:val="24"/>
          <w:szCs w:val="24"/>
        </w:rPr>
      </w:pPr>
    </w:p>
    <w:p w14:paraId="53BE830C">
      <w:pPr>
        <w:rPr>
          <w:rFonts w:hint="eastAsia" w:ascii="仿宋_GB2312" w:hAnsi="仿宋_GB2312" w:eastAsia="仿宋_GB2312" w:cs="仿宋_GB2312"/>
          <w:sz w:val="24"/>
          <w:szCs w:val="24"/>
        </w:rPr>
      </w:pPr>
    </w:p>
    <w:p w14:paraId="622919F0">
      <w:pPr>
        <w:rPr>
          <w:rFonts w:hint="eastAsia" w:ascii="仿宋_GB2312" w:hAnsi="仿宋_GB2312" w:eastAsia="仿宋_GB2312" w:cs="仿宋_GB2312"/>
          <w:sz w:val="24"/>
          <w:szCs w:val="24"/>
        </w:rPr>
      </w:pPr>
    </w:p>
    <w:p w14:paraId="72F138FC">
      <w:pPr>
        <w:rPr>
          <w:rFonts w:hint="eastAsia" w:ascii="仿宋_GB2312" w:hAnsi="仿宋_GB2312" w:eastAsia="仿宋_GB2312" w:cs="仿宋_GB2312"/>
          <w:sz w:val="24"/>
          <w:szCs w:val="24"/>
        </w:rPr>
      </w:pPr>
    </w:p>
    <w:p w14:paraId="21F89F7E">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（本页为签署页，无正文） </w:t>
      </w:r>
    </w:p>
    <w:p w14:paraId="43EA376E">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投资者（个人客户签名） ：</w:t>
      </w:r>
    </w:p>
    <w:p w14:paraId="3DF43237">
      <w:pPr>
        <w:spacing w:line="360" w:lineRule="auto"/>
        <w:ind w:firstLine="480" w:firstLineChars="200"/>
        <w:rPr>
          <w:rFonts w:hint="eastAsia" w:ascii="仿宋_GB2312" w:hAnsi="仿宋_GB2312" w:eastAsia="仿宋_GB2312" w:cs="仿宋_GB2312"/>
          <w:sz w:val="24"/>
          <w:szCs w:val="24"/>
          <w:lang w:val="en-US" w:eastAsia="zh-CN"/>
        </w:rPr>
      </w:pPr>
    </w:p>
    <w:p w14:paraId="6B349DD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投资者（机构客户盖公章） ：</w:t>
      </w:r>
    </w:p>
    <w:p w14:paraId="19337ED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法定代表人或授权代理人（签名或盖个人名章）： </w:t>
      </w:r>
    </w:p>
    <w:p w14:paraId="156882D8">
      <w:pPr>
        <w:spacing w:line="360" w:lineRule="auto"/>
        <w:ind w:firstLine="480" w:firstLineChars="200"/>
        <w:rPr>
          <w:rFonts w:hint="eastAsia" w:ascii="仿宋_GB2312" w:hAnsi="仿宋_GB2312" w:eastAsia="仿宋_GB2312" w:cs="仿宋_GB2312"/>
          <w:sz w:val="24"/>
          <w:szCs w:val="24"/>
          <w:lang w:val="en-US" w:eastAsia="zh-CN"/>
        </w:rPr>
      </w:pPr>
    </w:p>
    <w:p w14:paraId="001DE9E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签约日期:_______年______月______日</w:t>
      </w:r>
    </w:p>
    <w:p w14:paraId="37E3F936">
      <w:pPr>
        <w:rPr>
          <w:rFonts w:hint="eastAsia" w:ascii="仿宋_GB2312" w:hAnsi="仿宋_GB2312" w:eastAsia="仿宋_GB2312" w:cs="仿宋_GB2312"/>
          <w:sz w:val="24"/>
          <w:szCs w:val="24"/>
        </w:rPr>
      </w:pPr>
    </w:p>
    <w:sectPr>
      <w:headerReference r:id="rId3" w:type="default"/>
      <w:footerReference r:id="rId4"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noto sans thai"/>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23B7">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724D6">
    <w:pPr>
      <w:pStyle w:val="5"/>
      <w:jc w:val="left"/>
      <w:rPr>
        <w:b/>
        <w:sz w:val="24"/>
      </w:rPr>
    </w:pPr>
    <w:r>
      <w:rPr>
        <w:rFonts w:hint="eastAsia"/>
        <w:b/>
        <w:sz w:val="24"/>
      </w:rPr>
      <w:t>理财非存款</w:t>
    </w:r>
    <w:r>
      <w:rPr>
        <w:b/>
        <w:sz w:val="24"/>
      </w:rPr>
      <w:t xml:space="preserve"> </w:t>
    </w:r>
    <w:r>
      <w:rPr>
        <w:rFonts w:hint="eastAsia"/>
        <w:b/>
        <w:sz w:val="24"/>
      </w:rPr>
      <w:t>产品有风险</w:t>
    </w:r>
    <w:r>
      <w:rPr>
        <w:b/>
        <w:sz w:val="24"/>
      </w:rPr>
      <w:t xml:space="preserve"> </w:t>
    </w:r>
    <w:r>
      <w:rPr>
        <w:rFonts w:hint="eastAsia"/>
        <w:b/>
        <w:sz w:val="24"/>
      </w:rPr>
      <w:t>投资须谨慎</w:t>
    </w:r>
    <w:r>
      <w:rPr>
        <w:b/>
        <w:sz w:val="24"/>
      </w:rPr>
      <w:t xml:space="preserve">  </w:t>
    </w:r>
    <w:r>
      <w:rPr>
        <w:rFonts w:hint="eastAsia"/>
        <w:b/>
        <w:sz w:val="21"/>
      </w:rPr>
      <w:t xml:space="preserve">                    </w:t>
    </w:r>
    <w:r>
      <w:rPr>
        <w:b/>
        <w:sz w:val="21"/>
      </w:rPr>
      <w:t xml:space="preserve">         </w:t>
    </w:r>
    <w:r>
      <w:rPr>
        <w:rFonts w:hint="eastAsia"/>
        <w:b/>
        <w:sz w:val="21"/>
      </w:rPr>
      <w:t xml:space="preserve"> </w:t>
    </w:r>
    <w:r>
      <w:rPr>
        <w:b/>
        <w:sz w:val="21"/>
      </w:rPr>
      <w:t xml:space="preserve">                     </w:t>
    </w:r>
    <w:r>
      <w:rPr>
        <w:rFonts w:hint="eastAsia"/>
        <w:b/>
        <w:sz w:val="24"/>
      </w:rPr>
      <w:t>浙</w:t>
    </w:r>
    <w:r>
      <w:rPr>
        <w:b/>
        <w:sz w:val="24"/>
      </w:rPr>
      <w:t>银理财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forms"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53F"/>
    <w:rsid w:val="00001A8A"/>
    <w:rsid w:val="00002202"/>
    <w:rsid w:val="00003465"/>
    <w:rsid w:val="000034B1"/>
    <w:rsid w:val="00003627"/>
    <w:rsid w:val="000045D6"/>
    <w:rsid w:val="000051BB"/>
    <w:rsid w:val="00007FF7"/>
    <w:rsid w:val="000118E2"/>
    <w:rsid w:val="00014973"/>
    <w:rsid w:val="00016F63"/>
    <w:rsid w:val="0001700B"/>
    <w:rsid w:val="00017F8F"/>
    <w:rsid w:val="00021933"/>
    <w:rsid w:val="00021C50"/>
    <w:rsid w:val="000223C4"/>
    <w:rsid w:val="000226E6"/>
    <w:rsid w:val="000233DA"/>
    <w:rsid w:val="00023F5E"/>
    <w:rsid w:val="00027B90"/>
    <w:rsid w:val="00027C68"/>
    <w:rsid w:val="00030944"/>
    <w:rsid w:val="00030BC9"/>
    <w:rsid w:val="000319BE"/>
    <w:rsid w:val="00035C1C"/>
    <w:rsid w:val="0003736A"/>
    <w:rsid w:val="00041252"/>
    <w:rsid w:val="000415AA"/>
    <w:rsid w:val="000431E5"/>
    <w:rsid w:val="00044093"/>
    <w:rsid w:val="000446BA"/>
    <w:rsid w:val="00044804"/>
    <w:rsid w:val="000472B3"/>
    <w:rsid w:val="000475D1"/>
    <w:rsid w:val="00047AC5"/>
    <w:rsid w:val="00047E39"/>
    <w:rsid w:val="00050DF7"/>
    <w:rsid w:val="00050ED6"/>
    <w:rsid w:val="00051CBD"/>
    <w:rsid w:val="00051DBD"/>
    <w:rsid w:val="00052D3C"/>
    <w:rsid w:val="0005535C"/>
    <w:rsid w:val="00056AE1"/>
    <w:rsid w:val="000577A3"/>
    <w:rsid w:val="00063F96"/>
    <w:rsid w:val="00064B7F"/>
    <w:rsid w:val="000652DC"/>
    <w:rsid w:val="00065679"/>
    <w:rsid w:val="00065A4A"/>
    <w:rsid w:val="00067F68"/>
    <w:rsid w:val="000723FC"/>
    <w:rsid w:val="00073ED7"/>
    <w:rsid w:val="00074DFA"/>
    <w:rsid w:val="00080392"/>
    <w:rsid w:val="00083F31"/>
    <w:rsid w:val="00085066"/>
    <w:rsid w:val="00085E2A"/>
    <w:rsid w:val="000867B9"/>
    <w:rsid w:val="00086827"/>
    <w:rsid w:val="00086894"/>
    <w:rsid w:val="00086A79"/>
    <w:rsid w:val="000909B2"/>
    <w:rsid w:val="00091670"/>
    <w:rsid w:val="00092682"/>
    <w:rsid w:val="00092B17"/>
    <w:rsid w:val="00093075"/>
    <w:rsid w:val="000947EB"/>
    <w:rsid w:val="00095515"/>
    <w:rsid w:val="000961AC"/>
    <w:rsid w:val="0009621A"/>
    <w:rsid w:val="0009704C"/>
    <w:rsid w:val="00097EC1"/>
    <w:rsid w:val="000A0285"/>
    <w:rsid w:val="000A143B"/>
    <w:rsid w:val="000A4117"/>
    <w:rsid w:val="000A7976"/>
    <w:rsid w:val="000B182A"/>
    <w:rsid w:val="000B1A0B"/>
    <w:rsid w:val="000B5885"/>
    <w:rsid w:val="000B7E6D"/>
    <w:rsid w:val="000C0AE7"/>
    <w:rsid w:val="000C0BB5"/>
    <w:rsid w:val="000C0C3F"/>
    <w:rsid w:val="000C13AA"/>
    <w:rsid w:val="000C2BB8"/>
    <w:rsid w:val="000C3ADB"/>
    <w:rsid w:val="000C3D57"/>
    <w:rsid w:val="000C544D"/>
    <w:rsid w:val="000C7B8C"/>
    <w:rsid w:val="000D1700"/>
    <w:rsid w:val="000D25F1"/>
    <w:rsid w:val="000D266F"/>
    <w:rsid w:val="000D4325"/>
    <w:rsid w:val="000D459B"/>
    <w:rsid w:val="000D4A35"/>
    <w:rsid w:val="000D5CF1"/>
    <w:rsid w:val="000D6A79"/>
    <w:rsid w:val="000D7DA1"/>
    <w:rsid w:val="000E0413"/>
    <w:rsid w:val="000E0EDC"/>
    <w:rsid w:val="000E523B"/>
    <w:rsid w:val="000E5C59"/>
    <w:rsid w:val="000F0833"/>
    <w:rsid w:val="000F16CF"/>
    <w:rsid w:val="000F2F64"/>
    <w:rsid w:val="000F5A13"/>
    <w:rsid w:val="000F787D"/>
    <w:rsid w:val="00105009"/>
    <w:rsid w:val="00105425"/>
    <w:rsid w:val="00105AD4"/>
    <w:rsid w:val="001065F8"/>
    <w:rsid w:val="00106768"/>
    <w:rsid w:val="00106861"/>
    <w:rsid w:val="00106AC9"/>
    <w:rsid w:val="0011053C"/>
    <w:rsid w:val="00110B3B"/>
    <w:rsid w:val="00110BD1"/>
    <w:rsid w:val="0011228C"/>
    <w:rsid w:val="00112554"/>
    <w:rsid w:val="0011279A"/>
    <w:rsid w:val="00113B87"/>
    <w:rsid w:val="00113C86"/>
    <w:rsid w:val="00114882"/>
    <w:rsid w:val="00115EA8"/>
    <w:rsid w:val="0011646A"/>
    <w:rsid w:val="001167B8"/>
    <w:rsid w:val="00117975"/>
    <w:rsid w:val="001179A1"/>
    <w:rsid w:val="00117EE1"/>
    <w:rsid w:val="0012040A"/>
    <w:rsid w:val="001209C2"/>
    <w:rsid w:val="00125C6F"/>
    <w:rsid w:val="00126288"/>
    <w:rsid w:val="0012661B"/>
    <w:rsid w:val="00126854"/>
    <w:rsid w:val="00127AD3"/>
    <w:rsid w:val="00131B9D"/>
    <w:rsid w:val="00135510"/>
    <w:rsid w:val="00135B6B"/>
    <w:rsid w:val="001404FD"/>
    <w:rsid w:val="00140EDA"/>
    <w:rsid w:val="00144237"/>
    <w:rsid w:val="00144558"/>
    <w:rsid w:val="00145D4F"/>
    <w:rsid w:val="0014607E"/>
    <w:rsid w:val="00146776"/>
    <w:rsid w:val="00152B04"/>
    <w:rsid w:val="00152E4B"/>
    <w:rsid w:val="00152FBB"/>
    <w:rsid w:val="00152FC0"/>
    <w:rsid w:val="00153FF6"/>
    <w:rsid w:val="0015408D"/>
    <w:rsid w:val="001548EB"/>
    <w:rsid w:val="00156C01"/>
    <w:rsid w:val="00160475"/>
    <w:rsid w:val="00163B07"/>
    <w:rsid w:val="00163D84"/>
    <w:rsid w:val="0016633B"/>
    <w:rsid w:val="001678B7"/>
    <w:rsid w:val="00167FB3"/>
    <w:rsid w:val="00172077"/>
    <w:rsid w:val="00172A27"/>
    <w:rsid w:val="001733EC"/>
    <w:rsid w:val="00173856"/>
    <w:rsid w:val="00173AA0"/>
    <w:rsid w:val="00173B39"/>
    <w:rsid w:val="001769BE"/>
    <w:rsid w:val="00176C54"/>
    <w:rsid w:val="00177102"/>
    <w:rsid w:val="00177C7F"/>
    <w:rsid w:val="001802C5"/>
    <w:rsid w:val="00180BC2"/>
    <w:rsid w:val="00180C14"/>
    <w:rsid w:val="00186EC5"/>
    <w:rsid w:val="00187904"/>
    <w:rsid w:val="00190EEA"/>
    <w:rsid w:val="00191981"/>
    <w:rsid w:val="00193C79"/>
    <w:rsid w:val="0019495D"/>
    <w:rsid w:val="001955D9"/>
    <w:rsid w:val="00195BEB"/>
    <w:rsid w:val="0019607D"/>
    <w:rsid w:val="0019694F"/>
    <w:rsid w:val="00196AD3"/>
    <w:rsid w:val="001A11E7"/>
    <w:rsid w:val="001A1526"/>
    <w:rsid w:val="001A2E36"/>
    <w:rsid w:val="001A55EB"/>
    <w:rsid w:val="001A5B06"/>
    <w:rsid w:val="001A7C40"/>
    <w:rsid w:val="001B0646"/>
    <w:rsid w:val="001B102F"/>
    <w:rsid w:val="001B3142"/>
    <w:rsid w:val="001B35BB"/>
    <w:rsid w:val="001B6520"/>
    <w:rsid w:val="001B67B5"/>
    <w:rsid w:val="001B6B5B"/>
    <w:rsid w:val="001C10F3"/>
    <w:rsid w:val="001C1230"/>
    <w:rsid w:val="001C1F3F"/>
    <w:rsid w:val="001C32A4"/>
    <w:rsid w:val="001C37FC"/>
    <w:rsid w:val="001C3EB4"/>
    <w:rsid w:val="001C4EA9"/>
    <w:rsid w:val="001C4EC2"/>
    <w:rsid w:val="001C5170"/>
    <w:rsid w:val="001C66F0"/>
    <w:rsid w:val="001C6DB0"/>
    <w:rsid w:val="001C7B85"/>
    <w:rsid w:val="001D4793"/>
    <w:rsid w:val="001D5EDD"/>
    <w:rsid w:val="001D7336"/>
    <w:rsid w:val="001E0F2D"/>
    <w:rsid w:val="001E173C"/>
    <w:rsid w:val="001E783F"/>
    <w:rsid w:val="001E7C38"/>
    <w:rsid w:val="001F2E18"/>
    <w:rsid w:val="001F4416"/>
    <w:rsid w:val="001F5C58"/>
    <w:rsid w:val="001F6F68"/>
    <w:rsid w:val="00207ACA"/>
    <w:rsid w:val="00211308"/>
    <w:rsid w:val="00211FB9"/>
    <w:rsid w:val="002176CB"/>
    <w:rsid w:val="0022078A"/>
    <w:rsid w:val="00224AAA"/>
    <w:rsid w:val="00225F4A"/>
    <w:rsid w:val="00226024"/>
    <w:rsid w:val="002262BE"/>
    <w:rsid w:val="00230EBB"/>
    <w:rsid w:val="00232060"/>
    <w:rsid w:val="002324D1"/>
    <w:rsid w:val="00235ACB"/>
    <w:rsid w:val="00236D5F"/>
    <w:rsid w:val="002378B5"/>
    <w:rsid w:val="00242EE6"/>
    <w:rsid w:val="00246671"/>
    <w:rsid w:val="0024745F"/>
    <w:rsid w:val="00247D85"/>
    <w:rsid w:val="00254BEF"/>
    <w:rsid w:val="00255A6E"/>
    <w:rsid w:val="00255F94"/>
    <w:rsid w:val="00256B46"/>
    <w:rsid w:val="00260F20"/>
    <w:rsid w:val="00261A46"/>
    <w:rsid w:val="00261E14"/>
    <w:rsid w:val="00265C42"/>
    <w:rsid w:val="00266E35"/>
    <w:rsid w:val="00267F40"/>
    <w:rsid w:val="0027328C"/>
    <w:rsid w:val="00273D66"/>
    <w:rsid w:val="002742B4"/>
    <w:rsid w:val="00275DC0"/>
    <w:rsid w:val="0027712E"/>
    <w:rsid w:val="0027777F"/>
    <w:rsid w:val="00277CD1"/>
    <w:rsid w:val="0028162E"/>
    <w:rsid w:val="00281C40"/>
    <w:rsid w:val="00282700"/>
    <w:rsid w:val="00282793"/>
    <w:rsid w:val="00284651"/>
    <w:rsid w:val="002874B4"/>
    <w:rsid w:val="00287BA0"/>
    <w:rsid w:val="00287D51"/>
    <w:rsid w:val="00290258"/>
    <w:rsid w:val="002939BB"/>
    <w:rsid w:val="00296DBA"/>
    <w:rsid w:val="0029735A"/>
    <w:rsid w:val="00297954"/>
    <w:rsid w:val="002A0AD1"/>
    <w:rsid w:val="002A1101"/>
    <w:rsid w:val="002A25AA"/>
    <w:rsid w:val="002A354C"/>
    <w:rsid w:val="002A4B32"/>
    <w:rsid w:val="002A6447"/>
    <w:rsid w:val="002A74E0"/>
    <w:rsid w:val="002A7E1D"/>
    <w:rsid w:val="002B00B0"/>
    <w:rsid w:val="002B0F92"/>
    <w:rsid w:val="002B1335"/>
    <w:rsid w:val="002B3503"/>
    <w:rsid w:val="002B5D89"/>
    <w:rsid w:val="002B7AEA"/>
    <w:rsid w:val="002B7DD0"/>
    <w:rsid w:val="002C04B5"/>
    <w:rsid w:val="002C079A"/>
    <w:rsid w:val="002C0AB6"/>
    <w:rsid w:val="002C13DB"/>
    <w:rsid w:val="002C13F4"/>
    <w:rsid w:val="002C1E65"/>
    <w:rsid w:val="002C2FD0"/>
    <w:rsid w:val="002C335C"/>
    <w:rsid w:val="002C3421"/>
    <w:rsid w:val="002C3840"/>
    <w:rsid w:val="002C385A"/>
    <w:rsid w:val="002C4E4B"/>
    <w:rsid w:val="002C69BA"/>
    <w:rsid w:val="002C6D94"/>
    <w:rsid w:val="002C73A8"/>
    <w:rsid w:val="002D2062"/>
    <w:rsid w:val="002D270E"/>
    <w:rsid w:val="002D532C"/>
    <w:rsid w:val="002D5E92"/>
    <w:rsid w:val="002D5F98"/>
    <w:rsid w:val="002D673F"/>
    <w:rsid w:val="002D6CC4"/>
    <w:rsid w:val="002D6F9B"/>
    <w:rsid w:val="002D70BA"/>
    <w:rsid w:val="002D7FE1"/>
    <w:rsid w:val="002E148E"/>
    <w:rsid w:val="002E17BB"/>
    <w:rsid w:val="002E32C9"/>
    <w:rsid w:val="002E339F"/>
    <w:rsid w:val="002E3478"/>
    <w:rsid w:val="002E43EE"/>
    <w:rsid w:val="002E5508"/>
    <w:rsid w:val="002E7D4F"/>
    <w:rsid w:val="002F1699"/>
    <w:rsid w:val="002F1EFE"/>
    <w:rsid w:val="002F4B15"/>
    <w:rsid w:val="002F5009"/>
    <w:rsid w:val="002F5429"/>
    <w:rsid w:val="002F6931"/>
    <w:rsid w:val="00300304"/>
    <w:rsid w:val="00300570"/>
    <w:rsid w:val="00301DD6"/>
    <w:rsid w:val="003027F2"/>
    <w:rsid w:val="00302A5A"/>
    <w:rsid w:val="00304869"/>
    <w:rsid w:val="00304BB4"/>
    <w:rsid w:val="00305FDF"/>
    <w:rsid w:val="00307784"/>
    <w:rsid w:val="0031082D"/>
    <w:rsid w:val="00310C5A"/>
    <w:rsid w:val="00310DEF"/>
    <w:rsid w:val="00312406"/>
    <w:rsid w:val="00313AEA"/>
    <w:rsid w:val="003148C6"/>
    <w:rsid w:val="00314CE7"/>
    <w:rsid w:val="00315DCB"/>
    <w:rsid w:val="00316364"/>
    <w:rsid w:val="0031681E"/>
    <w:rsid w:val="003177BE"/>
    <w:rsid w:val="00321F58"/>
    <w:rsid w:val="003235BC"/>
    <w:rsid w:val="003254A1"/>
    <w:rsid w:val="003258AF"/>
    <w:rsid w:val="003259C2"/>
    <w:rsid w:val="00326872"/>
    <w:rsid w:val="00327D48"/>
    <w:rsid w:val="00330F34"/>
    <w:rsid w:val="00331073"/>
    <w:rsid w:val="00331843"/>
    <w:rsid w:val="003322BB"/>
    <w:rsid w:val="00332356"/>
    <w:rsid w:val="00332446"/>
    <w:rsid w:val="0033279B"/>
    <w:rsid w:val="003332F9"/>
    <w:rsid w:val="0033378B"/>
    <w:rsid w:val="00335775"/>
    <w:rsid w:val="00335BD4"/>
    <w:rsid w:val="00340534"/>
    <w:rsid w:val="003406AD"/>
    <w:rsid w:val="003429E1"/>
    <w:rsid w:val="00344DB9"/>
    <w:rsid w:val="00353511"/>
    <w:rsid w:val="003543B2"/>
    <w:rsid w:val="00354D22"/>
    <w:rsid w:val="00356E19"/>
    <w:rsid w:val="003609CF"/>
    <w:rsid w:val="003614BE"/>
    <w:rsid w:val="00361860"/>
    <w:rsid w:val="0036282C"/>
    <w:rsid w:val="003628A6"/>
    <w:rsid w:val="003630CD"/>
    <w:rsid w:val="00363EE4"/>
    <w:rsid w:val="00365B7C"/>
    <w:rsid w:val="00367309"/>
    <w:rsid w:val="003676CF"/>
    <w:rsid w:val="00373084"/>
    <w:rsid w:val="003760C1"/>
    <w:rsid w:val="00376D65"/>
    <w:rsid w:val="003775A7"/>
    <w:rsid w:val="00377CE4"/>
    <w:rsid w:val="0038002E"/>
    <w:rsid w:val="00380AA2"/>
    <w:rsid w:val="00380C66"/>
    <w:rsid w:val="00380D37"/>
    <w:rsid w:val="00380DAC"/>
    <w:rsid w:val="003814FD"/>
    <w:rsid w:val="00382958"/>
    <w:rsid w:val="00383E8C"/>
    <w:rsid w:val="00385999"/>
    <w:rsid w:val="00386AEF"/>
    <w:rsid w:val="00390125"/>
    <w:rsid w:val="00391CF3"/>
    <w:rsid w:val="003937A7"/>
    <w:rsid w:val="0039389A"/>
    <w:rsid w:val="0039417D"/>
    <w:rsid w:val="00394A9E"/>
    <w:rsid w:val="00396279"/>
    <w:rsid w:val="003970C8"/>
    <w:rsid w:val="003A0D55"/>
    <w:rsid w:val="003A2869"/>
    <w:rsid w:val="003A3F7B"/>
    <w:rsid w:val="003A4B5F"/>
    <w:rsid w:val="003A6785"/>
    <w:rsid w:val="003B1094"/>
    <w:rsid w:val="003B16C6"/>
    <w:rsid w:val="003B2941"/>
    <w:rsid w:val="003B5387"/>
    <w:rsid w:val="003C1C3C"/>
    <w:rsid w:val="003C4936"/>
    <w:rsid w:val="003C4C27"/>
    <w:rsid w:val="003C5605"/>
    <w:rsid w:val="003C7D88"/>
    <w:rsid w:val="003D0160"/>
    <w:rsid w:val="003D044A"/>
    <w:rsid w:val="003D2047"/>
    <w:rsid w:val="003D25AF"/>
    <w:rsid w:val="003D29AA"/>
    <w:rsid w:val="003D3ADD"/>
    <w:rsid w:val="003D553D"/>
    <w:rsid w:val="003D6BBB"/>
    <w:rsid w:val="003D7174"/>
    <w:rsid w:val="003E02B9"/>
    <w:rsid w:val="003E3DB6"/>
    <w:rsid w:val="003E47E9"/>
    <w:rsid w:val="003E5409"/>
    <w:rsid w:val="003E6DBA"/>
    <w:rsid w:val="003F25E5"/>
    <w:rsid w:val="003F3D8B"/>
    <w:rsid w:val="003F458B"/>
    <w:rsid w:val="003F4756"/>
    <w:rsid w:val="003F6BB6"/>
    <w:rsid w:val="00400D10"/>
    <w:rsid w:val="004013DB"/>
    <w:rsid w:val="00401E6A"/>
    <w:rsid w:val="004022A7"/>
    <w:rsid w:val="0040365B"/>
    <w:rsid w:val="00404D59"/>
    <w:rsid w:val="00410808"/>
    <w:rsid w:val="00410E79"/>
    <w:rsid w:val="0041112D"/>
    <w:rsid w:val="004113DE"/>
    <w:rsid w:val="00414597"/>
    <w:rsid w:val="00414615"/>
    <w:rsid w:val="0041510C"/>
    <w:rsid w:val="0041635B"/>
    <w:rsid w:val="0041719C"/>
    <w:rsid w:val="00420FE2"/>
    <w:rsid w:val="004213D5"/>
    <w:rsid w:val="004217A0"/>
    <w:rsid w:val="00421893"/>
    <w:rsid w:val="004222B5"/>
    <w:rsid w:val="00426039"/>
    <w:rsid w:val="00427BEE"/>
    <w:rsid w:val="00432363"/>
    <w:rsid w:val="00432B38"/>
    <w:rsid w:val="004331B5"/>
    <w:rsid w:val="00433BC9"/>
    <w:rsid w:val="00435B0E"/>
    <w:rsid w:val="00435F9E"/>
    <w:rsid w:val="0043627D"/>
    <w:rsid w:val="0043759C"/>
    <w:rsid w:val="00437ED4"/>
    <w:rsid w:val="004414F3"/>
    <w:rsid w:val="00441549"/>
    <w:rsid w:val="00441B08"/>
    <w:rsid w:val="0044399E"/>
    <w:rsid w:val="00445CC3"/>
    <w:rsid w:val="00445CF9"/>
    <w:rsid w:val="00447EF2"/>
    <w:rsid w:val="0045009E"/>
    <w:rsid w:val="00451441"/>
    <w:rsid w:val="00451D72"/>
    <w:rsid w:val="00452C24"/>
    <w:rsid w:val="00452F99"/>
    <w:rsid w:val="00455144"/>
    <w:rsid w:val="004551FA"/>
    <w:rsid w:val="0046064A"/>
    <w:rsid w:val="00464A5B"/>
    <w:rsid w:val="00465C76"/>
    <w:rsid w:val="0046608D"/>
    <w:rsid w:val="00467E0D"/>
    <w:rsid w:val="004700EF"/>
    <w:rsid w:val="00472709"/>
    <w:rsid w:val="00473B12"/>
    <w:rsid w:val="0047550A"/>
    <w:rsid w:val="00475653"/>
    <w:rsid w:val="00475CD3"/>
    <w:rsid w:val="00475FB6"/>
    <w:rsid w:val="004820E4"/>
    <w:rsid w:val="004826C9"/>
    <w:rsid w:val="00482ED2"/>
    <w:rsid w:val="00486836"/>
    <w:rsid w:val="00487146"/>
    <w:rsid w:val="0049072D"/>
    <w:rsid w:val="00491586"/>
    <w:rsid w:val="004919FF"/>
    <w:rsid w:val="00492688"/>
    <w:rsid w:val="004942C9"/>
    <w:rsid w:val="004944DF"/>
    <w:rsid w:val="004947A8"/>
    <w:rsid w:val="004949BB"/>
    <w:rsid w:val="00494C6D"/>
    <w:rsid w:val="00495C9F"/>
    <w:rsid w:val="00497186"/>
    <w:rsid w:val="004977F3"/>
    <w:rsid w:val="00497950"/>
    <w:rsid w:val="00497F07"/>
    <w:rsid w:val="004A0B03"/>
    <w:rsid w:val="004A1413"/>
    <w:rsid w:val="004A2916"/>
    <w:rsid w:val="004A2F58"/>
    <w:rsid w:val="004A50C2"/>
    <w:rsid w:val="004B1D0B"/>
    <w:rsid w:val="004B28EC"/>
    <w:rsid w:val="004B3070"/>
    <w:rsid w:val="004B39AE"/>
    <w:rsid w:val="004B3A52"/>
    <w:rsid w:val="004B6346"/>
    <w:rsid w:val="004B6D57"/>
    <w:rsid w:val="004C017F"/>
    <w:rsid w:val="004C057A"/>
    <w:rsid w:val="004C07BA"/>
    <w:rsid w:val="004C1007"/>
    <w:rsid w:val="004C18D9"/>
    <w:rsid w:val="004C1D88"/>
    <w:rsid w:val="004C1EEC"/>
    <w:rsid w:val="004C5E87"/>
    <w:rsid w:val="004C748A"/>
    <w:rsid w:val="004C7E66"/>
    <w:rsid w:val="004D0F3A"/>
    <w:rsid w:val="004D11A6"/>
    <w:rsid w:val="004D160F"/>
    <w:rsid w:val="004D168B"/>
    <w:rsid w:val="004D36DC"/>
    <w:rsid w:val="004D3813"/>
    <w:rsid w:val="004D3F28"/>
    <w:rsid w:val="004D5251"/>
    <w:rsid w:val="004D550A"/>
    <w:rsid w:val="004D5BAD"/>
    <w:rsid w:val="004D624D"/>
    <w:rsid w:val="004D6C05"/>
    <w:rsid w:val="004D6D96"/>
    <w:rsid w:val="004E0D29"/>
    <w:rsid w:val="004E15FE"/>
    <w:rsid w:val="004E1765"/>
    <w:rsid w:val="004E1E0A"/>
    <w:rsid w:val="004E2F68"/>
    <w:rsid w:val="004E2FAF"/>
    <w:rsid w:val="004E56D2"/>
    <w:rsid w:val="004E65E6"/>
    <w:rsid w:val="004F0A1D"/>
    <w:rsid w:val="004F13BB"/>
    <w:rsid w:val="004F1F49"/>
    <w:rsid w:val="004F25DC"/>
    <w:rsid w:val="004F32D0"/>
    <w:rsid w:val="004F74D0"/>
    <w:rsid w:val="0050300D"/>
    <w:rsid w:val="005040A2"/>
    <w:rsid w:val="00506466"/>
    <w:rsid w:val="005074C9"/>
    <w:rsid w:val="00510731"/>
    <w:rsid w:val="005131A7"/>
    <w:rsid w:val="00513CA2"/>
    <w:rsid w:val="00516F9B"/>
    <w:rsid w:val="00521D41"/>
    <w:rsid w:val="00522AF6"/>
    <w:rsid w:val="00523CB3"/>
    <w:rsid w:val="005268A1"/>
    <w:rsid w:val="00526923"/>
    <w:rsid w:val="00530676"/>
    <w:rsid w:val="00531899"/>
    <w:rsid w:val="00531B3C"/>
    <w:rsid w:val="00532404"/>
    <w:rsid w:val="00534B79"/>
    <w:rsid w:val="00535313"/>
    <w:rsid w:val="005357FD"/>
    <w:rsid w:val="00535893"/>
    <w:rsid w:val="005363EA"/>
    <w:rsid w:val="00536AEA"/>
    <w:rsid w:val="0054069F"/>
    <w:rsid w:val="005447A4"/>
    <w:rsid w:val="00545202"/>
    <w:rsid w:val="00545569"/>
    <w:rsid w:val="00550A39"/>
    <w:rsid w:val="005513A8"/>
    <w:rsid w:val="005516CF"/>
    <w:rsid w:val="00551F45"/>
    <w:rsid w:val="00553A11"/>
    <w:rsid w:val="005554F6"/>
    <w:rsid w:val="00555544"/>
    <w:rsid w:val="005576BE"/>
    <w:rsid w:val="00560382"/>
    <w:rsid w:val="00561732"/>
    <w:rsid w:val="0056412C"/>
    <w:rsid w:val="00564586"/>
    <w:rsid w:val="00566B0E"/>
    <w:rsid w:val="00567177"/>
    <w:rsid w:val="0057192F"/>
    <w:rsid w:val="00572F4C"/>
    <w:rsid w:val="00573830"/>
    <w:rsid w:val="0057441B"/>
    <w:rsid w:val="005746B5"/>
    <w:rsid w:val="00577C4A"/>
    <w:rsid w:val="00580024"/>
    <w:rsid w:val="005818F9"/>
    <w:rsid w:val="005832FC"/>
    <w:rsid w:val="005853C2"/>
    <w:rsid w:val="0058707A"/>
    <w:rsid w:val="0059004B"/>
    <w:rsid w:val="00590385"/>
    <w:rsid w:val="00590CFC"/>
    <w:rsid w:val="00591D34"/>
    <w:rsid w:val="00591F2E"/>
    <w:rsid w:val="00592C45"/>
    <w:rsid w:val="00593678"/>
    <w:rsid w:val="00593EF7"/>
    <w:rsid w:val="00594CD3"/>
    <w:rsid w:val="00596CAD"/>
    <w:rsid w:val="005A4D37"/>
    <w:rsid w:val="005A5B40"/>
    <w:rsid w:val="005B09DE"/>
    <w:rsid w:val="005B0E41"/>
    <w:rsid w:val="005B4BAF"/>
    <w:rsid w:val="005B52B4"/>
    <w:rsid w:val="005B62B0"/>
    <w:rsid w:val="005C0D39"/>
    <w:rsid w:val="005C1E01"/>
    <w:rsid w:val="005C36D0"/>
    <w:rsid w:val="005C4F2C"/>
    <w:rsid w:val="005C73EE"/>
    <w:rsid w:val="005C7AA0"/>
    <w:rsid w:val="005D38E8"/>
    <w:rsid w:val="005D3B4B"/>
    <w:rsid w:val="005D527E"/>
    <w:rsid w:val="005E0C53"/>
    <w:rsid w:val="005E13AE"/>
    <w:rsid w:val="005E13D0"/>
    <w:rsid w:val="005E54A2"/>
    <w:rsid w:val="005E6939"/>
    <w:rsid w:val="005E6E5A"/>
    <w:rsid w:val="005E7EEC"/>
    <w:rsid w:val="005F0F9C"/>
    <w:rsid w:val="005F1C5F"/>
    <w:rsid w:val="005F1EB4"/>
    <w:rsid w:val="005F25B8"/>
    <w:rsid w:val="005F2989"/>
    <w:rsid w:val="005F35EC"/>
    <w:rsid w:val="005F5D0D"/>
    <w:rsid w:val="005F680E"/>
    <w:rsid w:val="005F746F"/>
    <w:rsid w:val="006004A1"/>
    <w:rsid w:val="00600CCA"/>
    <w:rsid w:val="006024DB"/>
    <w:rsid w:val="00606051"/>
    <w:rsid w:val="006104EA"/>
    <w:rsid w:val="00611EDD"/>
    <w:rsid w:val="006121F9"/>
    <w:rsid w:val="00615CD4"/>
    <w:rsid w:val="00622BCB"/>
    <w:rsid w:val="0062379D"/>
    <w:rsid w:val="00623B22"/>
    <w:rsid w:val="00624EF3"/>
    <w:rsid w:val="006250E2"/>
    <w:rsid w:val="00625314"/>
    <w:rsid w:val="00626D43"/>
    <w:rsid w:val="00627585"/>
    <w:rsid w:val="0063187E"/>
    <w:rsid w:val="00632622"/>
    <w:rsid w:val="00632BAF"/>
    <w:rsid w:val="006343E2"/>
    <w:rsid w:val="006346E6"/>
    <w:rsid w:val="00634867"/>
    <w:rsid w:val="006353C8"/>
    <w:rsid w:val="00637CAB"/>
    <w:rsid w:val="00642649"/>
    <w:rsid w:val="00643BC6"/>
    <w:rsid w:val="0065016D"/>
    <w:rsid w:val="00652EDA"/>
    <w:rsid w:val="006564A9"/>
    <w:rsid w:val="00656E74"/>
    <w:rsid w:val="00664450"/>
    <w:rsid w:val="0066461D"/>
    <w:rsid w:val="00664B66"/>
    <w:rsid w:val="00665015"/>
    <w:rsid w:val="00667D18"/>
    <w:rsid w:val="00670E0A"/>
    <w:rsid w:val="00670E9E"/>
    <w:rsid w:val="00670F2E"/>
    <w:rsid w:val="00671D29"/>
    <w:rsid w:val="00673213"/>
    <w:rsid w:val="00673DC3"/>
    <w:rsid w:val="00674CE6"/>
    <w:rsid w:val="00675B9C"/>
    <w:rsid w:val="00676922"/>
    <w:rsid w:val="00680775"/>
    <w:rsid w:val="00682B91"/>
    <w:rsid w:val="00683C03"/>
    <w:rsid w:val="00683CB6"/>
    <w:rsid w:val="006845A9"/>
    <w:rsid w:val="006864EF"/>
    <w:rsid w:val="00686BAD"/>
    <w:rsid w:val="006877DF"/>
    <w:rsid w:val="00687E8B"/>
    <w:rsid w:val="00690084"/>
    <w:rsid w:val="006901A1"/>
    <w:rsid w:val="0069043B"/>
    <w:rsid w:val="006912E4"/>
    <w:rsid w:val="00692507"/>
    <w:rsid w:val="00692A6E"/>
    <w:rsid w:val="0069533C"/>
    <w:rsid w:val="00695F1B"/>
    <w:rsid w:val="00697ECF"/>
    <w:rsid w:val="006A2683"/>
    <w:rsid w:val="006A406A"/>
    <w:rsid w:val="006A685B"/>
    <w:rsid w:val="006A7E23"/>
    <w:rsid w:val="006B1607"/>
    <w:rsid w:val="006B1816"/>
    <w:rsid w:val="006B223D"/>
    <w:rsid w:val="006B2A9A"/>
    <w:rsid w:val="006B30F9"/>
    <w:rsid w:val="006B40C4"/>
    <w:rsid w:val="006B4170"/>
    <w:rsid w:val="006C23F9"/>
    <w:rsid w:val="006C2492"/>
    <w:rsid w:val="006C2B12"/>
    <w:rsid w:val="006C388F"/>
    <w:rsid w:val="006C5137"/>
    <w:rsid w:val="006C589C"/>
    <w:rsid w:val="006C6EBB"/>
    <w:rsid w:val="006D09EF"/>
    <w:rsid w:val="006D1915"/>
    <w:rsid w:val="006D36B5"/>
    <w:rsid w:val="006D4807"/>
    <w:rsid w:val="006D4986"/>
    <w:rsid w:val="006D5358"/>
    <w:rsid w:val="006D7A60"/>
    <w:rsid w:val="006D7CA5"/>
    <w:rsid w:val="006E0EDE"/>
    <w:rsid w:val="006E18DA"/>
    <w:rsid w:val="006E5B58"/>
    <w:rsid w:val="006E5F63"/>
    <w:rsid w:val="006E640A"/>
    <w:rsid w:val="006E75C2"/>
    <w:rsid w:val="006E77FD"/>
    <w:rsid w:val="006F14A7"/>
    <w:rsid w:val="006F2787"/>
    <w:rsid w:val="006F65CC"/>
    <w:rsid w:val="006F7E0C"/>
    <w:rsid w:val="00700494"/>
    <w:rsid w:val="007012B1"/>
    <w:rsid w:val="007024B6"/>
    <w:rsid w:val="00703F01"/>
    <w:rsid w:val="00704749"/>
    <w:rsid w:val="00705724"/>
    <w:rsid w:val="00706045"/>
    <w:rsid w:val="00706188"/>
    <w:rsid w:val="007062E4"/>
    <w:rsid w:val="00706428"/>
    <w:rsid w:val="007068C8"/>
    <w:rsid w:val="00710BD0"/>
    <w:rsid w:val="00712701"/>
    <w:rsid w:val="00713CE0"/>
    <w:rsid w:val="00715AC3"/>
    <w:rsid w:val="00715D36"/>
    <w:rsid w:val="00715EBC"/>
    <w:rsid w:val="007168F4"/>
    <w:rsid w:val="00716AC2"/>
    <w:rsid w:val="00716AC5"/>
    <w:rsid w:val="00717A94"/>
    <w:rsid w:val="00722898"/>
    <w:rsid w:val="007243EE"/>
    <w:rsid w:val="007254D6"/>
    <w:rsid w:val="00727034"/>
    <w:rsid w:val="007303C1"/>
    <w:rsid w:val="00734DBC"/>
    <w:rsid w:val="007360AA"/>
    <w:rsid w:val="00736EFD"/>
    <w:rsid w:val="00737077"/>
    <w:rsid w:val="00737A50"/>
    <w:rsid w:val="00740755"/>
    <w:rsid w:val="00740C91"/>
    <w:rsid w:val="007418DD"/>
    <w:rsid w:val="00744D7D"/>
    <w:rsid w:val="007453C4"/>
    <w:rsid w:val="00745A6C"/>
    <w:rsid w:val="00745C19"/>
    <w:rsid w:val="00752A8F"/>
    <w:rsid w:val="00753E0C"/>
    <w:rsid w:val="0075552F"/>
    <w:rsid w:val="00756E7C"/>
    <w:rsid w:val="00757752"/>
    <w:rsid w:val="00767D3F"/>
    <w:rsid w:val="007705C7"/>
    <w:rsid w:val="00771BB8"/>
    <w:rsid w:val="00772B55"/>
    <w:rsid w:val="00774E6E"/>
    <w:rsid w:val="0077758F"/>
    <w:rsid w:val="0078207D"/>
    <w:rsid w:val="00786141"/>
    <w:rsid w:val="00787B4B"/>
    <w:rsid w:val="00787B81"/>
    <w:rsid w:val="0079005A"/>
    <w:rsid w:val="007916F1"/>
    <w:rsid w:val="00793A7F"/>
    <w:rsid w:val="007944AC"/>
    <w:rsid w:val="0079544C"/>
    <w:rsid w:val="00795D11"/>
    <w:rsid w:val="00796D55"/>
    <w:rsid w:val="00797BB7"/>
    <w:rsid w:val="007A1943"/>
    <w:rsid w:val="007A72E3"/>
    <w:rsid w:val="007A7B56"/>
    <w:rsid w:val="007B2CAB"/>
    <w:rsid w:val="007B32B5"/>
    <w:rsid w:val="007B4EA3"/>
    <w:rsid w:val="007B4EAC"/>
    <w:rsid w:val="007B5A3B"/>
    <w:rsid w:val="007B7AA0"/>
    <w:rsid w:val="007C03B6"/>
    <w:rsid w:val="007C0CE0"/>
    <w:rsid w:val="007C0F8F"/>
    <w:rsid w:val="007C24D8"/>
    <w:rsid w:val="007C27FB"/>
    <w:rsid w:val="007C2C1B"/>
    <w:rsid w:val="007C31CE"/>
    <w:rsid w:val="007C3A46"/>
    <w:rsid w:val="007C4218"/>
    <w:rsid w:val="007C6226"/>
    <w:rsid w:val="007C6F6A"/>
    <w:rsid w:val="007D04FE"/>
    <w:rsid w:val="007D3170"/>
    <w:rsid w:val="007D32EC"/>
    <w:rsid w:val="007D4061"/>
    <w:rsid w:val="007D4F47"/>
    <w:rsid w:val="007D632C"/>
    <w:rsid w:val="007D7A46"/>
    <w:rsid w:val="007E0436"/>
    <w:rsid w:val="007E074F"/>
    <w:rsid w:val="007E0AAD"/>
    <w:rsid w:val="007E1E00"/>
    <w:rsid w:val="007E58C1"/>
    <w:rsid w:val="007E61E7"/>
    <w:rsid w:val="007E6A77"/>
    <w:rsid w:val="007E778F"/>
    <w:rsid w:val="007F0337"/>
    <w:rsid w:val="007F2341"/>
    <w:rsid w:val="007F5024"/>
    <w:rsid w:val="007F551B"/>
    <w:rsid w:val="007F75E7"/>
    <w:rsid w:val="007F7DFB"/>
    <w:rsid w:val="00802D15"/>
    <w:rsid w:val="008051C6"/>
    <w:rsid w:val="0080552D"/>
    <w:rsid w:val="00810364"/>
    <w:rsid w:val="00810E7C"/>
    <w:rsid w:val="00811A25"/>
    <w:rsid w:val="00811FB1"/>
    <w:rsid w:val="0081204D"/>
    <w:rsid w:val="00812A08"/>
    <w:rsid w:val="00814111"/>
    <w:rsid w:val="008157D1"/>
    <w:rsid w:val="00815C84"/>
    <w:rsid w:val="00815EDF"/>
    <w:rsid w:val="0081619F"/>
    <w:rsid w:val="00820DF9"/>
    <w:rsid w:val="008210B2"/>
    <w:rsid w:val="00821AB9"/>
    <w:rsid w:val="0082325D"/>
    <w:rsid w:val="00823EA0"/>
    <w:rsid w:val="00827BF3"/>
    <w:rsid w:val="00827D4F"/>
    <w:rsid w:val="00831B3A"/>
    <w:rsid w:val="00831B84"/>
    <w:rsid w:val="00832D11"/>
    <w:rsid w:val="00834018"/>
    <w:rsid w:val="00834F72"/>
    <w:rsid w:val="00835298"/>
    <w:rsid w:val="008374C4"/>
    <w:rsid w:val="00837897"/>
    <w:rsid w:val="008379F4"/>
    <w:rsid w:val="0084006D"/>
    <w:rsid w:val="00840C37"/>
    <w:rsid w:val="0084293B"/>
    <w:rsid w:val="008450B1"/>
    <w:rsid w:val="008456F0"/>
    <w:rsid w:val="0084627B"/>
    <w:rsid w:val="008464B6"/>
    <w:rsid w:val="008466A3"/>
    <w:rsid w:val="00847162"/>
    <w:rsid w:val="00852F36"/>
    <w:rsid w:val="0085382E"/>
    <w:rsid w:val="00853C6D"/>
    <w:rsid w:val="00853EE2"/>
    <w:rsid w:val="00853F86"/>
    <w:rsid w:val="008559BC"/>
    <w:rsid w:val="00855CDA"/>
    <w:rsid w:val="008578C4"/>
    <w:rsid w:val="00857EE0"/>
    <w:rsid w:val="00857FD5"/>
    <w:rsid w:val="00862474"/>
    <w:rsid w:val="0086254D"/>
    <w:rsid w:val="00863012"/>
    <w:rsid w:val="00864C00"/>
    <w:rsid w:val="00870354"/>
    <w:rsid w:val="008708E5"/>
    <w:rsid w:val="00872725"/>
    <w:rsid w:val="00872A24"/>
    <w:rsid w:val="0087495B"/>
    <w:rsid w:val="00874D45"/>
    <w:rsid w:val="00875D4C"/>
    <w:rsid w:val="00875DA5"/>
    <w:rsid w:val="00880843"/>
    <w:rsid w:val="00883404"/>
    <w:rsid w:val="00883BCD"/>
    <w:rsid w:val="00886F6A"/>
    <w:rsid w:val="008901A5"/>
    <w:rsid w:val="008916F5"/>
    <w:rsid w:val="00895EE3"/>
    <w:rsid w:val="008A0DC1"/>
    <w:rsid w:val="008A1783"/>
    <w:rsid w:val="008A1FC5"/>
    <w:rsid w:val="008A2B7A"/>
    <w:rsid w:val="008A57F1"/>
    <w:rsid w:val="008A6C7A"/>
    <w:rsid w:val="008A7AF2"/>
    <w:rsid w:val="008A7EE4"/>
    <w:rsid w:val="008B3D5D"/>
    <w:rsid w:val="008B4756"/>
    <w:rsid w:val="008B67FD"/>
    <w:rsid w:val="008C1A01"/>
    <w:rsid w:val="008C3417"/>
    <w:rsid w:val="008C3BA0"/>
    <w:rsid w:val="008C3F16"/>
    <w:rsid w:val="008C42FA"/>
    <w:rsid w:val="008C7AEA"/>
    <w:rsid w:val="008D1C34"/>
    <w:rsid w:val="008D1E4A"/>
    <w:rsid w:val="008D6D48"/>
    <w:rsid w:val="008E02D8"/>
    <w:rsid w:val="008E0447"/>
    <w:rsid w:val="008E0712"/>
    <w:rsid w:val="008E2A3A"/>
    <w:rsid w:val="008E2BB6"/>
    <w:rsid w:val="008E55C8"/>
    <w:rsid w:val="008E5D22"/>
    <w:rsid w:val="008E726B"/>
    <w:rsid w:val="008E774D"/>
    <w:rsid w:val="008F27D1"/>
    <w:rsid w:val="008F41FD"/>
    <w:rsid w:val="008F5475"/>
    <w:rsid w:val="008F768A"/>
    <w:rsid w:val="008F7D16"/>
    <w:rsid w:val="008F7EA3"/>
    <w:rsid w:val="009013FE"/>
    <w:rsid w:val="009016B0"/>
    <w:rsid w:val="00901C90"/>
    <w:rsid w:val="00902F23"/>
    <w:rsid w:val="00902F98"/>
    <w:rsid w:val="00905705"/>
    <w:rsid w:val="009061B2"/>
    <w:rsid w:val="00906E11"/>
    <w:rsid w:val="009079CB"/>
    <w:rsid w:val="00910E59"/>
    <w:rsid w:val="00911D45"/>
    <w:rsid w:val="009123C9"/>
    <w:rsid w:val="00916000"/>
    <w:rsid w:val="0092027E"/>
    <w:rsid w:val="009208F7"/>
    <w:rsid w:val="009241A7"/>
    <w:rsid w:val="00924278"/>
    <w:rsid w:val="009242BC"/>
    <w:rsid w:val="0092464C"/>
    <w:rsid w:val="009247C6"/>
    <w:rsid w:val="00924D82"/>
    <w:rsid w:val="00926EC6"/>
    <w:rsid w:val="009310DE"/>
    <w:rsid w:val="009314BF"/>
    <w:rsid w:val="00931801"/>
    <w:rsid w:val="0093213B"/>
    <w:rsid w:val="009348CF"/>
    <w:rsid w:val="009366A0"/>
    <w:rsid w:val="0093682F"/>
    <w:rsid w:val="009370E1"/>
    <w:rsid w:val="00937622"/>
    <w:rsid w:val="00937A81"/>
    <w:rsid w:val="00937C61"/>
    <w:rsid w:val="00941AA2"/>
    <w:rsid w:val="00941B5D"/>
    <w:rsid w:val="00942A5C"/>
    <w:rsid w:val="00943302"/>
    <w:rsid w:val="009438A1"/>
    <w:rsid w:val="0094474B"/>
    <w:rsid w:val="00946A1E"/>
    <w:rsid w:val="00947B41"/>
    <w:rsid w:val="00947BCF"/>
    <w:rsid w:val="009508F6"/>
    <w:rsid w:val="00952120"/>
    <w:rsid w:val="009534FE"/>
    <w:rsid w:val="009536B9"/>
    <w:rsid w:val="00954696"/>
    <w:rsid w:val="009558D4"/>
    <w:rsid w:val="0095630C"/>
    <w:rsid w:val="009574AD"/>
    <w:rsid w:val="0096129F"/>
    <w:rsid w:val="00962A79"/>
    <w:rsid w:val="009634F8"/>
    <w:rsid w:val="00963DC8"/>
    <w:rsid w:val="0096455A"/>
    <w:rsid w:val="00967109"/>
    <w:rsid w:val="00967166"/>
    <w:rsid w:val="00967421"/>
    <w:rsid w:val="00967858"/>
    <w:rsid w:val="00967F41"/>
    <w:rsid w:val="00970B57"/>
    <w:rsid w:val="00972D28"/>
    <w:rsid w:val="00974CB9"/>
    <w:rsid w:val="00974F7D"/>
    <w:rsid w:val="0097519E"/>
    <w:rsid w:val="009753AA"/>
    <w:rsid w:val="00976875"/>
    <w:rsid w:val="00977051"/>
    <w:rsid w:val="00980323"/>
    <w:rsid w:val="0098181A"/>
    <w:rsid w:val="009820DB"/>
    <w:rsid w:val="00983256"/>
    <w:rsid w:val="00983E39"/>
    <w:rsid w:val="00986426"/>
    <w:rsid w:val="00986CA7"/>
    <w:rsid w:val="00990065"/>
    <w:rsid w:val="009917C5"/>
    <w:rsid w:val="00992D2F"/>
    <w:rsid w:val="0099497D"/>
    <w:rsid w:val="009950E8"/>
    <w:rsid w:val="0099675C"/>
    <w:rsid w:val="009977A9"/>
    <w:rsid w:val="00997A19"/>
    <w:rsid w:val="009A017C"/>
    <w:rsid w:val="009A0A65"/>
    <w:rsid w:val="009A0A82"/>
    <w:rsid w:val="009A12E9"/>
    <w:rsid w:val="009A23F5"/>
    <w:rsid w:val="009A3DA5"/>
    <w:rsid w:val="009A6849"/>
    <w:rsid w:val="009B018F"/>
    <w:rsid w:val="009B1C8E"/>
    <w:rsid w:val="009B2DA0"/>
    <w:rsid w:val="009B2F31"/>
    <w:rsid w:val="009B40A3"/>
    <w:rsid w:val="009C0CF4"/>
    <w:rsid w:val="009C4F85"/>
    <w:rsid w:val="009C64D9"/>
    <w:rsid w:val="009D09F2"/>
    <w:rsid w:val="009D3383"/>
    <w:rsid w:val="009D6870"/>
    <w:rsid w:val="009D78CF"/>
    <w:rsid w:val="009E0EA2"/>
    <w:rsid w:val="009E3F57"/>
    <w:rsid w:val="009E4470"/>
    <w:rsid w:val="009E5BB4"/>
    <w:rsid w:val="009E5F00"/>
    <w:rsid w:val="009E655B"/>
    <w:rsid w:val="009E6B69"/>
    <w:rsid w:val="009E75FF"/>
    <w:rsid w:val="009E7C0A"/>
    <w:rsid w:val="009E7C46"/>
    <w:rsid w:val="009F047F"/>
    <w:rsid w:val="009F04B1"/>
    <w:rsid w:val="009F3122"/>
    <w:rsid w:val="009F3B8D"/>
    <w:rsid w:val="009F46F0"/>
    <w:rsid w:val="009F53E2"/>
    <w:rsid w:val="009F5DC6"/>
    <w:rsid w:val="009F7A1C"/>
    <w:rsid w:val="00A04871"/>
    <w:rsid w:val="00A0594E"/>
    <w:rsid w:val="00A06620"/>
    <w:rsid w:val="00A104E6"/>
    <w:rsid w:val="00A10FFA"/>
    <w:rsid w:val="00A11103"/>
    <w:rsid w:val="00A11826"/>
    <w:rsid w:val="00A14965"/>
    <w:rsid w:val="00A14B76"/>
    <w:rsid w:val="00A211F8"/>
    <w:rsid w:val="00A21616"/>
    <w:rsid w:val="00A234A2"/>
    <w:rsid w:val="00A2502B"/>
    <w:rsid w:val="00A25D5B"/>
    <w:rsid w:val="00A263AE"/>
    <w:rsid w:val="00A267E1"/>
    <w:rsid w:val="00A30288"/>
    <w:rsid w:val="00A313A6"/>
    <w:rsid w:val="00A33183"/>
    <w:rsid w:val="00A33892"/>
    <w:rsid w:val="00A417E5"/>
    <w:rsid w:val="00A42393"/>
    <w:rsid w:val="00A42C4C"/>
    <w:rsid w:val="00A433BD"/>
    <w:rsid w:val="00A4356F"/>
    <w:rsid w:val="00A43974"/>
    <w:rsid w:val="00A45CE0"/>
    <w:rsid w:val="00A45F88"/>
    <w:rsid w:val="00A460A4"/>
    <w:rsid w:val="00A479AC"/>
    <w:rsid w:val="00A47B9F"/>
    <w:rsid w:val="00A50235"/>
    <w:rsid w:val="00A50987"/>
    <w:rsid w:val="00A53312"/>
    <w:rsid w:val="00A54CC6"/>
    <w:rsid w:val="00A54F2B"/>
    <w:rsid w:val="00A57532"/>
    <w:rsid w:val="00A57FC4"/>
    <w:rsid w:val="00A613BE"/>
    <w:rsid w:val="00A624FD"/>
    <w:rsid w:val="00A63007"/>
    <w:rsid w:val="00A6331F"/>
    <w:rsid w:val="00A64F13"/>
    <w:rsid w:val="00A65A0A"/>
    <w:rsid w:val="00A65BC2"/>
    <w:rsid w:val="00A667BA"/>
    <w:rsid w:val="00A66D7B"/>
    <w:rsid w:val="00A67350"/>
    <w:rsid w:val="00A67B30"/>
    <w:rsid w:val="00A67FFA"/>
    <w:rsid w:val="00A7182E"/>
    <w:rsid w:val="00A7219C"/>
    <w:rsid w:val="00A7220A"/>
    <w:rsid w:val="00A7395D"/>
    <w:rsid w:val="00A74233"/>
    <w:rsid w:val="00A7471A"/>
    <w:rsid w:val="00A74B87"/>
    <w:rsid w:val="00A74C55"/>
    <w:rsid w:val="00A74F18"/>
    <w:rsid w:val="00A777E4"/>
    <w:rsid w:val="00A77C73"/>
    <w:rsid w:val="00A8016A"/>
    <w:rsid w:val="00A819A7"/>
    <w:rsid w:val="00A8273D"/>
    <w:rsid w:val="00A833AE"/>
    <w:rsid w:val="00A855C4"/>
    <w:rsid w:val="00A870C5"/>
    <w:rsid w:val="00A87640"/>
    <w:rsid w:val="00A87AC9"/>
    <w:rsid w:val="00A90A62"/>
    <w:rsid w:val="00A91601"/>
    <w:rsid w:val="00A929EB"/>
    <w:rsid w:val="00A93D2E"/>
    <w:rsid w:val="00A947EE"/>
    <w:rsid w:val="00A948D5"/>
    <w:rsid w:val="00A96493"/>
    <w:rsid w:val="00A97EE9"/>
    <w:rsid w:val="00A97F22"/>
    <w:rsid w:val="00AA0753"/>
    <w:rsid w:val="00AA2B66"/>
    <w:rsid w:val="00AA34A8"/>
    <w:rsid w:val="00AA4D93"/>
    <w:rsid w:val="00AA60A3"/>
    <w:rsid w:val="00AA6534"/>
    <w:rsid w:val="00AB1014"/>
    <w:rsid w:val="00AC03E0"/>
    <w:rsid w:val="00AC3FF0"/>
    <w:rsid w:val="00AC7C1D"/>
    <w:rsid w:val="00AD0448"/>
    <w:rsid w:val="00AD095A"/>
    <w:rsid w:val="00AD3E82"/>
    <w:rsid w:val="00AD4ABF"/>
    <w:rsid w:val="00AD4AFD"/>
    <w:rsid w:val="00AD6159"/>
    <w:rsid w:val="00AD65B2"/>
    <w:rsid w:val="00AD679A"/>
    <w:rsid w:val="00AE147D"/>
    <w:rsid w:val="00AE2718"/>
    <w:rsid w:val="00AE4343"/>
    <w:rsid w:val="00AE592C"/>
    <w:rsid w:val="00AE6209"/>
    <w:rsid w:val="00AE6417"/>
    <w:rsid w:val="00AE7F6D"/>
    <w:rsid w:val="00AF22D8"/>
    <w:rsid w:val="00AF60BA"/>
    <w:rsid w:val="00B00DEF"/>
    <w:rsid w:val="00B01673"/>
    <w:rsid w:val="00B01B6C"/>
    <w:rsid w:val="00B02ADD"/>
    <w:rsid w:val="00B039C7"/>
    <w:rsid w:val="00B05199"/>
    <w:rsid w:val="00B0595E"/>
    <w:rsid w:val="00B06B79"/>
    <w:rsid w:val="00B149D9"/>
    <w:rsid w:val="00B15AA4"/>
    <w:rsid w:val="00B169A8"/>
    <w:rsid w:val="00B17383"/>
    <w:rsid w:val="00B2032C"/>
    <w:rsid w:val="00B2426E"/>
    <w:rsid w:val="00B24B9D"/>
    <w:rsid w:val="00B24F0F"/>
    <w:rsid w:val="00B26DE5"/>
    <w:rsid w:val="00B277E4"/>
    <w:rsid w:val="00B305F3"/>
    <w:rsid w:val="00B31A8D"/>
    <w:rsid w:val="00B34C7F"/>
    <w:rsid w:val="00B3547A"/>
    <w:rsid w:val="00B377AF"/>
    <w:rsid w:val="00B43F28"/>
    <w:rsid w:val="00B43F56"/>
    <w:rsid w:val="00B46CD3"/>
    <w:rsid w:val="00B47591"/>
    <w:rsid w:val="00B476C7"/>
    <w:rsid w:val="00B507B4"/>
    <w:rsid w:val="00B50829"/>
    <w:rsid w:val="00B508AF"/>
    <w:rsid w:val="00B5118E"/>
    <w:rsid w:val="00B5601A"/>
    <w:rsid w:val="00B57B21"/>
    <w:rsid w:val="00B57D17"/>
    <w:rsid w:val="00B602C4"/>
    <w:rsid w:val="00B61760"/>
    <w:rsid w:val="00B62F35"/>
    <w:rsid w:val="00B6354A"/>
    <w:rsid w:val="00B64AAA"/>
    <w:rsid w:val="00B650DB"/>
    <w:rsid w:val="00B65829"/>
    <w:rsid w:val="00B65F22"/>
    <w:rsid w:val="00B65FC3"/>
    <w:rsid w:val="00B664C0"/>
    <w:rsid w:val="00B71D51"/>
    <w:rsid w:val="00B736DD"/>
    <w:rsid w:val="00B73F7F"/>
    <w:rsid w:val="00B74033"/>
    <w:rsid w:val="00B74338"/>
    <w:rsid w:val="00B7491A"/>
    <w:rsid w:val="00B7635B"/>
    <w:rsid w:val="00B767A7"/>
    <w:rsid w:val="00B775D5"/>
    <w:rsid w:val="00B811FB"/>
    <w:rsid w:val="00B831C0"/>
    <w:rsid w:val="00B847A8"/>
    <w:rsid w:val="00B858A7"/>
    <w:rsid w:val="00B85EDE"/>
    <w:rsid w:val="00B8681D"/>
    <w:rsid w:val="00B86C21"/>
    <w:rsid w:val="00B8717E"/>
    <w:rsid w:val="00B9043F"/>
    <w:rsid w:val="00B9277B"/>
    <w:rsid w:val="00B9576D"/>
    <w:rsid w:val="00B9619E"/>
    <w:rsid w:val="00BA0569"/>
    <w:rsid w:val="00BA0849"/>
    <w:rsid w:val="00BA32C7"/>
    <w:rsid w:val="00BA3D33"/>
    <w:rsid w:val="00BA5799"/>
    <w:rsid w:val="00BA7B1E"/>
    <w:rsid w:val="00BB0EE3"/>
    <w:rsid w:val="00BB682B"/>
    <w:rsid w:val="00BB6E63"/>
    <w:rsid w:val="00BB7A93"/>
    <w:rsid w:val="00BB7BDA"/>
    <w:rsid w:val="00BC2356"/>
    <w:rsid w:val="00BC259B"/>
    <w:rsid w:val="00BC44ED"/>
    <w:rsid w:val="00BC5CC6"/>
    <w:rsid w:val="00BC6CC5"/>
    <w:rsid w:val="00BC6F92"/>
    <w:rsid w:val="00BC7943"/>
    <w:rsid w:val="00BD003F"/>
    <w:rsid w:val="00BD1504"/>
    <w:rsid w:val="00BD6D6E"/>
    <w:rsid w:val="00BD7574"/>
    <w:rsid w:val="00BE0DE5"/>
    <w:rsid w:val="00BE1B1A"/>
    <w:rsid w:val="00BE3181"/>
    <w:rsid w:val="00BE39BF"/>
    <w:rsid w:val="00BE4749"/>
    <w:rsid w:val="00BF0B41"/>
    <w:rsid w:val="00BF1086"/>
    <w:rsid w:val="00BF18EE"/>
    <w:rsid w:val="00BF2AF5"/>
    <w:rsid w:val="00BF3DDC"/>
    <w:rsid w:val="00BF7164"/>
    <w:rsid w:val="00C00B92"/>
    <w:rsid w:val="00C022EB"/>
    <w:rsid w:val="00C024F9"/>
    <w:rsid w:val="00C0365E"/>
    <w:rsid w:val="00C03F12"/>
    <w:rsid w:val="00C0420A"/>
    <w:rsid w:val="00C05816"/>
    <w:rsid w:val="00C05C6E"/>
    <w:rsid w:val="00C07454"/>
    <w:rsid w:val="00C116DD"/>
    <w:rsid w:val="00C11948"/>
    <w:rsid w:val="00C1198B"/>
    <w:rsid w:val="00C1205C"/>
    <w:rsid w:val="00C12B7F"/>
    <w:rsid w:val="00C14AAD"/>
    <w:rsid w:val="00C150C6"/>
    <w:rsid w:val="00C15E22"/>
    <w:rsid w:val="00C1673F"/>
    <w:rsid w:val="00C20C4F"/>
    <w:rsid w:val="00C20E80"/>
    <w:rsid w:val="00C24499"/>
    <w:rsid w:val="00C244F6"/>
    <w:rsid w:val="00C25751"/>
    <w:rsid w:val="00C25DB2"/>
    <w:rsid w:val="00C26084"/>
    <w:rsid w:val="00C27911"/>
    <w:rsid w:val="00C27D6C"/>
    <w:rsid w:val="00C31D33"/>
    <w:rsid w:val="00C321B9"/>
    <w:rsid w:val="00C331B7"/>
    <w:rsid w:val="00C34DF6"/>
    <w:rsid w:val="00C366C8"/>
    <w:rsid w:val="00C36E3A"/>
    <w:rsid w:val="00C37589"/>
    <w:rsid w:val="00C42889"/>
    <w:rsid w:val="00C43811"/>
    <w:rsid w:val="00C43CCC"/>
    <w:rsid w:val="00C44785"/>
    <w:rsid w:val="00C45496"/>
    <w:rsid w:val="00C47693"/>
    <w:rsid w:val="00C47EBC"/>
    <w:rsid w:val="00C51C7F"/>
    <w:rsid w:val="00C552CE"/>
    <w:rsid w:val="00C563A0"/>
    <w:rsid w:val="00C56A08"/>
    <w:rsid w:val="00C57840"/>
    <w:rsid w:val="00C579BB"/>
    <w:rsid w:val="00C63048"/>
    <w:rsid w:val="00C6320C"/>
    <w:rsid w:val="00C65574"/>
    <w:rsid w:val="00C75BE0"/>
    <w:rsid w:val="00C77166"/>
    <w:rsid w:val="00C772D5"/>
    <w:rsid w:val="00C80A22"/>
    <w:rsid w:val="00C84950"/>
    <w:rsid w:val="00C84E66"/>
    <w:rsid w:val="00C85644"/>
    <w:rsid w:val="00C86904"/>
    <w:rsid w:val="00C86946"/>
    <w:rsid w:val="00C87AEC"/>
    <w:rsid w:val="00C87E60"/>
    <w:rsid w:val="00C900E7"/>
    <w:rsid w:val="00C902AF"/>
    <w:rsid w:val="00C955C5"/>
    <w:rsid w:val="00C958B1"/>
    <w:rsid w:val="00C96D04"/>
    <w:rsid w:val="00C96F28"/>
    <w:rsid w:val="00CA0DDE"/>
    <w:rsid w:val="00CA2420"/>
    <w:rsid w:val="00CA5DE2"/>
    <w:rsid w:val="00CB0BB1"/>
    <w:rsid w:val="00CB121D"/>
    <w:rsid w:val="00CB1AB5"/>
    <w:rsid w:val="00CB2748"/>
    <w:rsid w:val="00CB3E7A"/>
    <w:rsid w:val="00CB57DE"/>
    <w:rsid w:val="00CB6487"/>
    <w:rsid w:val="00CB6848"/>
    <w:rsid w:val="00CB6A87"/>
    <w:rsid w:val="00CC0244"/>
    <w:rsid w:val="00CC14C2"/>
    <w:rsid w:val="00CC157E"/>
    <w:rsid w:val="00CC2697"/>
    <w:rsid w:val="00CC2A33"/>
    <w:rsid w:val="00CC4C03"/>
    <w:rsid w:val="00CC5C9E"/>
    <w:rsid w:val="00CC73FC"/>
    <w:rsid w:val="00CC796B"/>
    <w:rsid w:val="00CD0291"/>
    <w:rsid w:val="00CD5A43"/>
    <w:rsid w:val="00CD79F5"/>
    <w:rsid w:val="00CE0307"/>
    <w:rsid w:val="00CE3547"/>
    <w:rsid w:val="00CE39C0"/>
    <w:rsid w:val="00CE3A43"/>
    <w:rsid w:val="00CE414A"/>
    <w:rsid w:val="00CE62F6"/>
    <w:rsid w:val="00CE6A83"/>
    <w:rsid w:val="00CF142D"/>
    <w:rsid w:val="00CF3024"/>
    <w:rsid w:val="00CF332A"/>
    <w:rsid w:val="00CF4394"/>
    <w:rsid w:val="00CF5C70"/>
    <w:rsid w:val="00CF68D9"/>
    <w:rsid w:val="00D05235"/>
    <w:rsid w:val="00D10946"/>
    <w:rsid w:val="00D1258A"/>
    <w:rsid w:val="00D127E8"/>
    <w:rsid w:val="00D12DCB"/>
    <w:rsid w:val="00D14388"/>
    <w:rsid w:val="00D14836"/>
    <w:rsid w:val="00D14D0E"/>
    <w:rsid w:val="00D16605"/>
    <w:rsid w:val="00D22C77"/>
    <w:rsid w:val="00D2479F"/>
    <w:rsid w:val="00D26F16"/>
    <w:rsid w:val="00D27B4E"/>
    <w:rsid w:val="00D27CAB"/>
    <w:rsid w:val="00D31120"/>
    <w:rsid w:val="00D32836"/>
    <w:rsid w:val="00D34540"/>
    <w:rsid w:val="00D35C91"/>
    <w:rsid w:val="00D35E07"/>
    <w:rsid w:val="00D37CB2"/>
    <w:rsid w:val="00D40A69"/>
    <w:rsid w:val="00D41AE8"/>
    <w:rsid w:val="00D42901"/>
    <w:rsid w:val="00D42E2D"/>
    <w:rsid w:val="00D46F29"/>
    <w:rsid w:val="00D47ACE"/>
    <w:rsid w:val="00D51D29"/>
    <w:rsid w:val="00D526FA"/>
    <w:rsid w:val="00D527E5"/>
    <w:rsid w:val="00D53AAA"/>
    <w:rsid w:val="00D54A4A"/>
    <w:rsid w:val="00D56625"/>
    <w:rsid w:val="00D62DBB"/>
    <w:rsid w:val="00D63782"/>
    <w:rsid w:val="00D64171"/>
    <w:rsid w:val="00D64637"/>
    <w:rsid w:val="00D650C4"/>
    <w:rsid w:val="00D65769"/>
    <w:rsid w:val="00D66F7D"/>
    <w:rsid w:val="00D6754B"/>
    <w:rsid w:val="00D679AE"/>
    <w:rsid w:val="00D67D00"/>
    <w:rsid w:val="00D67D5B"/>
    <w:rsid w:val="00D7089D"/>
    <w:rsid w:val="00D70D81"/>
    <w:rsid w:val="00D76480"/>
    <w:rsid w:val="00D77000"/>
    <w:rsid w:val="00D814FA"/>
    <w:rsid w:val="00D82355"/>
    <w:rsid w:val="00D83F67"/>
    <w:rsid w:val="00D845D3"/>
    <w:rsid w:val="00D84DA3"/>
    <w:rsid w:val="00D8717A"/>
    <w:rsid w:val="00D8741C"/>
    <w:rsid w:val="00D876CC"/>
    <w:rsid w:val="00D87EAC"/>
    <w:rsid w:val="00D94209"/>
    <w:rsid w:val="00D94505"/>
    <w:rsid w:val="00D94BC3"/>
    <w:rsid w:val="00D94D9D"/>
    <w:rsid w:val="00D973C4"/>
    <w:rsid w:val="00D97D3A"/>
    <w:rsid w:val="00DA08F0"/>
    <w:rsid w:val="00DA326E"/>
    <w:rsid w:val="00DA573B"/>
    <w:rsid w:val="00DA59A7"/>
    <w:rsid w:val="00DA59D7"/>
    <w:rsid w:val="00DA7E19"/>
    <w:rsid w:val="00DB0028"/>
    <w:rsid w:val="00DB0814"/>
    <w:rsid w:val="00DB17B7"/>
    <w:rsid w:val="00DB1FDB"/>
    <w:rsid w:val="00DB2291"/>
    <w:rsid w:val="00DB237B"/>
    <w:rsid w:val="00DB3083"/>
    <w:rsid w:val="00DB3580"/>
    <w:rsid w:val="00DB3FA7"/>
    <w:rsid w:val="00DB444B"/>
    <w:rsid w:val="00DC0967"/>
    <w:rsid w:val="00DC0C3F"/>
    <w:rsid w:val="00DC1767"/>
    <w:rsid w:val="00DC1D28"/>
    <w:rsid w:val="00DC5BB1"/>
    <w:rsid w:val="00DC5E9C"/>
    <w:rsid w:val="00DC605C"/>
    <w:rsid w:val="00DC683F"/>
    <w:rsid w:val="00DD10CB"/>
    <w:rsid w:val="00DD1BDA"/>
    <w:rsid w:val="00DD1C37"/>
    <w:rsid w:val="00DD38E2"/>
    <w:rsid w:val="00DD66EC"/>
    <w:rsid w:val="00DD696F"/>
    <w:rsid w:val="00DD7AA7"/>
    <w:rsid w:val="00DE06C5"/>
    <w:rsid w:val="00DE2B90"/>
    <w:rsid w:val="00DE2CA7"/>
    <w:rsid w:val="00DE41FF"/>
    <w:rsid w:val="00DE45CE"/>
    <w:rsid w:val="00DE5A42"/>
    <w:rsid w:val="00DF111F"/>
    <w:rsid w:val="00DF1439"/>
    <w:rsid w:val="00DF57AF"/>
    <w:rsid w:val="00DF59D8"/>
    <w:rsid w:val="00DF5BA4"/>
    <w:rsid w:val="00E01859"/>
    <w:rsid w:val="00E01961"/>
    <w:rsid w:val="00E01D23"/>
    <w:rsid w:val="00E03A8F"/>
    <w:rsid w:val="00E049B5"/>
    <w:rsid w:val="00E051CF"/>
    <w:rsid w:val="00E05DD3"/>
    <w:rsid w:val="00E06D6B"/>
    <w:rsid w:val="00E10288"/>
    <w:rsid w:val="00E1071D"/>
    <w:rsid w:val="00E10875"/>
    <w:rsid w:val="00E10956"/>
    <w:rsid w:val="00E13621"/>
    <w:rsid w:val="00E13DD1"/>
    <w:rsid w:val="00E13F5F"/>
    <w:rsid w:val="00E1498C"/>
    <w:rsid w:val="00E164A5"/>
    <w:rsid w:val="00E17416"/>
    <w:rsid w:val="00E215D9"/>
    <w:rsid w:val="00E219EC"/>
    <w:rsid w:val="00E22766"/>
    <w:rsid w:val="00E22E09"/>
    <w:rsid w:val="00E265AB"/>
    <w:rsid w:val="00E30256"/>
    <w:rsid w:val="00E30824"/>
    <w:rsid w:val="00E34026"/>
    <w:rsid w:val="00E36F6A"/>
    <w:rsid w:val="00E37A18"/>
    <w:rsid w:val="00E37DFC"/>
    <w:rsid w:val="00E4168D"/>
    <w:rsid w:val="00E422F3"/>
    <w:rsid w:val="00E42311"/>
    <w:rsid w:val="00E43D03"/>
    <w:rsid w:val="00E4526C"/>
    <w:rsid w:val="00E477AB"/>
    <w:rsid w:val="00E47A36"/>
    <w:rsid w:val="00E505D4"/>
    <w:rsid w:val="00E53168"/>
    <w:rsid w:val="00E5358A"/>
    <w:rsid w:val="00E54C37"/>
    <w:rsid w:val="00E55676"/>
    <w:rsid w:val="00E55A06"/>
    <w:rsid w:val="00E562A4"/>
    <w:rsid w:val="00E57CE9"/>
    <w:rsid w:val="00E62538"/>
    <w:rsid w:val="00E62637"/>
    <w:rsid w:val="00E62EC1"/>
    <w:rsid w:val="00E663EE"/>
    <w:rsid w:val="00E669B8"/>
    <w:rsid w:val="00E715A6"/>
    <w:rsid w:val="00E73840"/>
    <w:rsid w:val="00E7430C"/>
    <w:rsid w:val="00E74FA1"/>
    <w:rsid w:val="00E76002"/>
    <w:rsid w:val="00E77F86"/>
    <w:rsid w:val="00E817AE"/>
    <w:rsid w:val="00E81EF6"/>
    <w:rsid w:val="00E84479"/>
    <w:rsid w:val="00E84CE4"/>
    <w:rsid w:val="00E85229"/>
    <w:rsid w:val="00E8674A"/>
    <w:rsid w:val="00E86B14"/>
    <w:rsid w:val="00E8711A"/>
    <w:rsid w:val="00E8774E"/>
    <w:rsid w:val="00E95633"/>
    <w:rsid w:val="00E96579"/>
    <w:rsid w:val="00E970A2"/>
    <w:rsid w:val="00E973A1"/>
    <w:rsid w:val="00EA09E3"/>
    <w:rsid w:val="00EA1B23"/>
    <w:rsid w:val="00EA40E8"/>
    <w:rsid w:val="00EA5471"/>
    <w:rsid w:val="00EA558F"/>
    <w:rsid w:val="00EA5F66"/>
    <w:rsid w:val="00EA6822"/>
    <w:rsid w:val="00EA6A3E"/>
    <w:rsid w:val="00EA6CBD"/>
    <w:rsid w:val="00EB10FB"/>
    <w:rsid w:val="00EC159A"/>
    <w:rsid w:val="00EC3D5D"/>
    <w:rsid w:val="00EC4B66"/>
    <w:rsid w:val="00EC5499"/>
    <w:rsid w:val="00EC6649"/>
    <w:rsid w:val="00EC7775"/>
    <w:rsid w:val="00ED0671"/>
    <w:rsid w:val="00ED08C5"/>
    <w:rsid w:val="00ED0CC2"/>
    <w:rsid w:val="00ED25D2"/>
    <w:rsid w:val="00ED410C"/>
    <w:rsid w:val="00ED5783"/>
    <w:rsid w:val="00ED5BA2"/>
    <w:rsid w:val="00ED6025"/>
    <w:rsid w:val="00EE162F"/>
    <w:rsid w:val="00EE34ED"/>
    <w:rsid w:val="00EE4F79"/>
    <w:rsid w:val="00EE5AEC"/>
    <w:rsid w:val="00EE6527"/>
    <w:rsid w:val="00EF0C44"/>
    <w:rsid w:val="00EF1914"/>
    <w:rsid w:val="00EF5E02"/>
    <w:rsid w:val="00EF5FDF"/>
    <w:rsid w:val="00F002C0"/>
    <w:rsid w:val="00F02A03"/>
    <w:rsid w:val="00F0384B"/>
    <w:rsid w:val="00F07C33"/>
    <w:rsid w:val="00F108D7"/>
    <w:rsid w:val="00F128A8"/>
    <w:rsid w:val="00F12C38"/>
    <w:rsid w:val="00F13F48"/>
    <w:rsid w:val="00F16471"/>
    <w:rsid w:val="00F2121A"/>
    <w:rsid w:val="00F21CB2"/>
    <w:rsid w:val="00F22C43"/>
    <w:rsid w:val="00F22D78"/>
    <w:rsid w:val="00F2393F"/>
    <w:rsid w:val="00F254D9"/>
    <w:rsid w:val="00F31357"/>
    <w:rsid w:val="00F320E6"/>
    <w:rsid w:val="00F32CF5"/>
    <w:rsid w:val="00F3318E"/>
    <w:rsid w:val="00F347D6"/>
    <w:rsid w:val="00F35074"/>
    <w:rsid w:val="00F35121"/>
    <w:rsid w:val="00F358FC"/>
    <w:rsid w:val="00F362C4"/>
    <w:rsid w:val="00F36C79"/>
    <w:rsid w:val="00F37220"/>
    <w:rsid w:val="00F37DD8"/>
    <w:rsid w:val="00F4013A"/>
    <w:rsid w:val="00F4053E"/>
    <w:rsid w:val="00F40CE5"/>
    <w:rsid w:val="00F41170"/>
    <w:rsid w:val="00F4155E"/>
    <w:rsid w:val="00F430D4"/>
    <w:rsid w:val="00F4310A"/>
    <w:rsid w:val="00F4450E"/>
    <w:rsid w:val="00F47459"/>
    <w:rsid w:val="00F5051E"/>
    <w:rsid w:val="00F5523A"/>
    <w:rsid w:val="00F555BC"/>
    <w:rsid w:val="00F562B2"/>
    <w:rsid w:val="00F56F3A"/>
    <w:rsid w:val="00F570F0"/>
    <w:rsid w:val="00F60419"/>
    <w:rsid w:val="00F6146A"/>
    <w:rsid w:val="00F630D9"/>
    <w:rsid w:val="00F64208"/>
    <w:rsid w:val="00F656C5"/>
    <w:rsid w:val="00F6724E"/>
    <w:rsid w:val="00F67279"/>
    <w:rsid w:val="00F72896"/>
    <w:rsid w:val="00F73717"/>
    <w:rsid w:val="00F75D16"/>
    <w:rsid w:val="00F807C0"/>
    <w:rsid w:val="00F82929"/>
    <w:rsid w:val="00F82BEB"/>
    <w:rsid w:val="00F837A9"/>
    <w:rsid w:val="00F849F8"/>
    <w:rsid w:val="00F86E40"/>
    <w:rsid w:val="00F87159"/>
    <w:rsid w:val="00F90397"/>
    <w:rsid w:val="00F91CF2"/>
    <w:rsid w:val="00F91E80"/>
    <w:rsid w:val="00F93991"/>
    <w:rsid w:val="00FA0565"/>
    <w:rsid w:val="00FA417C"/>
    <w:rsid w:val="00FA42D3"/>
    <w:rsid w:val="00FA516B"/>
    <w:rsid w:val="00FA565B"/>
    <w:rsid w:val="00FA58B5"/>
    <w:rsid w:val="00FA744C"/>
    <w:rsid w:val="00FB3A1A"/>
    <w:rsid w:val="00FB4F6E"/>
    <w:rsid w:val="00FB60E5"/>
    <w:rsid w:val="00FB61D0"/>
    <w:rsid w:val="00FB67FE"/>
    <w:rsid w:val="00FB7DFE"/>
    <w:rsid w:val="00FC01FC"/>
    <w:rsid w:val="00FC1625"/>
    <w:rsid w:val="00FC2907"/>
    <w:rsid w:val="00FC3FFA"/>
    <w:rsid w:val="00FC4813"/>
    <w:rsid w:val="00FC5C80"/>
    <w:rsid w:val="00FC6860"/>
    <w:rsid w:val="00FC7A65"/>
    <w:rsid w:val="00FD0698"/>
    <w:rsid w:val="00FD2039"/>
    <w:rsid w:val="00FD2115"/>
    <w:rsid w:val="00FD26EF"/>
    <w:rsid w:val="00FD33DD"/>
    <w:rsid w:val="00FD347F"/>
    <w:rsid w:val="00FD5649"/>
    <w:rsid w:val="00FE1957"/>
    <w:rsid w:val="00FE3A6E"/>
    <w:rsid w:val="00FE43AC"/>
    <w:rsid w:val="00FE5676"/>
    <w:rsid w:val="00FE6278"/>
    <w:rsid w:val="00FE716B"/>
    <w:rsid w:val="00FE781D"/>
    <w:rsid w:val="00FF0212"/>
    <w:rsid w:val="00FF076E"/>
    <w:rsid w:val="00FF6279"/>
    <w:rsid w:val="016B2170"/>
    <w:rsid w:val="01787946"/>
    <w:rsid w:val="02085A2F"/>
    <w:rsid w:val="025F20F0"/>
    <w:rsid w:val="036F2FCB"/>
    <w:rsid w:val="04374FB4"/>
    <w:rsid w:val="04CF3904"/>
    <w:rsid w:val="062005AC"/>
    <w:rsid w:val="06AA40D2"/>
    <w:rsid w:val="06F53452"/>
    <w:rsid w:val="07A775CC"/>
    <w:rsid w:val="081A3F5B"/>
    <w:rsid w:val="08C72F61"/>
    <w:rsid w:val="09304FAA"/>
    <w:rsid w:val="0A7C6B7A"/>
    <w:rsid w:val="0AF71D57"/>
    <w:rsid w:val="0B8D0F28"/>
    <w:rsid w:val="0C0F43C2"/>
    <w:rsid w:val="0E0506A1"/>
    <w:rsid w:val="0E9D4E90"/>
    <w:rsid w:val="0F1A028E"/>
    <w:rsid w:val="0F3F1AA3"/>
    <w:rsid w:val="0F5526E2"/>
    <w:rsid w:val="0F5846BF"/>
    <w:rsid w:val="0FC42C0C"/>
    <w:rsid w:val="10AC760C"/>
    <w:rsid w:val="10F03177"/>
    <w:rsid w:val="11FA7F03"/>
    <w:rsid w:val="12301B77"/>
    <w:rsid w:val="125C6E10"/>
    <w:rsid w:val="14626CBD"/>
    <w:rsid w:val="14EA399C"/>
    <w:rsid w:val="150A2B53"/>
    <w:rsid w:val="157B2236"/>
    <w:rsid w:val="15D61EF6"/>
    <w:rsid w:val="16B5089D"/>
    <w:rsid w:val="17D138E4"/>
    <w:rsid w:val="1824217E"/>
    <w:rsid w:val="18C405F5"/>
    <w:rsid w:val="19A63761"/>
    <w:rsid w:val="1AAD10BF"/>
    <w:rsid w:val="1BFB539C"/>
    <w:rsid w:val="1C2D3246"/>
    <w:rsid w:val="1C430633"/>
    <w:rsid w:val="1C9F6277"/>
    <w:rsid w:val="1D0C4F8F"/>
    <w:rsid w:val="1D4D020A"/>
    <w:rsid w:val="1DD51824"/>
    <w:rsid w:val="1F382D37"/>
    <w:rsid w:val="20421655"/>
    <w:rsid w:val="20F95F44"/>
    <w:rsid w:val="210A75EA"/>
    <w:rsid w:val="21650A7D"/>
    <w:rsid w:val="21BA2415"/>
    <w:rsid w:val="2221772E"/>
    <w:rsid w:val="222C235B"/>
    <w:rsid w:val="2311076F"/>
    <w:rsid w:val="23694EE9"/>
    <w:rsid w:val="23CE130B"/>
    <w:rsid w:val="24D70D30"/>
    <w:rsid w:val="27DE0C64"/>
    <w:rsid w:val="28041684"/>
    <w:rsid w:val="2870455C"/>
    <w:rsid w:val="29BF1D06"/>
    <w:rsid w:val="29F50AF2"/>
    <w:rsid w:val="2A0F0C91"/>
    <w:rsid w:val="2A470ADA"/>
    <w:rsid w:val="2A524929"/>
    <w:rsid w:val="2C5D5807"/>
    <w:rsid w:val="2C6C5EBE"/>
    <w:rsid w:val="2C983FF7"/>
    <w:rsid w:val="2D713949"/>
    <w:rsid w:val="2E0B376C"/>
    <w:rsid w:val="2E70277E"/>
    <w:rsid w:val="30901D07"/>
    <w:rsid w:val="30963095"/>
    <w:rsid w:val="30A856FB"/>
    <w:rsid w:val="30CB71E3"/>
    <w:rsid w:val="313A3898"/>
    <w:rsid w:val="31DE2F46"/>
    <w:rsid w:val="321D3148"/>
    <w:rsid w:val="32496611"/>
    <w:rsid w:val="3355548A"/>
    <w:rsid w:val="33925D96"/>
    <w:rsid w:val="33EE3CE1"/>
    <w:rsid w:val="341715C0"/>
    <w:rsid w:val="34394463"/>
    <w:rsid w:val="35D00DF7"/>
    <w:rsid w:val="375E3CDA"/>
    <w:rsid w:val="38237904"/>
    <w:rsid w:val="387F2BB5"/>
    <w:rsid w:val="395D29A2"/>
    <w:rsid w:val="397228F1"/>
    <w:rsid w:val="39F96B6F"/>
    <w:rsid w:val="3B9A612F"/>
    <w:rsid w:val="3D032B0B"/>
    <w:rsid w:val="3E90381A"/>
    <w:rsid w:val="3F06588A"/>
    <w:rsid w:val="3F3D5750"/>
    <w:rsid w:val="3F542A99"/>
    <w:rsid w:val="3FEA37B6"/>
    <w:rsid w:val="40A01D6C"/>
    <w:rsid w:val="41A23A7A"/>
    <w:rsid w:val="429A447C"/>
    <w:rsid w:val="44B76C5C"/>
    <w:rsid w:val="45117DDD"/>
    <w:rsid w:val="455D3889"/>
    <w:rsid w:val="45A71B75"/>
    <w:rsid w:val="46B5206F"/>
    <w:rsid w:val="46BF79A8"/>
    <w:rsid w:val="471F7B3D"/>
    <w:rsid w:val="47E635F4"/>
    <w:rsid w:val="485E04E5"/>
    <w:rsid w:val="48873598"/>
    <w:rsid w:val="4957740E"/>
    <w:rsid w:val="497C50C6"/>
    <w:rsid w:val="4A690D95"/>
    <w:rsid w:val="4AA7055B"/>
    <w:rsid w:val="4B9304A5"/>
    <w:rsid w:val="4BC1751C"/>
    <w:rsid w:val="4C207D27"/>
    <w:rsid w:val="4D396A73"/>
    <w:rsid w:val="4D901140"/>
    <w:rsid w:val="4E21623C"/>
    <w:rsid w:val="4E4C2032"/>
    <w:rsid w:val="4EAD3DD9"/>
    <w:rsid w:val="4F5B00B5"/>
    <w:rsid w:val="4FFD30BF"/>
    <w:rsid w:val="500100D3"/>
    <w:rsid w:val="504F169B"/>
    <w:rsid w:val="507316EC"/>
    <w:rsid w:val="513242BC"/>
    <w:rsid w:val="52397FF8"/>
    <w:rsid w:val="531A3FF9"/>
    <w:rsid w:val="53690FF8"/>
    <w:rsid w:val="541F4FCC"/>
    <w:rsid w:val="54271AC6"/>
    <w:rsid w:val="5766720A"/>
    <w:rsid w:val="57A809D1"/>
    <w:rsid w:val="58AA655F"/>
    <w:rsid w:val="590B76B5"/>
    <w:rsid w:val="59CE2DE5"/>
    <w:rsid w:val="5A4C2893"/>
    <w:rsid w:val="5AB9477F"/>
    <w:rsid w:val="5C427AAA"/>
    <w:rsid w:val="5CB14989"/>
    <w:rsid w:val="5CF039A9"/>
    <w:rsid w:val="5D71002C"/>
    <w:rsid w:val="5E512226"/>
    <w:rsid w:val="5FB273FD"/>
    <w:rsid w:val="6050574A"/>
    <w:rsid w:val="605E6476"/>
    <w:rsid w:val="607E67DA"/>
    <w:rsid w:val="6185096D"/>
    <w:rsid w:val="633F4960"/>
    <w:rsid w:val="6416752C"/>
    <w:rsid w:val="64D92F75"/>
    <w:rsid w:val="65613696"/>
    <w:rsid w:val="676D0B49"/>
    <w:rsid w:val="679B7D96"/>
    <w:rsid w:val="67C134F4"/>
    <w:rsid w:val="67D33539"/>
    <w:rsid w:val="67DB2AF0"/>
    <w:rsid w:val="68E63EB3"/>
    <w:rsid w:val="68EB3277"/>
    <w:rsid w:val="68F75C8D"/>
    <w:rsid w:val="6AAD85DA"/>
    <w:rsid w:val="6D05506C"/>
    <w:rsid w:val="6D267BD4"/>
    <w:rsid w:val="6E310B11"/>
    <w:rsid w:val="6E9F6FDD"/>
    <w:rsid w:val="6FC7059A"/>
    <w:rsid w:val="6FEA24DA"/>
    <w:rsid w:val="70134784"/>
    <w:rsid w:val="70CC23F9"/>
    <w:rsid w:val="70DE203F"/>
    <w:rsid w:val="710F2FAE"/>
    <w:rsid w:val="714B0D57"/>
    <w:rsid w:val="721675B7"/>
    <w:rsid w:val="726C2185"/>
    <w:rsid w:val="72D80D10"/>
    <w:rsid w:val="73A86934"/>
    <w:rsid w:val="73BFCFF0"/>
    <w:rsid w:val="74FC6F38"/>
    <w:rsid w:val="75B73ED4"/>
    <w:rsid w:val="76F459ED"/>
    <w:rsid w:val="774D68C4"/>
    <w:rsid w:val="778F6B6C"/>
    <w:rsid w:val="77B15930"/>
    <w:rsid w:val="77FF15D9"/>
    <w:rsid w:val="781752E6"/>
    <w:rsid w:val="78F45C2F"/>
    <w:rsid w:val="79A74F98"/>
    <w:rsid w:val="7B3E662A"/>
    <w:rsid w:val="7B516825"/>
    <w:rsid w:val="7B5D6256"/>
    <w:rsid w:val="7BD163FE"/>
    <w:rsid w:val="7CB63E70"/>
    <w:rsid w:val="7CD071D1"/>
    <w:rsid w:val="7D8A0E59"/>
    <w:rsid w:val="7DF05160"/>
    <w:rsid w:val="7E1C0584"/>
    <w:rsid w:val="7E4E30CC"/>
    <w:rsid w:val="7E8D3423"/>
    <w:rsid w:val="7F0F5AB9"/>
    <w:rsid w:val="9EF7105A"/>
    <w:rsid w:val="BFFF9889"/>
    <w:rsid w:val="FCFB1A05"/>
    <w:rsid w:val="FFCAC76D"/>
    <w:rsid w:val="FFD31E10"/>
    <w:rsid w:val="FFFFC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pPr>
      <w:jc w:val="left"/>
    </w:pPr>
    <w:rPr>
      <w:rFonts w:ascii="Calibri" w:hAnsi="Calibri" w:eastAsia="宋体" w:cs="Times New Roman"/>
    </w:rPr>
  </w:style>
  <w:style w:type="paragraph" w:styleId="3">
    <w:name w:val="Balloon Text"/>
    <w:basedOn w:val="1"/>
    <w:link w:val="13"/>
    <w:semiHidden/>
    <w:unhideWhenUsed/>
    <w:qFormat/>
    <w:uiPriority w:val="0"/>
    <w:rPr>
      <w:sz w:val="18"/>
      <w:szCs w:val="18"/>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semiHidden/>
    <w:unhideWhenUsed/>
    <w:qFormat/>
    <w:uiPriority w:val="0"/>
    <w:rPr>
      <w:rFonts w:asciiTheme="minorHAnsi" w:hAnsiTheme="minorHAnsi" w:eastAsiaTheme="minorEastAsia" w:cstheme="minorBidi"/>
      <w:b/>
      <w:bCs/>
    </w:rPr>
  </w:style>
  <w:style w:type="table" w:styleId="8">
    <w:name w:val="Table Grid"/>
    <w:basedOn w:val="7"/>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页眉 字符"/>
    <w:basedOn w:val="9"/>
    <w:link w:val="5"/>
    <w:qFormat/>
    <w:uiPriority w:val="0"/>
    <w:rPr>
      <w:kern w:val="2"/>
      <w:sz w:val="18"/>
      <w:szCs w:val="18"/>
    </w:rPr>
  </w:style>
  <w:style w:type="character" w:customStyle="1" w:styleId="13">
    <w:name w:val="批注框文本 字符"/>
    <w:basedOn w:val="9"/>
    <w:link w:val="3"/>
    <w:semiHidden/>
    <w:qFormat/>
    <w:uiPriority w:val="0"/>
    <w:rPr>
      <w:kern w:val="2"/>
      <w:sz w:val="18"/>
      <w:szCs w:val="18"/>
    </w:rPr>
  </w:style>
  <w:style w:type="paragraph" w:styleId="14">
    <w:name w:val="List Paragraph"/>
    <w:basedOn w:val="1"/>
    <w:unhideWhenUsed/>
    <w:qFormat/>
    <w:uiPriority w:val="99"/>
    <w:pPr>
      <w:ind w:firstLine="420" w:firstLineChars="200"/>
    </w:pPr>
  </w:style>
  <w:style w:type="character" w:customStyle="1" w:styleId="15">
    <w:name w:val="批注文字 字符"/>
    <w:basedOn w:val="9"/>
    <w:link w:val="2"/>
    <w:qFormat/>
    <w:uiPriority w:val="99"/>
    <w:rPr>
      <w:rFonts w:ascii="Calibri" w:hAnsi="Calibri" w:eastAsia="宋体" w:cs="Times New Roman"/>
      <w:kern w:val="2"/>
      <w:sz w:val="21"/>
      <w:szCs w:val="22"/>
    </w:rPr>
  </w:style>
  <w:style w:type="character" w:customStyle="1" w:styleId="16">
    <w:name w:val="fontstyle01"/>
    <w:basedOn w:val="9"/>
    <w:qFormat/>
    <w:uiPriority w:val="0"/>
    <w:rPr>
      <w:rFonts w:hint="eastAsia" w:ascii="黑体" w:hAnsi="黑体" w:eastAsia="黑体"/>
      <w:color w:val="000000"/>
      <w:sz w:val="18"/>
      <w:szCs w:val="18"/>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批注主题 字符"/>
    <w:basedOn w:val="15"/>
    <w:link w:val="6"/>
    <w:semiHidden/>
    <w:qFormat/>
    <w:uiPriority w:val="0"/>
    <w:rPr>
      <w:rFonts w:asciiTheme="minorHAnsi" w:hAnsiTheme="minorHAnsi" w:eastAsiaTheme="minorEastAsia" w:cstheme="minorBidi"/>
      <w:b/>
      <w:bCs/>
      <w:kern w:val="2"/>
      <w:sz w:val="21"/>
      <w:szCs w:val="22"/>
    </w:rPr>
  </w:style>
  <w:style w:type="paragraph" w:customStyle="1" w:styleId="19">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1110</Words>
  <Characters>6333</Characters>
  <Lines>52</Lines>
  <Paragraphs>14</Paragraphs>
  <TotalTime>43</TotalTime>
  <ScaleCrop>false</ScaleCrop>
  <LinksUpToDate>false</LinksUpToDate>
  <CharactersWithSpaces>7429</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2024-11-17T15:47:00Z</dcterms:created>
  <dc:creator>czbank</dc:creator>
  <cp:lastModifiedBy>C73A</cp:lastModifiedBy>
  <cp:lastPrinted>2024-06-20T19:08:00Z</cp:lastPrinted>
  <dcterms:modified xsi:type="dcterms:W3CDTF">2026-08-24T11:21:59Z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7C87768D26664F6F8E4015D6C8FF64F1</vt:lpwstr>
  </property>
  <property fmtid="{D5CDD505-2E9C-101B-9397-08002B2CF9AE}" pid="4" name="KSOTemplateDocerSaveRecord">
    <vt:lpwstr>eyJoZGlkIjoiOWVjMjZhOWViNTZhZjkyOTUyOWNkNTA2ZGVmZmYwZTAiLCJ1c2VySWQiOiIzMDI2MzA1NjIifQ==</vt:lpwstr>
  </property>
</Properties>
</file>