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D4F57B">
      <w:pPr>
        <w:widowControl/>
        <w:snapToGrid w:val="0"/>
        <w:jc w:val="center"/>
        <w:rPr>
          <w:rFonts w:ascii="方正小标宋简体" w:hAnsi="宋体" w:eastAsia="方正小标宋简体" w:cs="宋体"/>
          <w:bCs/>
          <w:color w:val="auto"/>
          <w:kern w:val="0"/>
          <w:sz w:val="36"/>
          <w:szCs w:val="36"/>
          <w:highlight w:val="none"/>
        </w:rPr>
      </w:pPr>
      <w:r>
        <w:rPr>
          <w:rFonts w:hint="eastAsia" w:ascii="方正小标宋简体" w:hAnsi="宋体" w:eastAsia="方正小标宋简体" w:cs="宋体"/>
          <w:bCs/>
          <w:color w:val="auto"/>
          <w:kern w:val="0"/>
          <w:sz w:val="36"/>
          <w:szCs w:val="36"/>
          <w:highlight w:val="none"/>
        </w:rPr>
        <w:t>浙银理财</w:t>
      </w:r>
      <w:r>
        <w:rPr>
          <w:rFonts w:hint="eastAsia" w:ascii="方正小标宋简体" w:hAnsi="宋体" w:eastAsia="方正小标宋简体" w:cs="宋体"/>
          <w:bCs/>
          <w:color w:val="auto"/>
          <w:kern w:val="0"/>
          <w:sz w:val="36"/>
          <w:szCs w:val="36"/>
          <w:highlight w:val="none"/>
          <w:lang w:val="en-US" w:eastAsia="zh-CN"/>
        </w:rPr>
        <w:t>琮简富春286号理财</w:t>
      </w:r>
      <w:r>
        <w:rPr>
          <w:rFonts w:hint="eastAsia" w:ascii="方正小标宋简体" w:hAnsi="宋体" w:eastAsia="方正小标宋简体" w:cs="宋体"/>
          <w:bCs/>
          <w:color w:val="auto"/>
          <w:kern w:val="0"/>
          <w:sz w:val="36"/>
          <w:szCs w:val="36"/>
          <w:highlight w:val="none"/>
        </w:rPr>
        <w:t>产品说明书</w:t>
      </w:r>
    </w:p>
    <w:p w14:paraId="7BE2BDAB">
      <w:pPr>
        <w:widowControl/>
        <w:jc w:val="center"/>
        <w:rPr>
          <w:color w:val="auto"/>
          <w:highlight w:val="none"/>
        </w:rPr>
      </w:pPr>
      <w:r>
        <w:rPr>
          <w:rFonts w:hint="eastAsia" w:ascii="宋体" w:hAnsi="宋体" w:eastAsia="宋体" w:cs="宋体"/>
          <w:b/>
          <w:bCs/>
          <w:color w:val="auto"/>
          <w:kern w:val="0"/>
          <w:sz w:val="28"/>
          <w:szCs w:val="28"/>
          <w:highlight w:val="none"/>
          <w:lang w:bidi="ar"/>
        </w:rPr>
        <w:t>（</w:t>
      </w:r>
      <w:r>
        <w:rPr>
          <w:rFonts w:ascii="宋体" w:hAnsi="宋体" w:eastAsia="宋体" w:cs="宋体"/>
          <w:b/>
          <w:bCs/>
          <w:color w:val="auto"/>
          <w:kern w:val="0"/>
          <w:sz w:val="28"/>
          <w:szCs w:val="28"/>
          <w:highlight w:val="none"/>
          <w:lang w:bidi="ar"/>
        </w:rPr>
        <w:t>全国银行业理财信息登记系统产品登记编码：</w:t>
      </w:r>
      <w:r>
        <w:rPr>
          <w:rFonts w:hint="eastAsia" w:ascii="宋体" w:hAnsi="宋体"/>
          <w:b/>
          <w:bCs/>
          <w:color w:val="auto"/>
          <w:sz w:val="28"/>
          <w:szCs w:val="28"/>
          <w:highlight w:val="none"/>
          <w:u w:val="none"/>
          <w:lang w:val="en-US" w:eastAsia="zh-CN"/>
        </w:rPr>
        <w:t>Z7011826000376</w:t>
      </w:r>
      <w:r>
        <w:rPr>
          <w:rFonts w:hint="eastAsia" w:ascii="宋体" w:hAnsi="宋体" w:eastAsia="宋体" w:cs="宋体"/>
          <w:b/>
          <w:bCs/>
          <w:color w:val="auto"/>
          <w:kern w:val="0"/>
          <w:sz w:val="28"/>
          <w:szCs w:val="28"/>
          <w:highlight w:val="none"/>
          <w:lang w:bidi="ar"/>
        </w:rPr>
        <w:t>）</w:t>
      </w:r>
    </w:p>
    <w:p w14:paraId="1520B05E">
      <w:pPr>
        <w:widowControl/>
        <w:jc w:val="center"/>
        <w:rPr>
          <w:rFonts w:ascii="宋体" w:hAnsi="宋体" w:eastAsia="宋体" w:cs="宋体"/>
          <w:b/>
          <w:bCs/>
          <w:color w:val="auto"/>
          <w:kern w:val="0"/>
          <w:sz w:val="20"/>
          <w:szCs w:val="20"/>
          <w:highlight w:val="none"/>
          <w:lang w:bidi="ar"/>
        </w:rPr>
      </w:pPr>
      <w:r>
        <w:rPr>
          <w:rFonts w:ascii="宋体" w:hAnsi="宋体" w:eastAsia="宋体" w:cs="宋体"/>
          <w:b/>
          <w:bCs/>
          <w:color w:val="auto"/>
          <w:kern w:val="0"/>
          <w:sz w:val="20"/>
          <w:szCs w:val="20"/>
          <w:highlight w:val="none"/>
          <w:lang w:bidi="ar"/>
        </w:rPr>
        <w:t xml:space="preserve">（投资者可依据该编码在中国理财网 </w:t>
      </w:r>
      <w:r>
        <w:rPr>
          <w:rFonts w:ascii="Times New Roman" w:hAnsi="Times New Roman" w:eastAsia="宋体"/>
          <w:b/>
          <w:bCs/>
          <w:color w:val="auto"/>
          <w:kern w:val="0"/>
          <w:sz w:val="20"/>
          <w:szCs w:val="20"/>
          <w:highlight w:val="none"/>
          <w:lang w:bidi="ar"/>
        </w:rPr>
        <w:t xml:space="preserve">www.chinawealth.com.cn </w:t>
      </w:r>
      <w:r>
        <w:rPr>
          <w:rFonts w:ascii="宋体" w:hAnsi="宋体" w:eastAsia="宋体" w:cs="宋体"/>
          <w:b/>
          <w:bCs/>
          <w:color w:val="auto"/>
          <w:kern w:val="0"/>
          <w:sz w:val="20"/>
          <w:szCs w:val="20"/>
          <w:highlight w:val="none"/>
          <w:lang w:bidi="ar"/>
        </w:rPr>
        <w:t>查询产品信息）</w:t>
      </w:r>
    </w:p>
    <w:p w14:paraId="21316B27">
      <w:pPr>
        <w:widowControl/>
        <w:jc w:val="center"/>
        <w:rPr>
          <w:rFonts w:ascii="宋体" w:hAnsi="宋体" w:eastAsia="宋体" w:cs="宋体"/>
          <w:b/>
          <w:bCs/>
          <w:color w:val="auto"/>
          <w:kern w:val="0"/>
          <w:sz w:val="20"/>
          <w:szCs w:val="20"/>
          <w:highlight w:val="none"/>
          <w:lang w:bidi="ar"/>
        </w:rPr>
      </w:pPr>
    </w:p>
    <w:p w14:paraId="2309945C">
      <w:pPr>
        <w:pStyle w:val="2"/>
        <w:rPr>
          <w:rFonts w:hint="eastAsia"/>
          <w:color w:val="auto"/>
          <w:highlight w:val="none"/>
          <w:u w:val="none"/>
        </w:rPr>
      </w:pPr>
      <w:r>
        <w:rPr>
          <w:rFonts w:hint="eastAsia"/>
          <w:color w:val="auto"/>
          <w:highlight w:val="none"/>
          <w:u w:val="none"/>
        </w:rPr>
        <w:t>理财产品</w:t>
      </w:r>
      <w:r>
        <w:rPr>
          <w:rFonts w:hint="eastAsia"/>
          <w:color w:val="auto"/>
          <w:highlight w:val="none"/>
          <w:u w:val="none"/>
          <w:lang w:eastAsia="zh-CN"/>
        </w:rPr>
        <w:t>说明书关键要素</w:t>
      </w:r>
    </w:p>
    <w:tbl>
      <w:tblPr>
        <w:tblStyle w:val="16"/>
        <w:tblW w:w="9425" w:type="dxa"/>
        <w:tblInd w:w="533" w:type="dxa"/>
        <w:tblLayout w:type="fixed"/>
        <w:tblCellMar>
          <w:top w:w="0" w:type="dxa"/>
          <w:left w:w="108" w:type="dxa"/>
          <w:bottom w:w="0" w:type="dxa"/>
          <w:right w:w="108" w:type="dxa"/>
        </w:tblCellMar>
      </w:tblPr>
      <w:tblGrid>
        <w:gridCol w:w="2453"/>
        <w:gridCol w:w="6972"/>
      </w:tblGrid>
      <w:tr w14:paraId="33F4B7C6">
        <w:tblPrEx>
          <w:tblCellMar>
            <w:top w:w="0" w:type="dxa"/>
            <w:left w:w="108" w:type="dxa"/>
            <w:bottom w:w="0" w:type="dxa"/>
            <w:right w:w="108" w:type="dxa"/>
          </w:tblCellMar>
        </w:tblPrEx>
        <w:trPr>
          <w:trHeight w:val="1394" w:hRule="atLeast"/>
        </w:trPr>
        <w:tc>
          <w:tcPr>
            <w:tcW w:w="9425" w:type="dxa"/>
            <w:gridSpan w:val="2"/>
            <w:tcBorders>
              <w:top w:val="single" w:color="000000" w:sz="8" w:space="0"/>
              <w:left w:val="single" w:color="000000" w:sz="8" w:space="0"/>
              <w:bottom w:val="single" w:color="000000" w:sz="4" w:space="0"/>
              <w:right w:val="single" w:color="000000" w:sz="8" w:space="0"/>
            </w:tcBorders>
            <w:vAlign w:val="center"/>
          </w:tcPr>
          <w:p w14:paraId="219D8B46">
            <w:pPr>
              <w:widowControl/>
              <w:spacing w:line="600" w:lineRule="exact"/>
              <w:jc w:val="center"/>
              <w:textAlignment w:val="center"/>
              <w:rPr>
                <w:rFonts w:hint="eastAsia" w:ascii="方正小标宋简体" w:hAnsi="方正小标宋简体" w:eastAsia="方正小标宋简体" w:cs="方正小标宋简体"/>
                <w:color w:val="000000"/>
                <w:sz w:val="40"/>
                <w:szCs w:val="40"/>
                <w:highlight w:val="none"/>
              </w:rPr>
            </w:pPr>
            <w:r>
              <w:rPr>
                <w:rFonts w:hint="eastAsia" w:ascii="方正小标宋简体" w:hAnsi="方正小标宋简体" w:eastAsia="方正小标宋简体" w:cs="方正小标宋简体"/>
                <w:color w:val="000000"/>
                <w:kern w:val="0"/>
                <w:sz w:val="40"/>
                <w:szCs w:val="40"/>
                <w:highlight w:val="none"/>
                <w:lang w:bidi="ar"/>
              </w:rPr>
              <w:t>理财产品说明书关键要素</w:t>
            </w:r>
          </w:p>
        </w:tc>
      </w:tr>
      <w:tr w14:paraId="47CA608D">
        <w:tblPrEx>
          <w:tblCellMar>
            <w:top w:w="0" w:type="dxa"/>
            <w:left w:w="108" w:type="dxa"/>
            <w:bottom w:w="0" w:type="dxa"/>
            <w:right w:w="108" w:type="dxa"/>
          </w:tblCellMar>
        </w:tblPrEx>
        <w:trPr>
          <w:trHeight w:val="980" w:hRule="atLeast"/>
        </w:trPr>
        <w:tc>
          <w:tcPr>
            <w:tcW w:w="9425" w:type="dxa"/>
            <w:gridSpan w:val="2"/>
            <w:tcBorders>
              <w:top w:val="single" w:color="000000" w:sz="4" w:space="0"/>
              <w:left w:val="single" w:color="000000" w:sz="8" w:space="0"/>
              <w:bottom w:val="nil"/>
              <w:right w:val="single" w:color="000000" w:sz="8" w:space="0"/>
            </w:tcBorders>
            <w:vAlign w:val="center"/>
          </w:tcPr>
          <w:p w14:paraId="4E3AFB60">
            <w:pPr>
              <w:widowControl/>
              <w:spacing w:line="400" w:lineRule="exact"/>
              <w:jc w:val="center"/>
              <w:textAlignment w:val="center"/>
              <w:rPr>
                <w:rFonts w:hint="eastAsia" w:ascii="仿宋_GB2312" w:hAnsi="等线" w:eastAsia="仿宋_GB2312" w:cs="仿宋_GB2312"/>
                <w:color w:val="000000"/>
                <w:sz w:val="24"/>
                <w:highlight w:val="none"/>
              </w:rPr>
            </w:pPr>
            <w:r>
              <w:rPr>
                <w:rFonts w:hint="eastAsia" w:cs="仿宋_GB2312"/>
                <w:sz w:val="22"/>
                <w:szCs w:val="22"/>
                <w:highlight w:val="none"/>
                <w:lang w:bidi="ar"/>
              </w:rPr>
              <w:t>本表格提供本理财产品的重要信息，是理财产品说明书的一部分。</w:t>
            </w:r>
            <w:r>
              <w:rPr>
                <w:rFonts w:hint="eastAsia" w:cs="仿宋_GB2312"/>
                <w:sz w:val="22"/>
                <w:szCs w:val="22"/>
                <w:highlight w:val="none"/>
                <w:lang w:bidi="ar"/>
              </w:rPr>
              <w:br w:type="textWrapping"/>
            </w:r>
            <w:r>
              <w:rPr>
                <w:rFonts w:hint="eastAsia" w:cs="仿宋_GB2312"/>
                <w:sz w:val="22"/>
                <w:szCs w:val="22"/>
                <w:highlight w:val="none"/>
                <w:lang w:bidi="ar"/>
              </w:rPr>
              <w:t>作出投资决定前，请阅读完整的理财产品说明书等销售文件。</w:t>
            </w:r>
          </w:p>
        </w:tc>
      </w:tr>
      <w:tr w14:paraId="66D698D9">
        <w:tblPrEx>
          <w:tblCellMar>
            <w:top w:w="0" w:type="dxa"/>
            <w:left w:w="108" w:type="dxa"/>
            <w:bottom w:w="0" w:type="dxa"/>
            <w:right w:w="108" w:type="dxa"/>
          </w:tblCellMar>
        </w:tblPrEx>
        <w:trPr>
          <w:trHeight w:val="270" w:hRule="atLeast"/>
        </w:trPr>
        <w:tc>
          <w:tcPr>
            <w:tcW w:w="9425" w:type="dxa"/>
            <w:gridSpan w:val="2"/>
            <w:tcBorders>
              <w:top w:val="single" w:color="000000" w:sz="4" w:space="0"/>
              <w:left w:val="single" w:color="000000" w:sz="8" w:space="0"/>
              <w:bottom w:val="single" w:color="auto" w:sz="4" w:space="0"/>
              <w:right w:val="single" w:color="000000" w:sz="8" w:space="0"/>
            </w:tcBorders>
            <w:vAlign w:val="center"/>
          </w:tcPr>
          <w:p w14:paraId="39E6D06C">
            <w:pPr>
              <w:widowControl/>
              <w:spacing w:line="400" w:lineRule="exact"/>
              <w:jc w:val="center"/>
              <w:textAlignment w:val="center"/>
              <w:rPr>
                <w:rFonts w:hint="eastAsia" w:ascii="楷体_GB2312" w:hAnsi="等线" w:eastAsia="楷体_GB2312" w:cs="楷体_GB2312"/>
                <w:b/>
                <w:bCs/>
                <w:color w:val="000000"/>
                <w:sz w:val="24"/>
                <w:highlight w:val="none"/>
              </w:rPr>
            </w:pPr>
            <w:r>
              <w:rPr>
                <w:rFonts w:hint="eastAsia" w:ascii="楷体_GB2312" w:hAnsi="等线" w:eastAsia="楷体_GB2312" w:cs="楷体_GB2312"/>
                <w:b/>
                <w:bCs/>
                <w:color w:val="000000"/>
                <w:kern w:val="0"/>
                <w:sz w:val="24"/>
                <w:highlight w:val="none"/>
                <w:lang w:bidi="ar"/>
              </w:rPr>
              <w:t>（一）理财产品基本信息</w:t>
            </w:r>
          </w:p>
        </w:tc>
      </w:tr>
      <w:tr w14:paraId="4D1B661A">
        <w:tblPrEx>
          <w:tblCellMar>
            <w:top w:w="0" w:type="dxa"/>
            <w:left w:w="108" w:type="dxa"/>
            <w:bottom w:w="0" w:type="dxa"/>
            <w:right w:w="108" w:type="dxa"/>
          </w:tblCellMar>
        </w:tblPrEx>
        <w:trPr>
          <w:trHeight w:val="810" w:hRule="atLeast"/>
        </w:trPr>
        <w:tc>
          <w:tcPr>
            <w:tcW w:w="2453" w:type="dxa"/>
            <w:tcBorders>
              <w:top w:val="single" w:color="auto" w:sz="4" w:space="0"/>
              <w:left w:val="single" w:color="auto" w:sz="4" w:space="0"/>
              <w:bottom w:val="single" w:color="auto" w:sz="4" w:space="0"/>
              <w:right w:val="single" w:color="auto" w:sz="4" w:space="0"/>
            </w:tcBorders>
            <w:vAlign w:val="center"/>
          </w:tcPr>
          <w:p w14:paraId="51B29FF6">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产品登记编码</w:t>
            </w:r>
          </w:p>
        </w:tc>
        <w:tc>
          <w:tcPr>
            <w:tcW w:w="6972" w:type="dxa"/>
            <w:tcBorders>
              <w:top w:val="single" w:color="auto" w:sz="4" w:space="0"/>
              <w:left w:val="single" w:color="auto" w:sz="4" w:space="0"/>
              <w:bottom w:val="single" w:color="auto" w:sz="4" w:space="0"/>
              <w:right w:val="single" w:color="auto" w:sz="4" w:space="0"/>
            </w:tcBorders>
            <w:vAlign w:val="center"/>
          </w:tcPr>
          <w:p w14:paraId="70375B70">
            <w:pPr>
              <w:widowControl/>
              <w:spacing w:line="400" w:lineRule="exact"/>
              <w:jc w:val="left"/>
              <w:textAlignment w:val="center"/>
              <w:rPr>
                <w:rFonts w:hint="eastAsia" w:ascii="宋体" w:hAnsi="宋体" w:eastAsia="仿宋_GB2312"/>
                <w:color w:val="auto"/>
                <w:szCs w:val="24"/>
                <w:highlight w:val="none"/>
                <w:u w:val="none"/>
                <w:lang w:eastAsia="zh-CN"/>
              </w:rPr>
            </w:pPr>
            <w:r>
              <w:rPr>
                <w:rFonts w:hint="eastAsia" w:ascii="宋体" w:hAnsi="宋体"/>
                <w:color w:val="auto"/>
                <w:szCs w:val="24"/>
                <w:highlight w:val="none"/>
                <w:u w:val="none"/>
                <w:lang w:eastAsia="zh-CN"/>
              </w:rPr>
              <w:t>Z7011826000376</w:t>
            </w:r>
          </w:p>
          <w:p w14:paraId="0A7922CB">
            <w:pPr>
              <w:widowControl/>
              <w:spacing w:line="400" w:lineRule="exact"/>
              <w:jc w:val="left"/>
              <w:textAlignment w:val="center"/>
              <w:rPr>
                <w:rFonts w:hint="eastAsia" w:ascii="仿宋_GB2312" w:hAnsi="等线" w:eastAsia="仿宋_GB2312" w:cs="仿宋_GB2312"/>
                <w:color w:val="000000" w:themeColor="text1"/>
                <w:kern w:val="0"/>
                <w:sz w:val="24"/>
                <w:highlight w:val="none"/>
                <w:lang w:bidi="ar"/>
                <w14:textFill>
                  <w14:solidFill>
                    <w14:schemeClr w14:val="tx1"/>
                  </w14:solidFill>
                </w14:textFill>
              </w:rPr>
            </w:pPr>
            <w:r>
              <w:rPr>
                <w:rFonts w:hint="eastAsia" w:ascii="仿宋_GB2312" w:hAnsi="仿宋_GB2312" w:cs="仿宋_GB2312"/>
                <w:sz w:val="22"/>
                <w:szCs w:val="22"/>
                <w:highlight w:val="none"/>
                <w:lang w:bidi="ar"/>
              </w:rPr>
              <w:t>（重要提示：可依据该登记编码在中国理财网www.chinawealth.com.cn查询产品信息）</w:t>
            </w:r>
          </w:p>
        </w:tc>
      </w:tr>
      <w:tr w14:paraId="428B8AC7">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7280B8E4">
            <w:pPr>
              <w:widowControl/>
              <w:spacing w:line="400" w:lineRule="exact"/>
              <w:jc w:val="center"/>
              <w:textAlignment w:val="center"/>
              <w:rPr>
                <w:rFonts w:hint="eastAsia" w:ascii="仿宋_GB2312" w:hAnsi="等线" w:cs="仿宋_GB2312"/>
                <w:color w:val="000000" w:themeColor="text1"/>
                <w:kern w:val="0"/>
                <w:sz w:val="24"/>
                <w:highlight w:val="none"/>
                <w:lang w:eastAsia="zh-CN" w:bidi="ar"/>
                <w14:textFill>
                  <w14:solidFill>
                    <w14:schemeClr w14:val="tx1"/>
                  </w14:solidFill>
                </w14:textFill>
              </w:rPr>
            </w:pPr>
            <w:r>
              <w:rPr>
                <w:rFonts w:hint="eastAsia" w:ascii="仿宋_GB2312" w:hAnsi="等线" w:cs="仿宋_GB2312"/>
                <w:color w:val="000000" w:themeColor="text1"/>
                <w:kern w:val="0"/>
                <w:sz w:val="24"/>
                <w:highlight w:val="none"/>
                <w:lang w:eastAsia="zh-CN" w:bidi="ar"/>
                <w14:textFill>
                  <w14:solidFill>
                    <w14:schemeClr w14:val="tx1"/>
                  </w14:solidFill>
                </w14:textFill>
              </w:rPr>
              <w:t>产品代码</w:t>
            </w:r>
          </w:p>
        </w:tc>
        <w:tc>
          <w:tcPr>
            <w:tcW w:w="6972" w:type="dxa"/>
            <w:tcBorders>
              <w:top w:val="single" w:color="auto" w:sz="4" w:space="0"/>
              <w:left w:val="single" w:color="auto" w:sz="4" w:space="0"/>
              <w:bottom w:val="single" w:color="auto" w:sz="4" w:space="0"/>
              <w:right w:val="single" w:color="auto" w:sz="4" w:space="0"/>
            </w:tcBorders>
            <w:vAlign w:val="center"/>
          </w:tcPr>
          <w:p w14:paraId="2DF1F913">
            <w:pPr>
              <w:widowControl/>
              <w:spacing w:line="400" w:lineRule="exact"/>
              <w:jc w:val="left"/>
              <w:textAlignment w:val="center"/>
              <w:rPr>
                <w:rFonts w:hint="eastAsia" w:ascii="宋体" w:hAnsi="宋体"/>
                <w:color w:val="auto"/>
                <w:szCs w:val="24"/>
                <w:highlight w:val="none"/>
                <w:u w:val="none"/>
              </w:rPr>
            </w:pPr>
            <w:r>
              <w:rPr>
                <w:rFonts w:hint="eastAsia" w:ascii="宋体" w:hAnsi="宋体"/>
                <w:color w:val="auto"/>
                <w:szCs w:val="24"/>
                <w:highlight w:val="none"/>
                <w:u w:val="none"/>
                <w:lang w:eastAsia="zh-CN"/>
              </w:rPr>
              <w:t>ZYFCG0279</w:t>
            </w:r>
            <w:r>
              <w:rPr>
                <w:rFonts w:hint="eastAsia" w:ascii="宋体" w:hAnsi="宋体"/>
                <w:color w:val="auto"/>
                <w:szCs w:val="24"/>
                <w:highlight w:val="none"/>
                <w:u w:val="none"/>
              </w:rPr>
              <w:t>0</w:t>
            </w:r>
          </w:p>
        </w:tc>
      </w:tr>
      <w:tr w14:paraId="36189232">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2F28D6E0">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cs="仿宋_GB2312"/>
                <w:color w:val="000000" w:themeColor="text1"/>
                <w:kern w:val="0"/>
                <w:sz w:val="24"/>
                <w:highlight w:val="none"/>
                <w:lang w:eastAsia="zh-CN" w:bidi="ar"/>
                <w14:textFill>
                  <w14:solidFill>
                    <w14:schemeClr w14:val="tx1"/>
                  </w14:solidFill>
                </w14:textFill>
              </w:rPr>
              <w:t>理财</w:t>
            </w:r>
            <w:r>
              <w:rPr>
                <w:rFonts w:hint="eastAsia" w:ascii="仿宋_GB2312" w:hAnsi="等线" w:eastAsia="仿宋_GB2312" w:cs="仿宋_GB2312"/>
                <w:color w:val="000000" w:themeColor="text1"/>
                <w:kern w:val="0"/>
                <w:sz w:val="24"/>
                <w:highlight w:val="none"/>
                <w:lang w:bidi="ar"/>
                <w14:textFill>
                  <w14:solidFill>
                    <w14:schemeClr w14:val="tx1"/>
                  </w14:solidFill>
                </w14:textFill>
              </w:rPr>
              <w:t>产品名称</w:t>
            </w:r>
          </w:p>
        </w:tc>
        <w:tc>
          <w:tcPr>
            <w:tcW w:w="6972" w:type="dxa"/>
            <w:tcBorders>
              <w:top w:val="single" w:color="auto" w:sz="4" w:space="0"/>
              <w:left w:val="single" w:color="auto" w:sz="4" w:space="0"/>
              <w:bottom w:val="single" w:color="auto" w:sz="4" w:space="0"/>
              <w:right w:val="single" w:color="auto" w:sz="4" w:space="0"/>
            </w:tcBorders>
            <w:vAlign w:val="center"/>
          </w:tcPr>
          <w:p w14:paraId="4CC82AA3">
            <w:pPr>
              <w:widowControl/>
              <w:spacing w:line="400" w:lineRule="exact"/>
              <w:jc w:val="left"/>
              <w:textAlignment w:val="center"/>
              <w:rPr>
                <w:rFonts w:hint="eastAsia" w:ascii="仿宋_GB2312" w:hAnsi="等线" w:eastAsia="仿宋_GB2312" w:cs="仿宋_GB2312"/>
                <w:bCs/>
                <w:color w:val="000000" w:themeColor="text1"/>
                <w:sz w:val="24"/>
                <w:highlight w:val="none"/>
                <w14:textFill>
                  <w14:solidFill>
                    <w14:schemeClr w14:val="tx1"/>
                  </w14:solidFill>
                </w14:textFill>
              </w:rPr>
            </w:pPr>
            <w:r>
              <w:rPr>
                <w:rFonts w:hint="eastAsia" w:ascii="宋体" w:hAnsi="宋体"/>
                <w:color w:val="auto"/>
                <w:szCs w:val="24"/>
                <w:highlight w:val="none"/>
                <w:u w:val="none"/>
              </w:rPr>
              <w:t>浙银理财琮简</w:t>
            </w:r>
            <w:r>
              <w:rPr>
                <w:rFonts w:hint="eastAsia" w:ascii="宋体" w:hAnsi="宋体"/>
                <w:color w:val="auto"/>
                <w:szCs w:val="24"/>
                <w:highlight w:val="none"/>
                <w:u w:val="none"/>
                <w:lang w:eastAsia="zh-CN"/>
              </w:rPr>
              <w:t>富春286号</w:t>
            </w:r>
            <w:r>
              <w:rPr>
                <w:rFonts w:hint="eastAsia" w:ascii="宋体" w:hAnsi="宋体"/>
                <w:color w:val="auto"/>
                <w:szCs w:val="24"/>
                <w:highlight w:val="none"/>
                <w:u w:val="none"/>
              </w:rPr>
              <w:t>理财产品</w:t>
            </w:r>
          </w:p>
        </w:tc>
      </w:tr>
      <w:tr w14:paraId="40A3119D">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67AD5FFA">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份额代码</w:t>
            </w:r>
          </w:p>
        </w:tc>
        <w:tc>
          <w:tcPr>
            <w:tcW w:w="6972" w:type="dxa"/>
            <w:tcBorders>
              <w:top w:val="single" w:color="auto" w:sz="4" w:space="0"/>
              <w:left w:val="single" w:color="auto" w:sz="4" w:space="0"/>
              <w:bottom w:val="single" w:color="auto" w:sz="4" w:space="0"/>
              <w:right w:val="single" w:color="auto" w:sz="4" w:space="0"/>
            </w:tcBorders>
            <w:vAlign w:val="center"/>
          </w:tcPr>
          <w:p w14:paraId="6884CE6B">
            <w:pPr>
              <w:snapToGrid w:val="0"/>
              <w:jc w:val="left"/>
              <w:rPr>
                <w:rFonts w:hint="eastAsia" w:ascii="宋体" w:hAnsi="宋体" w:cs="宋体"/>
                <w:color w:val="auto"/>
                <w:kern w:val="0"/>
                <w:szCs w:val="24"/>
                <w:highlight w:val="none"/>
              </w:rPr>
            </w:pPr>
            <w:r>
              <w:rPr>
                <w:rFonts w:hint="eastAsia" w:ascii="宋体" w:hAnsi="宋体" w:cs="宋体"/>
                <w:color w:val="auto"/>
                <w:kern w:val="0"/>
                <w:szCs w:val="24"/>
                <w:highlight w:val="none"/>
              </w:rPr>
              <w:t>本产品根据投资者购买理财产品的金额、销售渠道、客户类型等因素设置不同的产品份额类别，各类产品份额可能分别设置不同的销售名称、</w:t>
            </w:r>
            <w:r>
              <w:rPr>
                <w:rFonts w:hint="eastAsia" w:ascii="宋体" w:hAnsi="宋体" w:cs="宋体"/>
                <w:color w:val="auto"/>
                <w:kern w:val="0"/>
                <w:szCs w:val="24"/>
                <w:highlight w:val="none"/>
                <w:lang w:eastAsia="zh-CN"/>
              </w:rPr>
              <w:t>份额</w:t>
            </w:r>
            <w:r>
              <w:rPr>
                <w:rFonts w:hint="eastAsia" w:ascii="宋体" w:hAnsi="宋体" w:cs="宋体"/>
                <w:color w:val="auto"/>
                <w:kern w:val="0"/>
                <w:szCs w:val="24"/>
                <w:highlight w:val="none"/>
              </w:rPr>
              <w:t>代码、销售渠道、销售</w:t>
            </w:r>
            <w:r>
              <w:rPr>
                <w:rFonts w:hint="eastAsia" w:ascii="宋体" w:hAnsi="宋体" w:cs="宋体"/>
                <w:color w:val="auto"/>
                <w:kern w:val="0"/>
                <w:szCs w:val="24"/>
                <w:highlight w:val="none"/>
                <w:lang w:eastAsia="zh-CN"/>
              </w:rPr>
              <w:t>对象</w:t>
            </w:r>
            <w:r>
              <w:rPr>
                <w:rFonts w:hint="eastAsia" w:ascii="宋体" w:hAnsi="宋体" w:cs="宋体"/>
                <w:color w:val="auto"/>
                <w:kern w:val="0"/>
                <w:szCs w:val="24"/>
                <w:highlight w:val="none"/>
              </w:rPr>
              <w:t>、销售服务费率、收费方式、业绩比较基准、</w:t>
            </w:r>
            <w:r>
              <w:rPr>
                <w:rFonts w:hint="eastAsia" w:ascii="宋体" w:hAnsi="宋体" w:cs="宋体"/>
                <w:color w:val="auto"/>
                <w:kern w:val="0"/>
                <w:szCs w:val="24"/>
                <w:highlight w:val="none"/>
                <w:lang w:eastAsia="zh-CN"/>
              </w:rPr>
              <w:t>起点销售</w:t>
            </w:r>
            <w:r>
              <w:rPr>
                <w:rFonts w:hint="eastAsia" w:ascii="宋体" w:hAnsi="宋体" w:cs="宋体"/>
                <w:color w:val="auto"/>
                <w:kern w:val="0"/>
                <w:szCs w:val="24"/>
                <w:highlight w:val="none"/>
              </w:rPr>
              <w:t>金额</w:t>
            </w:r>
            <w:r>
              <w:rPr>
                <w:rFonts w:hint="eastAsia" w:ascii="仿宋_GB2312" w:hAnsi="宋体" w:cs="宋体"/>
                <w:color w:val="auto"/>
                <w:kern w:val="0"/>
                <w:szCs w:val="24"/>
                <w:highlight w:val="none"/>
              </w:rPr>
              <w:t>及</w:t>
            </w:r>
            <w:r>
              <w:rPr>
                <w:rFonts w:hint="eastAsia" w:ascii="仿宋_GB2312" w:hAnsi="宋体" w:cs="宋体"/>
                <w:color w:val="auto"/>
                <w:kern w:val="0"/>
                <w:szCs w:val="24"/>
                <w:highlight w:val="none"/>
                <w:lang w:eastAsia="zh-CN"/>
              </w:rPr>
              <w:t>追加</w:t>
            </w:r>
            <w:r>
              <w:rPr>
                <w:rFonts w:hint="eastAsia" w:ascii="仿宋_GB2312" w:hAnsi="宋体" w:cs="宋体"/>
                <w:color w:val="auto"/>
                <w:kern w:val="0"/>
                <w:szCs w:val="24"/>
                <w:highlight w:val="none"/>
              </w:rPr>
              <w:t>递增金额</w:t>
            </w:r>
            <w:r>
              <w:rPr>
                <w:rFonts w:hint="eastAsia" w:ascii="宋体" w:hAnsi="宋体" w:cs="宋体"/>
                <w:color w:val="auto"/>
                <w:kern w:val="0"/>
                <w:szCs w:val="24"/>
                <w:highlight w:val="none"/>
              </w:rPr>
              <w:t>、认</w:t>
            </w:r>
            <w:r>
              <w:rPr>
                <w:rFonts w:ascii="宋体" w:hAnsi="宋体" w:cs="宋体"/>
                <w:color w:val="auto"/>
                <w:kern w:val="0"/>
                <w:szCs w:val="24"/>
                <w:highlight w:val="none"/>
              </w:rPr>
              <w:t>/</w:t>
            </w:r>
            <w:r>
              <w:rPr>
                <w:rFonts w:hint="eastAsia" w:ascii="宋体" w:hAnsi="宋体" w:cs="宋体"/>
                <w:color w:val="auto"/>
                <w:kern w:val="0"/>
                <w:szCs w:val="24"/>
                <w:highlight w:val="none"/>
              </w:rPr>
              <w:t>申购上限</w:t>
            </w:r>
            <w:r>
              <w:rPr>
                <w:rFonts w:ascii="宋体" w:hAnsi="宋体" w:cs="宋体"/>
                <w:color w:val="auto"/>
                <w:kern w:val="0"/>
                <w:szCs w:val="24"/>
                <w:highlight w:val="none"/>
              </w:rPr>
              <w:t>金额、</w:t>
            </w:r>
            <w:r>
              <w:rPr>
                <w:rFonts w:hint="eastAsia" w:ascii="宋体" w:hAnsi="宋体" w:cs="宋体"/>
                <w:color w:val="auto"/>
                <w:kern w:val="0"/>
                <w:szCs w:val="24"/>
                <w:highlight w:val="none"/>
              </w:rPr>
              <w:t>认</w:t>
            </w:r>
            <w:r>
              <w:rPr>
                <w:rFonts w:ascii="宋体" w:hAnsi="宋体" w:cs="宋体"/>
                <w:color w:val="auto"/>
                <w:kern w:val="0"/>
                <w:szCs w:val="24"/>
                <w:highlight w:val="none"/>
              </w:rPr>
              <w:t>/</w:t>
            </w:r>
            <w:r>
              <w:rPr>
                <w:rFonts w:hint="eastAsia" w:ascii="宋体" w:hAnsi="宋体" w:cs="宋体"/>
                <w:color w:val="auto"/>
                <w:kern w:val="0"/>
                <w:szCs w:val="24"/>
                <w:highlight w:val="none"/>
              </w:rPr>
              <w:t>申购和赎回数量限制、持有金额上/下限</w:t>
            </w:r>
            <w:r>
              <w:rPr>
                <w:rFonts w:hint="eastAsia"/>
                <w:color w:val="auto"/>
                <w:highlight w:val="none"/>
              </w:rPr>
              <w:t>、单一投资者持有份额占比上限、产品规模上限</w:t>
            </w:r>
            <w:r>
              <w:rPr>
                <w:rFonts w:hint="eastAsia" w:ascii="宋体" w:hAnsi="宋体" w:cs="宋体"/>
                <w:color w:val="auto"/>
                <w:kern w:val="0"/>
                <w:szCs w:val="24"/>
                <w:highlight w:val="none"/>
              </w:rPr>
              <w:t>等要素，并分别计算和公告各类产品份额单位净值，具体以对应的理财产品销售文件约定为准。</w:t>
            </w:r>
          </w:p>
          <w:p w14:paraId="4F7B480E">
            <w:pPr>
              <w:snapToGrid w:val="0"/>
              <w:jc w:val="left"/>
              <w:rPr>
                <w:rFonts w:hint="eastAsia" w:ascii="宋体" w:hAnsi="宋体" w:eastAsia="仿宋_GB2312" w:cs="宋体"/>
                <w:kern w:val="0"/>
                <w:szCs w:val="24"/>
                <w:highlight w:val="none"/>
                <w:lang w:eastAsia="zh-CN"/>
              </w:rPr>
            </w:pPr>
            <w:r>
              <w:rPr>
                <w:rFonts w:hint="eastAsia" w:ascii="宋体" w:hAnsi="宋体" w:cs="宋体"/>
                <w:color w:val="auto"/>
                <w:kern w:val="0"/>
                <w:szCs w:val="24"/>
                <w:highlight w:val="none"/>
              </w:rPr>
              <w:t>投资者可根据实际情况自行选择认/申购的产品份额类别。</w:t>
            </w:r>
          </w:p>
          <w:p w14:paraId="2A2313BC">
            <w:pPr>
              <w:widowControl/>
              <w:spacing w:line="400" w:lineRule="exact"/>
              <w:jc w:val="left"/>
              <w:textAlignment w:val="center"/>
              <w:rPr>
                <w:rFonts w:hint="eastAsia" w:ascii="宋体" w:hAnsi="宋体" w:eastAsia="仿宋_GB2312" w:cstheme="minorBidi"/>
                <w:bCs w:val="0"/>
                <w:color w:val="auto"/>
                <w:kern w:val="2"/>
                <w:sz w:val="24"/>
                <w:szCs w:val="24"/>
                <w:highlight w:val="none"/>
                <w:u w:val="none"/>
                <w:lang w:bidi="ar"/>
              </w:rPr>
            </w:pPr>
            <w:r>
              <w:rPr>
                <w:rFonts w:hint="eastAsia" w:ascii="宋体" w:hAnsi="宋体" w:cs="宋体"/>
                <w:b/>
                <w:bCs/>
                <w:color w:val="auto"/>
                <w:kern w:val="0"/>
                <w:szCs w:val="24"/>
                <w:highlight w:val="none"/>
              </w:rPr>
              <w:t>产品管理人有权在本理财产品项下增设</w:t>
            </w:r>
            <w:r>
              <w:rPr>
                <w:rFonts w:hint="eastAsia" w:ascii="宋体" w:hAnsi="宋体" w:cs="宋体"/>
                <w:b/>
                <w:bCs/>
                <w:color w:val="auto"/>
                <w:kern w:val="0"/>
                <w:szCs w:val="24"/>
                <w:highlight w:val="none"/>
                <w:lang w:val="en-US" w:eastAsia="zh-CN"/>
              </w:rPr>
              <w:t>/终止</w:t>
            </w:r>
            <w:r>
              <w:rPr>
                <w:rFonts w:hint="eastAsia" w:ascii="宋体" w:hAnsi="宋体" w:cs="宋体"/>
                <w:b/>
                <w:bCs/>
                <w:color w:val="auto"/>
                <w:kern w:val="0"/>
                <w:szCs w:val="24"/>
                <w:highlight w:val="none"/>
              </w:rPr>
              <w:t>产品份额类别，届时，产品管理人将依据本理财产品销售文件的约定进行信息披露。</w:t>
            </w:r>
          </w:p>
          <w:p w14:paraId="45987A64">
            <w:pPr>
              <w:widowControl/>
              <w:spacing w:line="400" w:lineRule="exact"/>
              <w:jc w:val="both"/>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A类份额：份额代码ZYFCG0279A</w:t>
            </w:r>
          </w:p>
          <w:p w14:paraId="2C137F06">
            <w:pPr>
              <w:widowControl/>
              <w:spacing w:line="400" w:lineRule="exact"/>
              <w:jc w:val="both"/>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B类份额：份额代码ZYFCG0279B</w:t>
            </w:r>
          </w:p>
          <w:p w14:paraId="128A585F">
            <w:pPr>
              <w:widowControl/>
              <w:spacing w:line="400" w:lineRule="exact"/>
              <w:jc w:val="both"/>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C类份额：份额代码ZYFCG0279C</w:t>
            </w:r>
          </w:p>
          <w:p w14:paraId="791BC5D3">
            <w:pPr>
              <w:widowControl/>
              <w:spacing w:line="400" w:lineRule="exact"/>
              <w:jc w:val="both"/>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D类份额：份额代码ZYFCG0279D</w:t>
            </w:r>
          </w:p>
          <w:p w14:paraId="4F728284">
            <w:pPr>
              <w:widowControl/>
              <w:spacing w:line="400" w:lineRule="exact"/>
              <w:jc w:val="both"/>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E类份额：份额代码ZYFCG0279E</w:t>
            </w:r>
          </w:p>
          <w:p w14:paraId="34448897">
            <w:pPr>
              <w:widowControl/>
              <w:spacing w:line="400" w:lineRule="exact"/>
              <w:jc w:val="both"/>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F类份额：份额代码ZYFCG0279F</w:t>
            </w:r>
          </w:p>
          <w:p w14:paraId="7428B4CB">
            <w:pPr>
              <w:widowControl/>
              <w:spacing w:line="400" w:lineRule="exact"/>
              <w:jc w:val="both"/>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G类份额：份额代码ZYFCG0279G</w:t>
            </w:r>
          </w:p>
          <w:p w14:paraId="4C9D88E8">
            <w:pPr>
              <w:widowControl/>
              <w:spacing w:line="400" w:lineRule="exact"/>
              <w:jc w:val="both"/>
              <w:textAlignment w:val="center"/>
              <w:rPr>
                <w:rFonts w:hint="default"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H类份额：份额代码ZYFCG0279H</w:t>
            </w:r>
          </w:p>
        </w:tc>
      </w:tr>
      <w:tr w14:paraId="697529AB">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4AE77825">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发行机构名称</w:t>
            </w:r>
          </w:p>
        </w:tc>
        <w:tc>
          <w:tcPr>
            <w:tcW w:w="6972" w:type="dxa"/>
            <w:tcBorders>
              <w:top w:val="single" w:color="auto" w:sz="4" w:space="0"/>
              <w:left w:val="single" w:color="auto" w:sz="4" w:space="0"/>
              <w:bottom w:val="single" w:color="auto" w:sz="4" w:space="0"/>
              <w:right w:val="single" w:color="auto" w:sz="4" w:space="0"/>
            </w:tcBorders>
            <w:vAlign w:val="center"/>
          </w:tcPr>
          <w:p w14:paraId="2CF90D04">
            <w:pPr>
              <w:widowControl/>
              <w:spacing w:line="400" w:lineRule="exact"/>
              <w:jc w:val="left"/>
              <w:textAlignment w:val="center"/>
              <w:rPr>
                <w:rFonts w:hint="eastAsia" w:ascii="仿宋_GB2312" w:hAnsi="等线" w:eastAsia="仿宋_GB2312" w:cs="仿宋_GB2312"/>
                <w:bCs/>
                <w:color w:val="000000" w:themeColor="text1"/>
                <w:sz w:val="24"/>
                <w:highlight w:val="none"/>
                <w14:textFill>
                  <w14:solidFill>
                    <w14:schemeClr w14:val="tx1"/>
                  </w14:solidFill>
                </w14:textFill>
              </w:rPr>
            </w:pPr>
            <w:r>
              <w:rPr>
                <w:rFonts w:hint="eastAsia" w:ascii="宋体" w:hAnsi="宋体"/>
                <w:color w:val="auto"/>
                <w:szCs w:val="24"/>
                <w:highlight w:val="none"/>
                <w:u w:val="none"/>
                <w:lang w:eastAsia="zh-CN"/>
              </w:rPr>
              <w:t>浙银理财有限责任公司</w:t>
            </w:r>
          </w:p>
        </w:tc>
      </w:tr>
      <w:tr w14:paraId="0273B9F9">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4ECC6F72">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销售机构名称</w:t>
            </w:r>
          </w:p>
        </w:tc>
        <w:tc>
          <w:tcPr>
            <w:tcW w:w="6972" w:type="dxa"/>
            <w:tcBorders>
              <w:top w:val="single" w:color="auto" w:sz="4" w:space="0"/>
              <w:left w:val="single" w:color="auto" w:sz="4" w:space="0"/>
              <w:bottom w:val="single" w:color="auto" w:sz="4" w:space="0"/>
              <w:right w:val="single" w:color="auto" w:sz="4" w:space="0"/>
            </w:tcBorders>
            <w:vAlign w:val="center"/>
          </w:tcPr>
          <w:p w14:paraId="3252F184">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嘉兴银行股份有限公司:ZYFCG0279A</w:t>
            </w:r>
          </w:p>
          <w:p w14:paraId="389B17DE">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浙江长兴农村商业银行股份有限公司:ZYFCG0279A</w:t>
            </w:r>
          </w:p>
          <w:p w14:paraId="764B8B22">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浙江岱山农村商业银行股份有限公司:ZYFCG0279A</w:t>
            </w:r>
          </w:p>
          <w:p w14:paraId="2291AEF8">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浙江遂昌农村商业银行股份有限公司:ZYFCG0279A</w:t>
            </w:r>
          </w:p>
          <w:p w14:paraId="59684B8C">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浙江台州路桥农村商业银行股份有限公司:ZYFCG0279A</w:t>
            </w:r>
          </w:p>
          <w:p w14:paraId="5A94EB5C">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浙江临海农村商业银行股份有限公司:ZYFCG0279A</w:t>
            </w:r>
          </w:p>
          <w:p w14:paraId="22420E33">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浙江龙游农村商业银行股份有限公司:ZYFCG0279A</w:t>
            </w:r>
          </w:p>
          <w:p w14:paraId="7B139B49">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浙江仙居农村商业银行股份有限公司:ZYFCG0279A</w:t>
            </w:r>
          </w:p>
          <w:p w14:paraId="13B8CC77">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浙江温岭农村商业银行股份有限公司:ZYFCG0279A</w:t>
            </w:r>
          </w:p>
          <w:p w14:paraId="37EC4DFA">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浙江开化农村商业银行股份有限公司:ZYFCG0279A</w:t>
            </w:r>
          </w:p>
          <w:p w14:paraId="19EB8DF3">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浙江杭州余杭农村商业银行股份有限公司:ZYFCG0279A</w:t>
            </w:r>
          </w:p>
          <w:p w14:paraId="3B6A8878">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浙江云和农村商业银行股份有限公司:ZYFCG0279A</w:t>
            </w:r>
          </w:p>
          <w:p w14:paraId="719ABC09">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浙江富阳农村商业银行股份有限公司:ZYFCG0279A</w:t>
            </w:r>
          </w:p>
          <w:p w14:paraId="2EB0CCF6">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浙江嵊州农村商业银行股份有限公司:ZYFCG0279A</w:t>
            </w:r>
          </w:p>
          <w:p w14:paraId="457F0D73">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浙江舟山普陀农村商业银行股份有限公司:ZYFCG0279A</w:t>
            </w:r>
          </w:p>
          <w:p w14:paraId="7F547A12">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浙江庆元农村商业银行股份有限公司:ZYFCG0279A</w:t>
            </w:r>
          </w:p>
          <w:p w14:paraId="73763574">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浙江永嘉农村商业银行股份有限公司:ZYFCG0279A</w:t>
            </w:r>
          </w:p>
          <w:p w14:paraId="0C041391">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宁波北仑农村商业银行股份有限公司:ZYFCG0279A</w:t>
            </w:r>
          </w:p>
          <w:p w14:paraId="15C597DC">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浙江青田农村商业银行股份有限公司:ZYFCG0279A</w:t>
            </w:r>
          </w:p>
          <w:p w14:paraId="3B50EB71">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浙江天台农村商业银行股份有限公司:ZYFCG0279A</w:t>
            </w:r>
          </w:p>
          <w:p w14:paraId="1B5E1EDE">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浙江玉环农村商业银行股份有限公司:ZYFCG0279B</w:t>
            </w:r>
          </w:p>
          <w:p w14:paraId="57E693A4">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浙江岱山农村商业银行股份有限公司:ZYFCG0279B</w:t>
            </w:r>
          </w:p>
          <w:p w14:paraId="368B59D6">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浙江衢州衢江农村商业银行股份有限公司:ZYFCG0279B</w:t>
            </w:r>
          </w:p>
          <w:p w14:paraId="7B70CA2D">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浙江禾城农村商业银行股份有限公司:ZYFCG0279B</w:t>
            </w:r>
          </w:p>
          <w:p w14:paraId="110FB27B">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浙江舟山普陀农村商业银行股份有限公司:ZYFCG0279B</w:t>
            </w:r>
          </w:p>
          <w:p w14:paraId="7AAA6B14">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浙江平湖农村商业银行股份有限公司:ZYFCG0279B</w:t>
            </w:r>
          </w:p>
          <w:p w14:paraId="1DC5E299">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浙江海盐农村商业银行股份有限公司:ZYFCG0279B</w:t>
            </w:r>
          </w:p>
          <w:p w14:paraId="324BCE53">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浙江萧山农村商业银行股份有限公司:ZYFCG0279B</w:t>
            </w:r>
          </w:p>
          <w:p w14:paraId="117930F9">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浙江嵊泗农村商业银行股份有限公司:ZYFCG0279B</w:t>
            </w:r>
          </w:p>
          <w:p w14:paraId="0CC48231">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浙江台州椒江农村商业银行股份有限公司:ZYFCG0279B</w:t>
            </w:r>
          </w:p>
          <w:p w14:paraId="5A86FEA5">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浙江台州黄岩农村商业银行股份有限公司:ZYFCG0279B</w:t>
            </w:r>
          </w:p>
          <w:p w14:paraId="07374520">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浙江诸暨农村商业银行股份有限公司:ZYFCG0279B</w:t>
            </w:r>
          </w:p>
          <w:p w14:paraId="129B2677">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浙江东阳农村商业银行股份有限公司:ZYFCG0279B</w:t>
            </w:r>
          </w:p>
          <w:p w14:paraId="0A644FFF">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浙江桐庐农村商业银行股份有限公司:ZYFCG0279B</w:t>
            </w:r>
          </w:p>
          <w:p w14:paraId="1418679C">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浙江舟山定海海洋农村商业银行股份有限公司:ZYFCG0279B</w:t>
            </w:r>
          </w:p>
          <w:p w14:paraId="0F4C94D2">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宁波象山农村商业银行股份有限公司:ZYFCG0279B</w:t>
            </w:r>
          </w:p>
          <w:p w14:paraId="7006A485">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浙江永康农村商业银行股份有限公司:ZYFCG0279B</w:t>
            </w:r>
          </w:p>
          <w:p w14:paraId="5B45E1F8">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浙江松阳农村商业银行股份有限公司:ZYFCG0279C</w:t>
            </w:r>
          </w:p>
          <w:p w14:paraId="02BE74B4">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浙江临安农村商业银行股份有限公司:ZYFCG0279C</w:t>
            </w:r>
          </w:p>
          <w:p w14:paraId="7476E846">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浙江三门农村商业银行股份有限公司:ZYFCG0279C</w:t>
            </w:r>
          </w:p>
          <w:p w14:paraId="082AE7EA">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浙江金华成泰农村商业银行股份有限公司:ZYFCG0279C</w:t>
            </w:r>
          </w:p>
          <w:p w14:paraId="2114B62E">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浙江温岭农村商业银行股份有限公司:ZYFCG0279C</w:t>
            </w:r>
          </w:p>
          <w:p w14:paraId="6F62F1D8">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浙江新昌农村商业银行股份有限公司:ZYFCG0279C</w:t>
            </w:r>
          </w:p>
          <w:p w14:paraId="471584C4">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浙江绍兴恒信农村商业银行股份有限公司:ZYFCG0279C</w:t>
            </w:r>
          </w:p>
          <w:p w14:paraId="43135516">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浙江德清农村商业银行股份有限公司:ZYFCG0279C</w:t>
            </w:r>
          </w:p>
          <w:p w14:paraId="68799154">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浙江建德农村商业银行股份有限公司:ZYFCG0279C</w:t>
            </w:r>
          </w:p>
          <w:p w14:paraId="1FC33E38">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浙江上虞农村商业银行股份有限公司:ZYFCG0279C</w:t>
            </w:r>
          </w:p>
          <w:p w14:paraId="3E846A8D">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浙江台州路桥农村商业银行股份有限公司:ZYFCG0279C</w:t>
            </w:r>
          </w:p>
          <w:p w14:paraId="7E0488A4">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赣州银行股份有限公司:ZYFCG0279C</w:t>
            </w:r>
          </w:p>
          <w:p w14:paraId="4D79517A">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浙江义乌农村商业银行股份有限公司:ZYFCG0279C</w:t>
            </w:r>
          </w:p>
          <w:p w14:paraId="0647D60C">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浙江永嘉农村商业银行股份有限公司:ZYFCG0279C</w:t>
            </w:r>
          </w:p>
          <w:p w14:paraId="707EA87C">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浙江衢州柯城农村商业银行股份有限公司:ZYFCG0279C</w:t>
            </w:r>
          </w:p>
          <w:p w14:paraId="19D58CE8">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江苏苏商银行股份有限公司:ZYFCG0279C</w:t>
            </w:r>
          </w:p>
          <w:p w14:paraId="564FF6F7">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浙江龙泉农村商业银行股份有限公司:ZYFCG0279D</w:t>
            </w:r>
          </w:p>
          <w:p w14:paraId="429752FA">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浙江丽水莲都农村商业银行股份有限公司:ZYFCG0279D</w:t>
            </w:r>
          </w:p>
          <w:p w14:paraId="70D44644">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宁波奉化农村商业银行股份有限公司:ZYFCG0279D</w:t>
            </w:r>
          </w:p>
          <w:p w14:paraId="03D64AC3">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浙江兰溪农村商业银行股份有限公司:ZYFCG0279D</w:t>
            </w:r>
          </w:p>
          <w:p w14:paraId="0130CF32">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宁波甬城农村商业银行股份有限公司:ZYFCG0279D</w:t>
            </w:r>
          </w:p>
          <w:p w14:paraId="01BED354">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浙江浦江农村商业银行股份有限公司:ZYFCG0279D</w:t>
            </w:r>
          </w:p>
          <w:p w14:paraId="31B3C2E9">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浙江天台农村商业银行股份有限公司:ZYFCG0279D</w:t>
            </w:r>
          </w:p>
          <w:p w14:paraId="694A1EF8">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中原银行股份有限公司:ZYFCG0279E</w:t>
            </w:r>
          </w:p>
          <w:p w14:paraId="1C10DE7B">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浙江武义农村商业银行股份有限公司:ZYFCG0279E</w:t>
            </w:r>
          </w:p>
          <w:p w14:paraId="7096D023">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宁波鄞州农村商业银行股份有限公司:ZYFCG0279F</w:t>
            </w:r>
          </w:p>
          <w:p w14:paraId="06F31145">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宁波鄞州农村商业银行股份有限公司:ZYFCG0279G</w:t>
            </w:r>
          </w:p>
          <w:p w14:paraId="21D8ECAA">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宁波鄞州农村商业银行股份有限公司:ZYFCG0279H</w:t>
            </w:r>
          </w:p>
          <w:p w14:paraId="6F59B62F">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eastAsia="zh-CN"/>
              </w:rPr>
              <w:t>后续销售机构如有新增、减少和变更，以产品管理人信息披露为准。</w:t>
            </w:r>
          </w:p>
        </w:tc>
      </w:tr>
      <w:tr w14:paraId="1F621D2B">
        <w:tblPrEx>
          <w:tblCellMar>
            <w:top w:w="0" w:type="dxa"/>
            <w:left w:w="108" w:type="dxa"/>
            <w:bottom w:w="0" w:type="dxa"/>
            <w:right w:w="108" w:type="dxa"/>
          </w:tblCellMar>
        </w:tblPrEx>
        <w:trPr>
          <w:trHeight w:val="600" w:hRule="atLeast"/>
        </w:trPr>
        <w:tc>
          <w:tcPr>
            <w:tcW w:w="2453" w:type="dxa"/>
            <w:tcBorders>
              <w:top w:val="single" w:color="auto" w:sz="4" w:space="0"/>
              <w:left w:val="single" w:color="auto" w:sz="4" w:space="0"/>
              <w:bottom w:val="single" w:color="auto" w:sz="4" w:space="0"/>
              <w:right w:val="single" w:color="auto" w:sz="4" w:space="0"/>
            </w:tcBorders>
            <w:vAlign w:val="center"/>
          </w:tcPr>
          <w:p w14:paraId="2CB23304">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境内托管机构名称</w:t>
            </w:r>
          </w:p>
        </w:tc>
        <w:tc>
          <w:tcPr>
            <w:tcW w:w="6972" w:type="dxa"/>
            <w:tcBorders>
              <w:top w:val="single" w:color="auto" w:sz="4" w:space="0"/>
              <w:left w:val="single" w:color="auto" w:sz="4" w:space="0"/>
              <w:bottom w:val="single" w:color="auto" w:sz="4" w:space="0"/>
              <w:right w:val="single" w:color="auto" w:sz="4" w:space="0"/>
            </w:tcBorders>
            <w:vAlign w:val="center"/>
          </w:tcPr>
          <w:p w14:paraId="4B5BE4B7">
            <w:pPr>
              <w:widowControl/>
              <w:spacing w:line="400" w:lineRule="exact"/>
              <w:jc w:val="left"/>
              <w:textAlignment w:val="center"/>
              <w:rPr>
                <w:rFonts w:hint="eastAsia" w:ascii="仿宋_GB2312" w:hAnsi="等线" w:eastAsia="仿宋_GB2312" w:cs="仿宋_GB2312"/>
                <w:bCs/>
                <w:color w:val="000000" w:themeColor="text1"/>
                <w:sz w:val="24"/>
                <w:highlight w:val="none"/>
                <w:lang w:eastAsia="zh-CN"/>
                <w14:textFill>
                  <w14:solidFill>
                    <w14:schemeClr w14:val="tx1"/>
                  </w14:solidFill>
                </w14:textFill>
              </w:rPr>
            </w:pPr>
            <w:r>
              <w:rPr>
                <w:rFonts w:hint="eastAsia" w:ascii="宋体" w:hAnsi="宋体"/>
                <w:color w:val="auto"/>
                <w:szCs w:val="24"/>
                <w:highlight w:val="none"/>
                <w:u w:val="none"/>
                <w:lang w:eastAsia="zh-CN"/>
              </w:rPr>
              <w:t>浙商银行股份有限公司</w:t>
            </w:r>
          </w:p>
        </w:tc>
      </w:tr>
      <w:tr w14:paraId="6F39D3A4">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shd w:val="clear" w:color="auto" w:fill="auto"/>
            <w:vAlign w:val="center"/>
          </w:tcPr>
          <w:p w14:paraId="46454379">
            <w:pPr>
              <w:widowControl/>
              <w:spacing w:line="400" w:lineRule="exact"/>
              <w:jc w:val="center"/>
              <w:textAlignment w:val="center"/>
              <w:rPr>
                <w:rFonts w:hint="eastAsia" w:ascii="仿宋_GB2312" w:hAnsi="等线" w:eastAsia="仿宋_GB2312" w:cs="仿宋_GB2312"/>
                <w:color w:val="000000" w:themeColor="text1"/>
                <w:kern w:val="2"/>
                <w:sz w:val="24"/>
                <w:szCs w:val="22"/>
                <w:highlight w:val="none"/>
                <w:lang w:val="en-US" w:eastAsia="zh-CN" w:bidi="ar-SA"/>
                <w14:textFill>
                  <w14:solidFill>
                    <w14:schemeClr w14:val="tx1"/>
                  </w14:solidFill>
                </w14:textFill>
              </w:rPr>
            </w:pPr>
            <w:r>
              <w:rPr>
                <w:rFonts w:hint="eastAsia" w:ascii="仿宋_GB2312" w:hAnsi="等线" w:cs="仿宋_GB2312"/>
                <w:color w:val="000000" w:themeColor="text1"/>
                <w:kern w:val="0"/>
                <w:sz w:val="24"/>
                <w:highlight w:val="none"/>
                <w:lang w:eastAsia="zh-CN" w:bidi="ar"/>
                <w14:textFill>
                  <w14:solidFill>
                    <w14:schemeClr w14:val="tx1"/>
                  </w14:solidFill>
                </w14:textFill>
              </w:rPr>
              <w:t>投资者范围</w:t>
            </w:r>
          </w:p>
        </w:tc>
        <w:tc>
          <w:tcPr>
            <w:tcW w:w="6972" w:type="dxa"/>
            <w:tcBorders>
              <w:top w:val="single" w:color="auto" w:sz="4" w:space="0"/>
              <w:left w:val="single" w:color="auto" w:sz="4" w:space="0"/>
              <w:bottom w:val="single" w:color="auto" w:sz="4" w:space="0"/>
              <w:right w:val="single" w:color="auto" w:sz="4" w:space="0"/>
            </w:tcBorders>
            <w:shd w:val="clear" w:color="auto" w:fill="auto"/>
            <w:vAlign w:val="center"/>
          </w:tcPr>
          <w:p w14:paraId="34C5911D">
            <w:pPr>
              <w:snapToGrid w:val="0"/>
              <w:rPr>
                <w:rFonts w:ascii="宋体" w:hAnsi="宋体"/>
                <w:color w:val="auto"/>
                <w:szCs w:val="24"/>
                <w:highlight w:val="none"/>
                <w:u w:val="none"/>
              </w:rPr>
            </w:pPr>
            <w:r>
              <w:rPr>
                <w:rFonts w:hint="eastAsia" w:ascii="宋体" w:hAnsi="宋体"/>
                <w:color w:val="auto"/>
                <w:szCs w:val="24"/>
                <w:highlight w:val="none"/>
                <w:u w:val="none"/>
              </w:rPr>
              <w:t>不特定社会公众（个人、机构投资者）；其中，普通投资者应符合相关法律法规、监管规定，经销售机构评估评定投资者风险承受能力与本产品风险等级相适应。</w:t>
            </w:r>
          </w:p>
          <w:p w14:paraId="1749E41E">
            <w:pPr>
              <w:widowControl/>
              <w:spacing w:line="400" w:lineRule="exact"/>
              <w:jc w:val="left"/>
              <w:textAlignment w:val="center"/>
              <w:rPr>
                <w:rFonts w:hint="eastAsia" w:ascii="仿宋_GB2312" w:hAnsi="等线" w:eastAsia="仿宋_GB2312" w:cs="仿宋_GB2312"/>
                <w:bCs/>
                <w:color w:val="000000" w:themeColor="text1"/>
                <w:kern w:val="2"/>
                <w:sz w:val="24"/>
                <w:szCs w:val="22"/>
                <w:highlight w:val="none"/>
                <w:lang w:val="en-US" w:eastAsia="zh-CN" w:bidi="ar-SA"/>
                <w14:textFill>
                  <w14:solidFill>
                    <w14:schemeClr w14:val="tx1"/>
                  </w14:solidFill>
                </w14:textFill>
              </w:rPr>
            </w:pPr>
            <w:r>
              <w:rPr>
                <w:rFonts w:hint="eastAsia" w:ascii="宋体" w:hAnsi="宋体"/>
                <w:color w:val="auto"/>
                <w:szCs w:val="24"/>
                <w:highlight w:val="none"/>
                <w:u w:val="none"/>
              </w:rPr>
              <w:t>本产品通过销售机构销售的，产品风险等级应当以销售机构最终披露的评级结果为准。</w:t>
            </w:r>
          </w:p>
        </w:tc>
      </w:tr>
      <w:tr w14:paraId="3EEB386C">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5722C1AB">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销售对象</w:t>
            </w:r>
          </w:p>
        </w:tc>
        <w:tc>
          <w:tcPr>
            <w:tcW w:w="6972" w:type="dxa"/>
            <w:tcBorders>
              <w:top w:val="single" w:color="auto" w:sz="4" w:space="0"/>
              <w:left w:val="single" w:color="auto" w:sz="4" w:space="0"/>
              <w:bottom w:val="single" w:color="auto" w:sz="4" w:space="0"/>
              <w:right w:val="single" w:color="auto" w:sz="4" w:space="0"/>
            </w:tcBorders>
            <w:vAlign w:val="center"/>
          </w:tcPr>
          <w:tbl>
            <w:tblPr>
              <w:tblStyle w:val="16"/>
              <w:tblW w:w="6658"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664"/>
              <w:gridCol w:w="2350"/>
              <w:gridCol w:w="2644"/>
            </w:tblGrid>
            <w:tr w14:paraId="2444E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664" w:type="dxa"/>
                  <w:tcBorders>
                    <w:top w:val="single" w:color="000000" w:sz="4" w:space="0"/>
                    <w:left w:val="single" w:color="000000" w:sz="4" w:space="0"/>
                    <w:bottom w:val="nil"/>
                    <w:right w:val="single" w:color="000000" w:sz="4" w:space="0"/>
                  </w:tcBorders>
                  <w:shd w:val="clear" w:color="auto" w:fill="auto"/>
                  <w:noWrap/>
                  <w:vAlign w:val="center"/>
                </w:tcPr>
                <w:p w14:paraId="096AC6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份额代码</w:t>
                  </w:r>
                </w:p>
              </w:tc>
              <w:tc>
                <w:tcPr>
                  <w:tcW w:w="2350" w:type="dxa"/>
                  <w:tcBorders>
                    <w:top w:val="single" w:color="000000" w:sz="4" w:space="0"/>
                    <w:left w:val="single" w:color="000000" w:sz="4" w:space="0"/>
                    <w:bottom w:val="nil"/>
                    <w:right w:val="single" w:color="000000" w:sz="4" w:space="0"/>
                  </w:tcBorders>
                  <w:shd w:val="clear" w:color="auto" w:fill="auto"/>
                  <w:noWrap/>
                  <w:vAlign w:val="center"/>
                </w:tcPr>
                <w:p w14:paraId="5E7DE5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销售机构</w:t>
                  </w:r>
                </w:p>
              </w:tc>
              <w:tc>
                <w:tcPr>
                  <w:tcW w:w="2644" w:type="dxa"/>
                  <w:tcBorders>
                    <w:top w:val="single" w:color="000000" w:sz="4" w:space="0"/>
                    <w:left w:val="single" w:color="000000" w:sz="4" w:space="0"/>
                    <w:bottom w:val="nil"/>
                    <w:right w:val="single" w:color="000000" w:sz="4" w:space="0"/>
                  </w:tcBorders>
                  <w:shd w:val="clear" w:color="auto" w:fill="auto"/>
                  <w:noWrap/>
                  <w:vAlign w:val="center"/>
                </w:tcPr>
                <w:p w14:paraId="6D28DC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销售对象</w:t>
                  </w:r>
                </w:p>
              </w:tc>
            </w:tr>
            <w:tr w14:paraId="6528DD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FAC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ZYFCG0279A</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DFB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嘉兴银行股份有限公司</w:t>
                  </w:r>
                </w:p>
              </w:tc>
              <w:tc>
                <w:tcPr>
                  <w:tcW w:w="2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582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个人、机构客户</w:t>
                  </w:r>
                </w:p>
              </w:tc>
            </w:tr>
            <w:tr w14:paraId="6AA61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721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ZYFCG0279A</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E7D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浙江长兴农村商业银行股份有限公司</w:t>
                  </w:r>
                </w:p>
              </w:tc>
              <w:tc>
                <w:tcPr>
                  <w:tcW w:w="2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54F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个人、机构客户</w:t>
                  </w:r>
                </w:p>
              </w:tc>
            </w:tr>
            <w:tr w14:paraId="73EFA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4B6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ZYFCG0279A</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D74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浙江岱山农村商业银行股份有限公司</w:t>
                  </w:r>
                </w:p>
              </w:tc>
              <w:tc>
                <w:tcPr>
                  <w:tcW w:w="26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FC2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高净值个人、机构客户</w:t>
                  </w:r>
                </w:p>
              </w:tc>
            </w:tr>
            <w:tr w14:paraId="5197B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5C4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ZYFCG0279A</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649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浙江遂昌农村商业银行股份有限公司</w:t>
                  </w:r>
                </w:p>
              </w:tc>
              <w:tc>
                <w:tcPr>
                  <w:tcW w:w="2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2CB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个人、机构客户</w:t>
                  </w:r>
                </w:p>
              </w:tc>
            </w:tr>
            <w:tr w14:paraId="553BA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855" w:hRule="atLeast"/>
              </w:trPr>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25D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ZYFCG0279A</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398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浙江台州路桥农村商业银行股份有限公司</w:t>
                  </w:r>
                </w:p>
              </w:tc>
              <w:tc>
                <w:tcPr>
                  <w:tcW w:w="26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7FD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高净值个人、机构客户</w:t>
                  </w:r>
                </w:p>
              </w:tc>
            </w:tr>
            <w:tr w14:paraId="1BBE6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929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ZYFCG0279A</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0C6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浙江临海农村商业银行股份有限公司</w:t>
                  </w:r>
                </w:p>
              </w:tc>
              <w:tc>
                <w:tcPr>
                  <w:tcW w:w="2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E46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个人、机构客户</w:t>
                  </w:r>
                </w:p>
              </w:tc>
            </w:tr>
            <w:tr w14:paraId="414901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24A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ZYFCG0279A</w:t>
                  </w:r>
                </w:p>
              </w:tc>
              <w:tc>
                <w:tcPr>
                  <w:tcW w:w="2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4E6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浙江龙游农村商业银行股份有限公司</w:t>
                  </w:r>
                </w:p>
              </w:tc>
              <w:tc>
                <w:tcPr>
                  <w:tcW w:w="2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72D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个人、机构客户</w:t>
                  </w:r>
                </w:p>
              </w:tc>
            </w:tr>
            <w:tr w14:paraId="421F4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E36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ZYFCG0279A</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CD4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浙江仙居农村商业银行股份有限公司</w:t>
                  </w:r>
                </w:p>
              </w:tc>
              <w:tc>
                <w:tcPr>
                  <w:tcW w:w="2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3A1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个人、机构客户</w:t>
                  </w:r>
                </w:p>
              </w:tc>
            </w:tr>
            <w:tr w14:paraId="48AF5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915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ZYFCG0279A</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26E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浙江温岭农村商业银行股份有限公司</w:t>
                  </w:r>
                </w:p>
              </w:tc>
              <w:tc>
                <w:tcPr>
                  <w:tcW w:w="26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978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高净值个人、机构客户</w:t>
                  </w:r>
                </w:p>
              </w:tc>
            </w:tr>
            <w:tr w14:paraId="3E4E9A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382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ZYFCG0279A</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2A6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浙江开化农村商业银行股份有限公司</w:t>
                  </w:r>
                </w:p>
              </w:tc>
              <w:tc>
                <w:tcPr>
                  <w:tcW w:w="2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F6E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个人、机构客户</w:t>
                  </w:r>
                </w:p>
              </w:tc>
            </w:tr>
            <w:tr w14:paraId="2FCD8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7F5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ZYFCG0279A</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EE5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浙江杭州余杭农村商业银行股份有限公司</w:t>
                  </w:r>
                </w:p>
              </w:tc>
              <w:tc>
                <w:tcPr>
                  <w:tcW w:w="2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1C6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个人、机构客户</w:t>
                  </w:r>
                </w:p>
              </w:tc>
            </w:tr>
            <w:tr w14:paraId="79AAF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A79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ZYFCG0279A</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7EA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浙江云和农村商业银行股份有限公司</w:t>
                  </w:r>
                </w:p>
              </w:tc>
              <w:tc>
                <w:tcPr>
                  <w:tcW w:w="2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A15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个人、机构客户</w:t>
                  </w:r>
                </w:p>
              </w:tc>
            </w:tr>
            <w:tr w14:paraId="52ECC3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EE8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ZYFCG0279A</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E8B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浙江富阳农村商业银行股份有限公司</w:t>
                  </w:r>
                </w:p>
              </w:tc>
              <w:tc>
                <w:tcPr>
                  <w:tcW w:w="2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3CE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个人、机构客户</w:t>
                  </w:r>
                </w:p>
              </w:tc>
            </w:tr>
            <w:tr w14:paraId="02CAA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73D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ZYFCG0279A</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8BD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浙江嵊州农村商业银行股份有限公司</w:t>
                  </w:r>
                </w:p>
              </w:tc>
              <w:tc>
                <w:tcPr>
                  <w:tcW w:w="2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C73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个人、机构客户</w:t>
                  </w:r>
                </w:p>
              </w:tc>
            </w:tr>
            <w:tr w14:paraId="4D936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079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ZYFCG0279A</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9FD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浙江舟山普陀农村商业银行股份有限公司</w:t>
                  </w:r>
                </w:p>
              </w:tc>
              <w:tc>
                <w:tcPr>
                  <w:tcW w:w="26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2E3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高净值个人、机构客户</w:t>
                  </w:r>
                </w:p>
              </w:tc>
            </w:tr>
            <w:tr w14:paraId="7D121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5D3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ZYFCG0279A</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CB2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浙江庆元农村商业银行股份有限公司</w:t>
                  </w:r>
                </w:p>
              </w:tc>
              <w:tc>
                <w:tcPr>
                  <w:tcW w:w="2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23E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个人、机构客户</w:t>
                  </w:r>
                </w:p>
              </w:tc>
            </w:tr>
            <w:tr w14:paraId="28763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336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ZYFCG0279A</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168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浙江永嘉农村商业银行股份有限公司</w:t>
                  </w:r>
                </w:p>
              </w:tc>
              <w:tc>
                <w:tcPr>
                  <w:tcW w:w="26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C64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新客户（个人、机构客户）、高净值客户（个人、机构客户）</w:t>
                  </w:r>
                </w:p>
              </w:tc>
            </w:tr>
            <w:tr w14:paraId="2466A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5D4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ZYFCG0279A</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528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宁波北仑农村商业银行股份有限公司</w:t>
                  </w:r>
                </w:p>
              </w:tc>
              <w:tc>
                <w:tcPr>
                  <w:tcW w:w="2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452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个人、机构客户</w:t>
                  </w:r>
                </w:p>
              </w:tc>
            </w:tr>
            <w:tr w14:paraId="25BF1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C74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ZYFCG0279A</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16C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浙江青田农村商业银行股份有限公司</w:t>
                  </w:r>
                </w:p>
              </w:tc>
              <w:tc>
                <w:tcPr>
                  <w:tcW w:w="2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32F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个人、机构客户</w:t>
                  </w:r>
                </w:p>
              </w:tc>
            </w:tr>
            <w:tr w14:paraId="7A3A2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2A8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ZYFCG0279A</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7C2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浙江天台农村商业银行股份有限公司</w:t>
                  </w:r>
                </w:p>
              </w:tc>
              <w:tc>
                <w:tcPr>
                  <w:tcW w:w="26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2C9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高净值个人、机构客户、新客户（个人客户）</w:t>
                  </w:r>
                </w:p>
              </w:tc>
            </w:tr>
            <w:tr w14:paraId="14B791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76D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ZYFCG0279B</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254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浙江玉环农村商业银行股份有限公司</w:t>
                  </w:r>
                </w:p>
              </w:tc>
              <w:tc>
                <w:tcPr>
                  <w:tcW w:w="2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FF0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个人、机构客户</w:t>
                  </w:r>
                </w:p>
              </w:tc>
            </w:tr>
            <w:tr w14:paraId="73E09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3BF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ZYFCG0279B</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ED9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浙江岱山农村商业银行股份有限公司</w:t>
                  </w:r>
                </w:p>
              </w:tc>
              <w:tc>
                <w:tcPr>
                  <w:tcW w:w="2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E18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个人、机构客户</w:t>
                  </w:r>
                </w:p>
              </w:tc>
            </w:tr>
            <w:tr w14:paraId="4D9A1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405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ZYFCG0279B</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4D7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浙江衢州衢江农村商业银行股份有限公司</w:t>
                  </w:r>
                </w:p>
              </w:tc>
              <w:tc>
                <w:tcPr>
                  <w:tcW w:w="2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0C0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个人、机构客户</w:t>
                  </w:r>
                </w:p>
              </w:tc>
            </w:tr>
            <w:tr w14:paraId="3E6D8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A64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ZYFCG0279B</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65F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浙江禾城农村商业银行股份有限公司</w:t>
                  </w:r>
                </w:p>
              </w:tc>
              <w:tc>
                <w:tcPr>
                  <w:tcW w:w="2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B0A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个人、机构客户</w:t>
                  </w:r>
                </w:p>
              </w:tc>
            </w:tr>
            <w:tr w14:paraId="61B73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6C1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ZYFCG0279B</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2F3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浙江舟山普陀农村商业银行股份有限公司</w:t>
                  </w:r>
                </w:p>
              </w:tc>
              <w:tc>
                <w:tcPr>
                  <w:tcW w:w="2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273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个人、机构客户</w:t>
                  </w:r>
                </w:p>
              </w:tc>
            </w:tr>
            <w:tr w14:paraId="40473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C64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ZYFCG0279B</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EC3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浙江平湖农村商业银行股份有限公司</w:t>
                  </w:r>
                </w:p>
              </w:tc>
              <w:tc>
                <w:tcPr>
                  <w:tcW w:w="2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026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个人、机构客户</w:t>
                  </w:r>
                </w:p>
              </w:tc>
            </w:tr>
            <w:tr w14:paraId="2FE381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B51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ZYFCG0279B</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93D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浙江海盐农村商业银行股份有限公司</w:t>
                  </w:r>
                </w:p>
              </w:tc>
              <w:tc>
                <w:tcPr>
                  <w:tcW w:w="2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C69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个人、机构客户</w:t>
                  </w:r>
                </w:p>
              </w:tc>
            </w:tr>
            <w:tr w14:paraId="1817E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093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ZYFCG0279B</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C12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浙江萧山农村商业银行股份有限公司</w:t>
                  </w:r>
                </w:p>
              </w:tc>
              <w:tc>
                <w:tcPr>
                  <w:tcW w:w="2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E02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个人、机构客户</w:t>
                  </w:r>
                </w:p>
              </w:tc>
            </w:tr>
            <w:tr w14:paraId="76BC4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410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ZYFCG0279B</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DB5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浙江嵊泗农村商业银行股份有限公司</w:t>
                  </w:r>
                </w:p>
              </w:tc>
              <w:tc>
                <w:tcPr>
                  <w:tcW w:w="2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DAC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个人、机构客户</w:t>
                  </w:r>
                </w:p>
              </w:tc>
            </w:tr>
            <w:tr w14:paraId="6F6D4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5F0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ZYFCG0279B</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8D0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浙江台州椒江农村商业银行股份有限公司</w:t>
                  </w:r>
                </w:p>
              </w:tc>
              <w:tc>
                <w:tcPr>
                  <w:tcW w:w="2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F73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个人、机构客户</w:t>
                  </w:r>
                </w:p>
              </w:tc>
            </w:tr>
            <w:tr w14:paraId="53519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782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ZYFCG0279B</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E5D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浙江台州黄岩农村商业银行股份有限公司</w:t>
                  </w:r>
                </w:p>
              </w:tc>
              <w:tc>
                <w:tcPr>
                  <w:tcW w:w="2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BF8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个人、机构客户</w:t>
                  </w:r>
                </w:p>
              </w:tc>
            </w:tr>
            <w:tr w14:paraId="166C5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4C5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ZYFCG0279B</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994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浙江诸暨农村商业银行股份有限公司</w:t>
                  </w:r>
                </w:p>
              </w:tc>
              <w:tc>
                <w:tcPr>
                  <w:tcW w:w="2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05E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个人、机构客户</w:t>
                  </w:r>
                </w:p>
              </w:tc>
            </w:tr>
            <w:tr w14:paraId="7E3BD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7A8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ZYFCG0279B</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F91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浙江东阳农村商业银行股份有限公司</w:t>
                  </w:r>
                </w:p>
              </w:tc>
              <w:tc>
                <w:tcPr>
                  <w:tcW w:w="2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EE4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个人、机构客户</w:t>
                  </w:r>
                </w:p>
              </w:tc>
            </w:tr>
            <w:tr w14:paraId="301D1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389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ZYFCG0279B</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665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浙江桐庐农村商业银行股份有限公司</w:t>
                  </w:r>
                </w:p>
              </w:tc>
              <w:tc>
                <w:tcPr>
                  <w:tcW w:w="2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EEC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个人、机构客户</w:t>
                  </w:r>
                </w:p>
              </w:tc>
            </w:tr>
            <w:tr w14:paraId="4DBA6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883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ZYFCG0279B</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F9C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浙江舟山定海海洋农村商业银行股份有限公司</w:t>
                  </w:r>
                </w:p>
              </w:tc>
              <w:tc>
                <w:tcPr>
                  <w:tcW w:w="2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01F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个人、机构客户</w:t>
                  </w:r>
                </w:p>
              </w:tc>
            </w:tr>
            <w:tr w14:paraId="1C8AD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D20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ZYFCG0279B</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F54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宁波象山农村商业银行股份有限公司</w:t>
                  </w:r>
                </w:p>
              </w:tc>
              <w:tc>
                <w:tcPr>
                  <w:tcW w:w="2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D3B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个人、机构客户</w:t>
                  </w:r>
                </w:p>
              </w:tc>
            </w:tr>
            <w:tr w14:paraId="2E072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CDD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ZYFCG0279B</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EDF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浙江永康农村商业银行股份有限公司</w:t>
                  </w:r>
                </w:p>
              </w:tc>
              <w:tc>
                <w:tcPr>
                  <w:tcW w:w="2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317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个人、机构客户</w:t>
                  </w:r>
                </w:p>
              </w:tc>
            </w:tr>
            <w:tr w14:paraId="4A55C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B6C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ZYFCG0279C</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D96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浙江松阳农村商业银行股份有限公司</w:t>
                  </w:r>
                </w:p>
              </w:tc>
              <w:tc>
                <w:tcPr>
                  <w:tcW w:w="2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C4F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个人、机构客户</w:t>
                  </w:r>
                </w:p>
              </w:tc>
            </w:tr>
            <w:tr w14:paraId="6D847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C08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ZYFCG0279C</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DB3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浙江临安农村商业银行股份有限公司</w:t>
                  </w:r>
                </w:p>
              </w:tc>
              <w:tc>
                <w:tcPr>
                  <w:tcW w:w="2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54A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个人、机构客户</w:t>
                  </w:r>
                </w:p>
              </w:tc>
            </w:tr>
            <w:tr w14:paraId="6E3B58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16E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ZYFCG0279C</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6C2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浙江三门农村商业银行股份有限公司</w:t>
                  </w:r>
                </w:p>
              </w:tc>
              <w:tc>
                <w:tcPr>
                  <w:tcW w:w="2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A19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个人、机构客户</w:t>
                  </w:r>
                </w:p>
              </w:tc>
            </w:tr>
            <w:tr w14:paraId="4F5C04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740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ZYFCG0279C</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983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浙江金华成泰农村商业银行股份有限公司</w:t>
                  </w:r>
                </w:p>
              </w:tc>
              <w:tc>
                <w:tcPr>
                  <w:tcW w:w="2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413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个人、机构客户</w:t>
                  </w:r>
                </w:p>
              </w:tc>
            </w:tr>
            <w:tr w14:paraId="14CF0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A22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ZYFCG0279C</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E76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浙江温岭农村商业银行股份有限公司</w:t>
                  </w:r>
                </w:p>
              </w:tc>
              <w:tc>
                <w:tcPr>
                  <w:tcW w:w="2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647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个人、机构客户</w:t>
                  </w:r>
                </w:p>
              </w:tc>
            </w:tr>
            <w:tr w14:paraId="43D32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110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ZYFCG0279C</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B0C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浙江新昌农村商业银行股份有限公司</w:t>
                  </w:r>
                </w:p>
              </w:tc>
              <w:tc>
                <w:tcPr>
                  <w:tcW w:w="2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59F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个人、机构客户</w:t>
                  </w:r>
                </w:p>
              </w:tc>
            </w:tr>
            <w:tr w14:paraId="202BE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CD7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ZYFCG0279C</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FC4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浙江绍兴恒信农村商业银行股份有限公司</w:t>
                  </w:r>
                </w:p>
              </w:tc>
              <w:tc>
                <w:tcPr>
                  <w:tcW w:w="2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8BE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个人、机构客户</w:t>
                  </w:r>
                </w:p>
              </w:tc>
            </w:tr>
            <w:tr w14:paraId="32F45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821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ZYFCG0279C</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60E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浙江德清农村商业银行股份有限公司</w:t>
                  </w:r>
                </w:p>
              </w:tc>
              <w:tc>
                <w:tcPr>
                  <w:tcW w:w="2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AED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个人、机构客户</w:t>
                  </w:r>
                </w:p>
              </w:tc>
            </w:tr>
            <w:tr w14:paraId="1B19C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DD5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ZYFCG0279C</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76A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浙江建德农村商业银行股份有限公司</w:t>
                  </w:r>
                </w:p>
              </w:tc>
              <w:tc>
                <w:tcPr>
                  <w:tcW w:w="2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3A4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个人、机构客户</w:t>
                  </w:r>
                </w:p>
              </w:tc>
            </w:tr>
            <w:tr w14:paraId="6A67A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085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ZYFCG0279C</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0DF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浙江上虞农村商业银行股份有限公司</w:t>
                  </w:r>
                </w:p>
              </w:tc>
              <w:tc>
                <w:tcPr>
                  <w:tcW w:w="2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F06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个人、机构客户</w:t>
                  </w:r>
                </w:p>
              </w:tc>
            </w:tr>
            <w:tr w14:paraId="7AF0F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445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ZYFCG0279C</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706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浙江台州路桥农村商业银行股份有限公司</w:t>
                  </w:r>
                </w:p>
              </w:tc>
              <w:tc>
                <w:tcPr>
                  <w:tcW w:w="2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25D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个人、机构客户</w:t>
                  </w:r>
                </w:p>
              </w:tc>
            </w:tr>
            <w:tr w14:paraId="44318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65C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ZYFCG0279C</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AD8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赣州银行股份有限公司</w:t>
                  </w:r>
                </w:p>
              </w:tc>
              <w:tc>
                <w:tcPr>
                  <w:tcW w:w="2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0CD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个人、机构客户</w:t>
                  </w:r>
                </w:p>
              </w:tc>
            </w:tr>
            <w:tr w14:paraId="607767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BA7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ZYFCG0279C</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4A6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浙江义乌农村商业银行股份有限公司</w:t>
                  </w:r>
                </w:p>
              </w:tc>
              <w:tc>
                <w:tcPr>
                  <w:tcW w:w="2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CB1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个人、机构客户</w:t>
                  </w:r>
                </w:p>
              </w:tc>
            </w:tr>
            <w:tr w14:paraId="66F5F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B09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ZYFCG0279C</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FC3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浙江永嘉农村商业银行股份有限公司</w:t>
                  </w:r>
                </w:p>
              </w:tc>
              <w:tc>
                <w:tcPr>
                  <w:tcW w:w="2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360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个人、机构客户</w:t>
                  </w:r>
                </w:p>
              </w:tc>
            </w:tr>
            <w:tr w14:paraId="6D200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63F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ZYFCG0279C</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F6D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浙江衢州柯城农村商业银行股份有限公司</w:t>
                  </w:r>
                </w:p>
              </w:tc>
              <w:tc>
                <w:tcPr>
                  <w:tcW w:w="2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586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个人、机构客户</w:t>
                  </w:r>
                </w:p>
              </w:tc>
            </w:tr>
            <w:tr w14:paraId="36CE2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CBD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ZYFCG0279C</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BE2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江苏苏商银行股份有限公司</w:t>
                  </w:r>
                </w:p>
              </w:tc>
              <w:tc>
                <w:tcPr>
                  <w:tcW w:w="2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5AF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个人、机构客户</w:t>
                  </w:r>
                </w:p>
              </w:tc>
            </w:tr>
            <w:tr w14:paraId="32192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02A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ZYFCG0279D</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FF2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浙江龙泉农村商业银行股份有限公司</w:t>
                  </w:r>
                </w:p>
              </w:tc>
              <w:tc>
                <w:tcPr>
                  <w:tcW w:w="2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FFA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个人、机构客户</w:t>
                  </w:r>
                </w:p>
              </w:tc>
            </w:tr>
            <w:tr w14:paraId="665E0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C3E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ZYFCG0279D</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C48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浙江丽水莲都农村商业银行股份有限公司</w:t>
                  </w:r>
                </w:p>
              </w:tc>
              <w:tc>
                <w:tcPr>
                  <w:tcW w:w="2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089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个人、机构客户</w:t>
                  </w:r>
                </w:p>
              </w:tc>
            </w:tr>
            <w:tr w14:paraId="69FA8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185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ZYFCG0279D</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673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宁波奉化农村商业银行股份有限公司</w:t>
                  </w:r>
                </w:p>
              </w:tc>
              <w:tc>
                <w:tcPr>
                  <w:tcW w:w="2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A3D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个人、机构客户</w:t>
                  </w:r>
                </w:p>
              </w:tc>
            </w:tr>
            <w:tr w14:paraId="5C9E5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5" w:hRule="atLeast"/>
              </w:trPr>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915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ZYFCG0279D</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286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浙江兰溪农村商业银行股份有限公司</w:t>
                  </w:r>
                </w:p>
              </w:tc>
              <w:tc>
                <w:tcPr>
                  <w:tcW w:w="2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C9F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个人、机构客户</w:t>
                  </w:r>
                </w:p>
              </w:tc>
            </w:tr>
            <w:tr w14:paraId="3D6BE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5" w:hRule="atLeast"/>
              </w:trPr>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499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ZYFCG0279D</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43D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宁波甬城农村商业银行股份有限公司</w:t>
                  </w:r>
                </w:p>
              </w:tc>
              <w:tc>
                <w:tcPr>
                  <w:tcW w:w="2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9C5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个人、机构客户</w:t>
                  </w:r>
                </w:p>
              </w:tc>
            </w:tr>
            <w:tr w14:paraId="7B850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5" w:hRule="atLeast"/>
              </w:trPr>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852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ZYFCG0279D</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1AC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浙江浦江农村商业银行股份有限公司</w:t>
                  </w:r>
                </w:p>
              </w:tc>
              <w:tc>
                <w:tcPr>
                  <w:tcW w:w="2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6EA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个人、机构客户</w:t>
                  </w:r>
                </w:p>
              </w:tc>
            </w:tr>
            <w:tr w14:paraId="1DB5C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5" w:hRule="atLeast"/>
              </w:trPr>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5A0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ZYFCG0279D</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EFD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浙江天台农村商业银行股份有限公司</w:t>
                  </w:r>
                </w:p>
              </w:tc>
              <w:tc>
                <w:tcPr>
                  <w:tcW w:w="26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399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个人、</w:t>
                  </w:r>
                  <w:bookmarkStart w:id="0" w:name="_GoBack"/>
                  <w:bookmarkEnd w:id="0"/>
                  <w:r>
                    <w:rPr>
                      <w:rFonts w:hint="eastAsia" w:ascii="宋体" w:hAnsi="宋体" w:eastAsia="宋体" w:cs="宋体"/>
                      <w:i w:val="0"/>
                      <w:iCs w:val="0"/>
                      <w:color w:val="000000"/>
                      <w:kern w:val="0"/>
                      <w:sz w:val="22"/>
                      <w:szCs w:val="22"/>
                      <w:u w:val="none"/>
                      <w:lang w:val="en-US" w:eastAsia="zh-CN" w:bidi="ar"/>
                    </w:rPr>
                    <w:t>机构客户</w:t>
                  </w:r>
                </w:p>
              </w:tc>
            </w:tr>
            <w:tr w14:paraId="74808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5" w:hRule="atLeast"/>
              </w:trPr>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09C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ZYFCG0279E</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C8F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中原银行股份有限公司</w:t>
                  </w:r>
                </w:p>
              </w:tc>
              <w:tc>
                <w:tcPr>
                  <w:tcW w:w="2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BC1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个人、机构客户</w:t>
                  </w:r>
                </w:p>
              </w:tc>
            </w:tr>
            <w:tr w14:paraId="24FB8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5" w:hRule="atLeast"/>
              </w:trPr>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991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ZYFCG0279E</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38C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浙江武义农村商业银行股份有限公司</w:t>
                  </w:r>
                </w:p>
              </w:tc>
              <w:tc>
                <w:tcPr>
                  <w:tcW w:w="2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2EA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个人、机构客户</w:t>
                  </w:r>
                </w:p>
              </w:tc>
            </w:tr>
            <w:tr w14:paraId="045DB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5" w:hRule="atLeast"/>
              </w:trPr>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BF0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ZYFCG0279F</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729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宁波鄞州农村商业银行股份有限公司</w:t>
                  </w:r>
                </w:p>
              </w:tc>
              <w:tc>
                <w:tcPr>
                  <w:tcW w:w="26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B89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高净值个人、机构客户</w:t>
                  </w:r>
                </w:p>
              </w:tc>
            </w:tr>
            <w:tr w14:paraId="6FD6A7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5" w:hRule="atLeast"/>
              </w:trPr>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C58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ZYFCG0279G</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E4C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宁波鄞州农村商业银行股份有限公司</w:t>
                  </w:r>
                </w:p>
              </w:tc>
              <w:tc>
                <w:tcPr>
                  <w:tcW w:w="2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A92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个人、机构客户</w:t>
                  </w:r>
                </w:p>
              </w:tc>
            </w:tr>
            <w:tr w14:paraId="7856B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7FD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ZYFCG0279H</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1B1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宁波鄞州农村商业银行股份有限公司</w:t>
                  </w:r>
                </w:p>
              </w:tc>
              <w:tc>
                <w:tcPr>
                  <w:tcW w:w="2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87A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新客户（个人、机构客户）</w:t>
                  </w:r>
                </w:p>
              </w:tc>
            </w:tr>
          </w:tbl>
          <w:p w14:paraId="748ED074">
            <w:pPr>
              <w:widowControl/>
              <w:spacing w:line="400" w:lineRule="exact"/>
              <w:jc w:val="left"/>
              <w:textAlignment w:val="center"/>
              <w:rPr>
                <w:rFonts w:hint="eastAsia"/>
                <w:b/>
                <w:bCs/>
                <w:highlight w:val="none"/>
                <w:lang w:eastAsia="zh-CN"/>
              </w:rPr>
            </w:pPr>
          </w:p>
        </w:tc>
      </w:tr>
      <w:tr w14:paraId="17C88C4E">
        <w:tblPrEx>
          <w:tblCellMar>
            <w:top w:w="0" w:type="dxa"/>
            <w:left w:w="108" w:type="dxa"/>
            <w:bottom w:w="0" w:type="dxa"/>
            <w:right w:w="108" w:type="dxa"/>
          </w:tblCellMar>
        </w:tblPrEx>
        <w:trPr>
          <w:trHeight w:val="380" w:hRule="atLeast"/>
        </w:trPr>
        <w:tc>
          <w:tcPr>
            <w:tcW w:w="9425" w:type="dxa"/>
            <w:gridSpan w:val="2"/>
            <w:tcBorders>
              <w:top w:val="single" w:color="auto" w:sz="4" w:space="0"/>
              <w:left w:val="single" w:color="auto" w:sz="4" w:space="0"/>
              <w:bottom w:val="single" w:color="auto" w:sz="4" w:space="0"/>
              <w:right w:val="single" w:color="auto" w:sz="4" w:space="0"/>
            </w:tcBorders>
            <w:vAlign w:val="center"/>
          </w:tcPr>
          <w:p w14:paraId="60E04BCB">
            <w:pPr>
              <w:widowControl/>
              <w:spacing w:line="400" w:lineRule="exact"/>
              <w:jc w:val="center"/>
              <w:textAlignment w:val="center"/>
              <w:rPr>
                <w:rFonts w:hint="eastAsia" w:ascii="楷体_GB2312" w:hAnsi="等线" w:eastAsia="楷体_GB2312" w:cs="楷体_GB2312"/>
                <w:b/>
                <w:bCs/>
                <w:color w:val="000000" w:themeColor="text1"/>
                <w:sz w:val="24"/>
                <w:highlight w:val="none"/>
                <w14:textFill>
                  <w14:solidFill>
                    <w14:schemeClr w14:val="tx1"/>
                  </w14:solidFill>
                </w14:textFill>
              </w:rPr>
            </w:pPr>
            <w:r>
              <w:rPr>
                <w:rFonts w:hint="eastAsia" w:ascii="楷体_GB2312" w:hAnsi="等线" w:eastAsia="楷体_GB2312" w:cs="楷体_GB2312"/>
                <w:b/>
                <w:bCs/>
                <w:color w:val="000000" w:themeColor="text1"/>
                <w:kern w:val="0"/>
                <w:sz w:val="24"/>
                <w:highlight w:val="none"/>
                <w:lang w:bidi="ar"/>
                <w14:textFill>
                  <w14:solidFill>
                    <w14:schemeClr w14:val="tx1"/>
                  </w14:solidFill>
                </w14:textFill>
              </w:rPr>
              <w:t>（二）交易规则</w:t>
            </w:r>
          </w:p>
        </w:tc>
      </w:tr>
      <w:tr w14:paraId="1803476B">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03BB52D9">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募集币种</w:t>
            </w:r>
          </w:p>
        </w:tc>
        <w:tc>
          <w:tcPr>
            <w:tcW w:w="6972" w:type="dxa"/>
            <w:tcBorders>
              <w:top w:val="single" w:color="auto" w:sz="4" w:space="0"/>
              <w:left w:val="single" w:color="auto" w:sz="4" w:space="0"/>
              <w:bottom w:val="single" w:color="auto" w:sz="4" w:space="0"/>
              <w:right w:val="single" w:color="auto" w:sz="4" w:space="0"/>
            </w:tcBorders>
            <w:vAlign w:val="center"/>
          </w:tcPr>
          <w:p w14:paraId="4465FF63">
            <w:pPr>
              <w:widowControl/>
              <w:spacing w:line="400" w:lineRule="exact"/>
              <w:jc w:val="left"/>
              <w:textAlignment w:val="center"/>
              <w:rPr>
                <w:rFonts w:hint="eastAsia" w:ascii="仿宋_GB2312" w:hAnsi="等线" w:eastAsia="仿宋_GB2312" w:cs="仿宋_GB2312"/>
                <w:bCs/>
                <w:color w:val="000000" w:themeColor="text1"/>
                <w:sz w:val="24"/>
                <w:highlight w:val="none"/>
                <w:lang w:eastAsia="zh-CN"/>
                <w14:textFill>
                  <w14:solidFill>
                    <w14:schemeClr w14:val="tx1"/>
                  </w14:solidFill>
                </w14:textFill>
              </w:rPr>
            </w:pPr>
            <w:r>
              <w:rPr>
                <w:rFonts w:hint="eastAsia" w:ascii="宋体" w:hAnsi="宋体" w:eastAsia="仿宋_GB2312" w:cstheme="minorBidi"/>
                <w:bCs w:val="0"/>
                <w:color w:val="auto"/>
                <w:kern w:val="2"/>
                <w:sz w:val="24"/>
                <w:szCs w:val="24"/>
                <w:highlight w:val="none"/>
                <w:u w:val="none"/>
                <w:lang w:eastAsia="zh-CN" w:bidi="ar"/>
              </w:rPr>
              <w:t>人民币</w:t>
            </w:r>
          </w:p>
        </w:tc>
      </w:tr>
      <w:tr w14:paraId="59692ACD">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50D78E2A">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起点销售金额</w:t>
            </w:r>
          </w:p>
        </w:tc>
        <w:tc>
          <w:tcPr>
            <w:tcW w:w="6972" w:type="dxa"/>
            <w:tcBorders>
              <w:top w:val="single" w:color="auto" w:sz="4" w:space="0"/>
              <w:left w:val="single" w:color="auto" w:sz="4" w:space="0"/>
              <w:bottom w:val="single" w:color="auto" w:sz="4" w:space="0"/>
              <w:right w:val="single" w:color="auto" w:sz="4" w:space="0"/>
            </w:tcBorders>
            <w:vAlign w:val="center"/>
          </w:tcPr>
          <w:p w14:paraId="05CFE530">
            <w:pPr>
              <w:widowControl/>
              <w:spacing w:line="400" w:lineRule="exact"/>
              <w:jc w:val="left"/>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ZYFCG0279A:1元</w:t>
            </w:r>
          </w:p>
          <w:p w14:paraId="189FC2A0">
            <w:pPr>
              <w:widowControl/>
              <w:spacing w:line="400" w:lineRule="exact"/>
              <w:jc w:val="left"/>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ZYFCG0279B:1元</w:t>
            </w:r>
          </w:p>
          <w:p w14:paraId="10A3DF8F">
            <w:pPr>
              <w:widowControl/>
              <w:spacing w:line="400" w:lineRule="exact"/>
              <w:jc w:val="left"/>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ZYFCG0279C:1元</w:t>
            </w:r>
          </w:p>
          <w:p w14:paraId="0801026A">
            <w:pPr>
              <w:widowControl/>
              <w:spacing w:line="400" w:lineRule="exact"/>
              <w:jc w:val="left"/>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ZYFCG0279D:1元</w:t>
            </w:r>
          </w:p>
          <w:p w14:paraId="6EF8630C">
            <w:pPr>
              <w:widowControl/>
              <w:spacing w:line="400" w:lineRule="exact"/>
              <w:jc w:val="left"/>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ZYFCG0279E:1元</w:t>
            </w:r>
          </w:p>
          <w:p w14:paraId="61DB4F7B">
            <w:pPr>
              <w:widowControl/>
              <w:spacing w:line="400" w:lineRule="exact"/>
              <w:jc w:val="left"/>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ZYFCG0279F:1元</w:t>
            </w:r>
          </w:p>
          <w:p w14:paraId="3FCB993A">
            <w:pPr>
              <w:widowControl/>
              <w:spacing w:line="400" w:lineRule="exact"/>
              <w:jc w:val="left"/>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ZYFCG0279G:1元</w:t>
            </w:r>
          </w:p>
          <w:p w14:paraId="5170B275">
            <w:pPr>
              <w:widowControl/>
              <w:spacing w:line="400" w:lineRule="exact"/>
              <w:jc w:val="left"/>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ZYFCG0279H:1元</w:t>
            </w:r>
          </w:p>
          <w:p w14:paraId="2A542117">
            <w:pPr>
              <w:widowControl/>
              <w:spacing w:line="400" w:lineRule="exact"/>
              <w:jc w:val="left"/>
              <w:textAlignment w:val="center"/>
              <w:rPr>
                <w:rFonts w:hint="default" w:ascii="宋体" w:hAnsi="宋体"/>
                <w:color w:val="auto"/>
                <w:szCs w:val="24"/>
                <w:highlight w:val="none"/>
                <w:u w:val="none"/>
                <w:lang w:val="en-US" w:eastAsia="zh-CN"/>
              </w:rPr>
            </w:pPr>
            <w:r>
              <w:rPr>
                <w:rFonts w:hint="eastAsia" w:ascii="宋体" w:hAnsi="宋体"/>
                <w:b/>
                <w:color w:val="auto"/>
                <w:szCs w:val="24"/>
                <w:highlight w:val="none"/>
                <w:u w:val="none"/>
              </w:rPr>
              <w:t>管理人有权以公告形式调整投资者起点</w:t>
            </w:r>
            <w:r>
              <w:rPr>
                <w:rFonts w:hint="eastAsia" w:ascii="宋体" w:hAnsi="宋体"/>
                <w:b/>
                <w:color w:val="auto"/>
                <w:szCs w:val="24"/>
                <w:highlight w:val="none"/>
                <w:u w:val="none"/>
                <w:lang w:eastAsia="zh-CN"/>
              </w:rPr>
              <w:t>销售</w:t>
            </w:r>
            <w:r>
              <w:rPr>
                <w:rFonts w:hint="eastAsia" w:ascii="宋体" w:hAnsi="宋体"/>
                <w:b/>
                <w:color w:val="auto"/>
                <w:szCs w:val="24"/>
                <w:highlight w:val="none"/>
                <w:u w:val="none"/>
              </w:rPr>
              <w:t>金额。销售机构的认购、申购起点</w:t>
            </w:r>
            <w:r>
              <w:rPr>
                <w:rFonts w:hint="eastAsia" w:ascii="宋体" w:hAnsi="宋体"/>
                <w:b/>
                <w:color w:val="auto"/>
                <w:szCs w:val="24"/>
                <w:highlight w:val="none"/>
                <w:u w:val="none"/>
                <w:lang w:eastAsia="zh-CN"/>
              </w:rPr>
              <w:t>销售</w:t>
            </w:r>
            <w:r>
              <w:rPr>
                <w:rFonts w:hint="eastAsia" w:ascii="宋体" w:hAnsi="宋体"/>
                <w:b/>
                <w:color w:val="auto"/>
                <w:szCs w:val="24"/>
                <w:highlight w:val="none"/>
                <w:u w:val="none"/>
              </w:rPr>
              <w:t>金额可能</w:t>
            </w:r>
            <w:r>
              <w:rPr>
                <w:rFonts w:ascii="宋体" w:hAnsi="宋体"/>
                <w:b/>
                <w:color w:val="auto"/>
                <w:szCs w:val="24"/>
                <w:highlight w:val="none"/>
                <w:u w:val="none"/>
              </w:rPr>
              <w:t>与本</w:t>
            </w:r>
            <w:r>
              <w:rPr>
                <w:rFonts w:hint="eastAsia" w:ascii="宋体" w:hAnsi="宋体"/>
                <w:b/>
                <w:color w:val="auto"/>
                <w:szCs w:val="24"/>
                <w:highlight w:val="none"/>
                <w:u w:val="none"/>
              </w:rPr>
              <w:t>产品</w:t>
            </w:r>
            <w:r>
              <w:rPr>
                <w:rFonts w:ascii="宋体" w:hAnsi="宋体"/>
                <w:b/>
                <w:color w:val="auto"/>
                <w:szCs w:val="24"/>
                <w:highlight w:val="none"/>
                <w:u w:val="none"/>
              </w:rPr>
              <w:t>说明书</w:t>
            </w:r>
            <w:r>
              <w:rPr>
                <w:rFonts w:hint="eastAsia" w:ascii="宋体" w:hAnsi="宋体"/>
                <w:b/>
                <w:color w:val="auto"/>
                <w:szCs w:val="24"/>
                <w:highlight w:val="none"/>
                <w:u w:val="none"/>
              </w:rPr>
              <w:t>不一致</w:t>
            </w:r>
            <w:r>
              <w:rPr>
                <w:rFonts w:ascii="宋体" w:hAnsi="宋体"/>
                <w:b/>
                <w:color w:val="auto"/>
                <w:szCs w:val="24"/>
                <w:highlight w:val="none"/>
                <w:u w:val="none"/>
              </w:rPr>
              <w:t>，</w:t>
            </w:r>
            <w:r>
              <w:rPr>
                <w:rFonts w:hint="eastAsia" w:ascii="宋体" w:hAnsi="宋体"/>
                <w:b/>
                <w:color w:val="auto"/>
                <w:szCs w:val="24"/>
                <w:highlight w:val="none"/>
                <w:u w:val="none"/>
              </w:rPr>
              <w:t>通过销售机构认购、申购</w:t>
            </w:r>
            <w:r>
              <w:rPr>
                <w:rFonts w:ascii="宋体" w:hAnsi="宋体"/>
                <w:b/>
                <w:color w:val="auto"/>
                <w:szCs w:val="24"/>
                <w:highlight w:val="none"/>
                <w:u w:val="none"/>
              </w:rPr>
              <w:t>的</w:t>
            </w:r>
            <w:r>
              <w:rPr>
                <w:rFonts w:hint="eastAsia" w:ascii="宋体" w:hAnsi="宋体"/>
                <w:b/>
                <w:color w:val="auto"/>
                <w:szCs w:val="24"/>
                <w:highlight w:val="none"/>
                <w:u w:val="none"/>
              </w:rPr>
              <w:t>具体以销售机构展示为准。销售机构的实际起点销售金额，不得低于本产品说明书约定的起点销售金额。</w:t>
            </w:r>
          </w:p>
        </w:tc>
      </w:tr>
      <w:tr w14:paraId="502166E2">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329BEACB">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追加递增金额</w:t>
            </w:r>
          </w:p>
        </w:tc>
        <w:tc>
          <w:tcPr>
            <w:tcW w:w="6972" w:type="dxa"/>
            <w:tcBorders>
              <w:top w:val="single" w:color="auto" w:sz="4" w:space="0"/>
              <w:left w:val="single" w:color="auto" w:sz="4" w:space="0"/>
              <w:bottom w:val="single" w:color="auto" w:sz="4" w:space="0"/>
              <w:right w:val="single" w:color="auto" w:sz="4" w:space="0"/>
            </w:tcBorders>
            <w:vAlign w:val="center"/>
          </w:tcPr>
          <w:p w14:paraId="50E7D4F5">
            <w:pPr>
              <w:widowControl/>
              <w:spacing w:line="400" w:lineRule="exact"/>
              <w:jc w:val="both"/>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ZYFCG0279A:0.01元</w:t>
            </w:r>
          </w:p>
          <w:p w14:paraId="5AA5738D">
            <w:pPr>
              <w:widowControl/>
              <w:spacing w:line="400" w:lineRule="exact"/>
              <w:jc w:val="both"/>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ZYFCG0279B:0.01元</w:t>
            </w:r>
          </w:p>
          <w:p w14:paraId="2FBB1E17">
            <w:pPr>
              <w:widowControl/>
              <w:spacing w:line="400" w:lineRule="exact"/>
              <w:jc w:val="both"/>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ZYFCG0279C:0.01元</w:t>
            </w:r>
          </w:p>
          <w:p w14:paraId="69E50EEC">
            <w:pPr>
              <w:widowControl/>
              <w:spacing w:line="400" w:lineRule="exact"/>
              <w:jc w:val="both"/>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ZYFCG0279D:0.01元</w:t>
            </w:r>
          </w:p>
          <w:p w14:paraId="3C315AB5">
            <w:pPr>
              <w:widowControl/>
              <w:spacing w:line="400" w:lineRule="exact"/>
              <w:jc w:val="both"/>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ZYFCG0279E:0.01元</w:t>
            </w:r>
          </w:p>
          <w:p w14:paraId="7CC10DCA">
            <w:pPr>
              <w:widowControl/>
              <w:spacing w:line="400" w:lineRule="exact"/>
              <w:jc w:val="both"/>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ZYFCG0279F:0.01元</w:t>
            </w:r>
          </w:p>
          <w:p w14:paraId="037819D1">
            <w:pPr>
              <w:widowControl/>
              <w:spacing w:line="400" w:lineRule="exact"/>
              <w:jc w:val="both"/>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ZYFCG0279G:0.01元</w:t>
            </w:r>
          </w:p>
          <w:p w14:paraId="44AB98E5">
            <w:pPr>
              <w:widowControl/>
              <w:spacing w:line="400" w:lineRule="exact"/>
              <w:jc w:val="both"/>
              <w:textAlignment w:val="center"/>
              <w:rPr>
                <w:rFonts w:hint="eastAsia" w:ascii="仿宋_GB2312" w:hAnsi="等线" w:eastAsia="仿宋_GB2312" w:cs="仿宋_GB2312"/>
                <w:bCs/>
                <w:color w:val="000000" w:themeColor="text1"/>
                <w:sz w:val="24"/>
                <w:highlight w:val="none"/>
                <w:lang w:eastAsia="zh-CN"/>
                <w14:textFill>
                  <w14:solidFill>
                    <w14:schemeClr w14:val="tx1"/>
                  </w14:solidFill>
                </w14:textFill>
              </w:rPr>
            </w:pPr>
            <w:r>
              <w:rPr>
                <w:rFonts w:hint="eastAsia" w:ascii="仿宋_GB2312" w:hAnsi="仿宋_GB2312" w:cs="仿宋_GB2312"/>
                <w:color w:val="auto"/>
                <w:szCs w:val="24"/>
                <w:highlight w:val="none"/>
                <w:u w:val="none"/>
                <w:lang w:eastAsia="zh-CN"/>
              </w:rPr>
              <w:t>ZYFCG0279H:0.01元</w:t>
            </w:r>
          </w:p>
        </w:tc>
      </w:tr>
      <w:tr w14:paraId="1DC0AB00">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2C74DDFE">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计划募集金额</w:t>
            </w:r>
          </w:p>
        </w:tc>
        <w:tc>
          <w:tcPr>
            <w:tcW w:w="6972" w:type="dxa"/>
            <w:tcBorders>
              <w:top w:val="single" w:color="auto" w:sz="4" w:space="0"/>
              <w:left w:val="single" w:color="auto" w:sz="4" w:space="0"/>
              <w:bottom w:val="single" w:color="auto" w:sz="4" w:space="0"/>
              <w:right w:val="single" w:color="auto" w:sz="4" w:space="0"/>
            </w:tcBorders>
            <w:vAlign w:val="center"/>
          </w:tcPr>
          <w:p w14:paraId="34C2B5E0">
            <w:pPr>
              <w:widowControl/>
              <w:spacing w:line="400" w:lineRule="exact"/>
              <w:jc w:val="left"/>
              <w:textAlignment w:val="center"/>
              <w:rPr>
                <w:rFonts w:hint="eastAsia" w:ascii="仿宋_GB2312" w:hAnsi="仿宋_GB2312" w:eastAsia="仿宋_GB2312" w:cs="仿宋_GB2312"/>
                <w:color w:val="auto"/>
                <w:szCs w:val="24"/>
                <w:highlight w:val="none"/>
                <w:u w:val="none"/>
                <w:lang w:val="en-US" w:eastAsia="zh-CN"/>
              </w:rPr>
            </w:pPr>
            <w:r>
              <w:rPr>
                <w:rFonts w:hint="eastAsia" w:ascii="仿宋_GB2312" w:hAnsi="仿宋_GB2312" w:cs="仿宋_GB2312"/>
                <w:color w:val="auto"/>
                <w:szCs w:val="24"/>
                <w:highlight w:val="none"/>
                <w:u w:val="none"/>
                <w:lang w:val="en-US" w:eastAsia="zh-CN"/>
              </w:rPr>
              <w:t>20</w:t>
            </w:r>
            <w:r>
              <w:rPr>
                <w:rFonts w:hint="eastAsia" w:ascii="仿宋_GB2312" w:hAnsi="仿宋_GB2312" w:eastAsia="仿宋_GB2312" w:cs="仿宋_GB2312"/>
                <w:color w:val="auto"/>
                <w:szCs w:val="24"/>
                <w:highlight w:val="none"/>
                <w:u w:val="none"/>
                <w:lang w:val="en-US" w:eastAsia="zh-CN"/>
              </w:rPr>
              <w:t>亿元。</w:t>
            </w:r>
          </w:p>
          <w:p w14:paraId="4BC4EFCD">
            <w:pPr>
              <w:widowControl/>
              <w:spacing w:line="400" w:lineRule="exact"/>
              <w:jc w:val="left"/>
              <w:textAlignment w:val="center"/>
              <w:rPr>
                <w:rFonts w:hint="eastAsia" w:ascii="仿宋_GB2312" w:hAnsi="仿宋_GB2312" w:eastAsia="仿宋_GB2312" w:cs="仿宋_GB2312"/>
                <w:color w:val="auto"/>
                <w:szCs w:val="24"/>
                <w:highlight w:val="none"/>
                <w:u w:val="none"/>
                <w:lang w:val="en-US" w:eastAsia="zh-CN"/>
              </w:rPr>
            </w:pPr>
            <w:r>
              <w:rPr>
                <w:rFonts w:hint="eastAsia" w:ascii="仿宋_GB2312" w:hAnsi="仿宋_GB2312" w:eastAsia="仿宋_GB2312" w:cs="仿宋_GB2312"/>
                <w:b/>
                <w:bCs/>
                <w:color w:val="auto"/>
                <w:szCs w:val="24"/>
                <w:highlight w:val="none"/>
                <w:u w:val="none"/>
              </w:rPr>
              <w:t>管理人有权根据实际需要调整</w:t>
            </w:r>
            <w:r>
              <w:rPr>
                <w:rFonts w:hint="eastAsia" w:ascii="仿宋_GB2312" w:hAnsi="仿宋_GB2312" w:eastAsia="仿宋_GB2312" w:cs="仿宋_GB2312"/>
                <w:b/>
                <w:bCs/>
                <w:color w:val="auto"/>
                <w:szCs w:val="24"/>
                <w:highlight w:val="none"/>
                <w:u w:val="none"/>
                <w:lang w:eastAsia="zh-CN"/>
              </w:rPr>
              <w:t>计划募集金额</w:t>
            </w:r>
            <w:r>
              <w:rPr>
                <w:rFonts w:hint="eastAsia" w:ascii="仿宋_GB2312" w:hAnsi="仿宋_GB2312" w:eastAsia="仿宋_GB2312" w:cs="仿宋_GB2312"/>
                <w:b/>
                <w:bCs/>
                <w:color w:val="auto"/>
                <w:szCs w:val="24"/>
                <w:highlight w:val="none"/>
                <w:u w:val="none"/>
              </w:rPr>
              <w:t>上限。</w:t>
            </w:r>
          </w:p>
        </w:tc>
      </w:tr>
      <w:tr w14:paraId="05CDAEA2">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792F8030">
            <w:pPr>
              <w:snapToGrid w:val="0"/>
              <w:ind w:left="-163" w:leftChars="-74" w:hanging="15" w:firstLineChars="0"/>
              <w:jc w:val="center"/>
              <w:rPr>
                <w:rFonts w:hint="eastAsia" w:ascii="仿宋_GB2312" w:hAnsi="等线" w:eastAsia="仿宋_GB2312" w:cs="仿宋_GB2312"/>
                <w:color w:val="000000" w:themeColor="text1"/>
                <w:kern w:val="0"/>
                <w:sz w:val="24"/>
                <w:highlight w:val="none"/>
                <w:lang w:bidi="ar"/>
                <w14:textFill>
                  <w14:solidFill>
                    <w14:schemeClr w14:val="tx1"/>
                  </w14:solidFill>
                </w14:textFill>
              </w:rPr>
            </w:pPr>
            <w:r>
              <w:rPr>
                <w:rFonts w:hint="eastAsia" w:ascii="宋体" w:hAnsi="宋体"/>
                <w:color w:val="auto"/>
                <w:szCs w:val="24"/>
                <w:highlight w:val="none"/>
                <w:u w:val="none"/>
              </w:rPr>
              <w:t>产品最低成立规模</w:t>
            </w:r>
          </w:p>
        </w:tc>
        <w:tc>
          <w:tcPr>
            <w:tcW w:w="6972" w:type="dxa"/>
            <w:tcBorders>
              <w:top w:val="single" w:color="auto" w:sz="4" w:space="0"/>
              <w:left w:val="single" w:color="auto" w:sz="4" w:space="0"/>
              <w:bottom w:val="single" w:color="auto" w:sz="4" w:space="0"/>
              <w:right w:val="single" w:color="auto" w:sz="4" w:space="0"/>
            </w:tcBorders>
            <w:vAlign w:val="center"/>
          </w:tcPr>
          <w:p w14:paraId="074303B2">
            <w:pPr>
              <w:widowControl/>
              <w:jc w:val="left"/>
              <w:rPr>
                <w:rFonts w:hint="eastAsia" w:ascii="仿宋_GB2312" w:hAnsi="仿宋_GB2312" w:eastAsia="仿宋_GB2312" w:cs="仿宋_GB2312"/>
                <w:bCs/>
                <w:color w:val="auto"/>
                <w:szCs w:val="24"/>
                <w:highlight w:val="none"/>
                <w:u w:val="none"/>
              </w:rPr>
            </w:pPr>
            <w:r>
              <w:rPr>
                <w:rFonts w:hint="eastAsia" w:ascii="仿宋_GB2312" w:hAnsi="仿宋_GB2312" w:eastAsia="仿宋_GB2312" w:cs="仿宋_GB2312"/>
                <w:color w:val="auto"/>
                <w:szCs w:val="24"/>
                <w:highlight w:val="none"/>
                <w:u w:val="none"/>
              </w:rPr>
              <w:t>【</w:t>
            </w:r>
            <w:r>
              <w:rPr>
                <w:rFonts w:hint="eastAsia" w:ascii="仿宋_GB2312" w:hAnsi="仿宋_GB2312" w:eastAsia="仿宋_GB2312" w:cs="仿宋_GB2312"/>
                <w:color w:val="auto"/>
                <w:szCs w:val="24"/>
                <w:highlight w:val="none"/>
                <w:u w:val="none"/>
                <w:lang w:val="en-US" w:eastAsia="zh-CN"/>
              </w:rPr>
              <w:t>/</w:t>
            </w:r>
            <w:r>
              <w:rPr>
                <w:rFonts w:hint="eastAsia" w:ascii="仿宋_GB2312" w:hAnsi="仿宋_GB2312" w:eastAsia="仿宋_GB2312" w:cs="仿宋_GB2312"/>
                <w:color w:val="auto"/>
                <w:szCs w:val="24"/>
                <w:highlight w:val="none"/>
                <w:u w:val="none"/>
              </w:rPr>
              <w:t>】</w:t>
            </w:r>
            <w:r>
              <w:rPr>
                <w:rFonts w:hint="eastAsia" w:ascii="仿宋_GB2312" w:hAnsi="仿宋_GB2312" w:eastAsia="仿宋_GB2312" w:cs="仿宋_GB2312"/>
                <w:bCs/>
                <w:color w:val="auto"/>
                <w:szCs w:val="24"/>
                <w:highlight w:val="none"/>
                <w:u w:val="none"/>
              </w:rPr>
              <w:t>亿元。</w:t>
            </w:r>
          </w:p>
          <w:p w14:paraId="5788D978">
            <w:pPr>
              <w:widowControl/>
              <w:jc w:val="left"/>
              <w:rPr>
                <w:rFonts w:hint="eastAsia" w:ascii="仿宋_GB2312" w:hAnsi="仿宋_GB2312" w:eastAsia="仿宋_GB2312" w:cs="仿宋_GB2312"/>
                <w:b/>
                <w:bCs/>
                <w:color w:val="auto"/>
                <w:szCs w:val="24"/>
                <w:highlight w:val="none"/>
                <w:u w:val="none"/>
              </w:rPr>
            </w:pPr>
            <w:r>
              <w:rPr>
                <w:rFonts w:hint="eastAsia" w:ascii="仿宋_GB2312" w:hAnsi="仿宋_GB2312" w:eastAsia="仿宋_GB2312" w:cs="仿宋_GB2312"/>
                <w:color w:val="auto"/>
                <w:szCs w:val="24"/>
                <w:highlight w:val="none"/>
                <w:u w:val="none"/>
              </w:rPr>
              <w:t>若认购金额不足【</w:t>
            </w:r>
            <w:r>
              <w:rPr>
                <w:rFonts w:hint="eastAsia" w:ascii="仿宋_GB2312" w:hAnsi="仿宋_GB2312" w:eastAsia="仿宋_GB2312" w:cs="仿宋_GB2312"/>
                <w:color w:val="auto"/>
                <w:szCs w:val="24"/>
                <w:highlight w:val="none"/>
                <w:u w:val="none"/>
                <w:lang w:val="en-US" w:eastAsia="zh-CN"/>
              </w:rPr>
              <w:t>/</w:t>
            </w:r>
            <w:r>
              <w:rPr>
                <w:rFonts w:hint="eastAsia" w:ascii="仿宋_GB2312" w:hAnsi="仿宋_GB2312" w:eastAsia="仿宋_GB2312" w:cs="仿宋_GB2312"/>
                <w:color w:val="auto"/>
                <w:szCs w:val="24"/>
                <w:highlight w:val="none"/>
                <w:u w:val="none"/>
              </w:rPr>
              <w:t>】</w:t>
            </w:r>
            <w:r>
              <w:rPr>
                <w:rFonts w:hint="eastAsia" w:ascii="仿宋_GB2312" w:hAnsi="仿宋_GB2312" w:eastAsia="仿宋_GB2312" w:cs="仿宋_GB2312"/>
                <w:bCs/>
                <w:color w:val="auto"/>
                <w:szCs w:val="24"/>
                <w:highlight w:val="none"/>
                <w:u w:val="none"/>
              </w:rPr>
              <w:t>亿元</w:t>
            </w:r>
            <w:r>
              <w:rPr>
                <w:rFonts w:hint="eastAsia" w:ascii="仿宋_GB2312" w:hAnsi="仿宋_GB2312" w:eastAsia="仿宋_GB2312" w:cs="仿宋_GB2312"/>
                <w:color w:val="auto"/>
                <w:szCs w:val="24"/>
                <w:highlight w:val="none"/>
                <w:u w:val="none"/>
              </w:rPr>
              <w:t>，</w:t>
            </w:r>
            <w:r>
              <w:rPr>
                <w:rFonts w:hint="eastAsia" w:ascii="仿宋_GB2312" w:hAnsi="仿宋_GB2312" w:eastAsia="仿宋_GB2312" w:cs="仿宋_GB2312"/>
                <w:b/>
                <w:bCs/>
                <w:color w:val="auto"/>
                <w:szCs w:val="24"/>
                <w:highlight w:val="none"/>
                <w:u w:val="none"/>
              </w:rPr>
              <w:t>管理人有权宣布理财产品不成立，亦有权调整产品最低成立规模，具体以管理人公告为准</w:t>
            </w:r>
            <w:r>
              <w:rPr>
                <w:rFonts w:hint="eastAsia" w:ascii="仿宋_GB2312" w:hAnsi="仿宋_GB2312" w:eastAsia="仿宋_GB2312" w:cs="仿宋_GB2312"/>
                <w:color w:val="auto"/>
                <w:szCs w:val="24"/>
                <w:highlight w:val="none"/>
                <w:u w:val="none"/>
              </w:rPr>
              <w:t>。</w:t>
            </w:r>
          </w:p>
        </w:tc>
      </w:tr>
      <w:tr w14:paraId="49DC1616">
        <w:tblPrEx>
          <w:tblCellMar>
            <w:top w:w="0" w:type="dxa"/>
            <w:left w:w="108" w:type="dxa"/>
            <w:bottom w:w="0" w:type="dxa"/>
            <w:right w:w="108" w:type="dxa"/>
          </w:tblCellMar>
        </w:tblPrEx>
        <w:trPr>
          <w:trHeight w:val="1280" w:hRule="atLeast"/>
        </w:trPr>
        <w:tc>
          <w:tcPr>
            <w:tcW w:w="2453" w:type="dxa"/>
            <w:tcBorders>
              <w:top w:val="single" w:color="auto" w:sz="4" w:space="0"/>
              <w:left w:val="single" w:color="auto" w:sz="4" w:space="0"/>
              <w:bottom w:val="single" w:color="auto" w:sz="4" w:space="0"/>
              <w:right w:val="single" w:color="auto" w:sz="4" w:space="0"/>
            </w:tcBorders>
            <w:vAlign w:val="center"/>
          </w:tcPr>
          <w:p w14:paraId="0B294670">
            <w:pPr>
              <w:snapToGrid w:val="0"/>
              <w:ind w:left="77" w:leftChars="26" w:hanging="15"/>
              <w:jc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宋体" w:hAnsi="宋体"/>
                <w:color w:val="auto"/>
                <w:szCs w:val="24"/>
                <w:highlight w:val="none"/>
              </w:rPr>
              <w:t>认购、申购、赎回安排</w:t>
            </w:r>
          </w:p>
        </w:tc>
        <w:tc>
          <w:tcPr>
            <w:tcW w:w="6972" w:type="dxa"/>
            <w:tcBorders>
              <w:top w:val="single" w:color="auto" w:sz="4" w:space="0"/>
              <w:left w:val="single" w:color="auto" w:sz="4" w:space="0"/>
              <w:bottom w:val="single" w:color="auto" w:sz="4" w:space="0"/>
              <w:right w:val="single" w:color="auto" w:sz="4" w:space="0"/>
            </w:tcBorders>
            <w:vAlign w:val="center"/>
          </w:tcPr>
          <w:p w14:paraId="69C88ABE">
            <w:pPr>
              <w:snapToGrid w:val="0"/>
              <w:jc w:val="left"/>
              <w:rPr>
                <w:rFonts w:hint="eastAsia" w:ascii="仿宋_GB2312" w:hAnsi="仿宋_GB2312" w:eastAsia="仿宋_GB2312" w:cs="仿宋_GB2312"/>
                <w:color w:val="auto"/>
                <w:szCs w:val="24"/>
                <w:highlight w:val="none"/>
              </w:rPr>
            </w:pPr>
            <w:r>
              <w:rPr>
                <w:rFonts w:hint="eastAsia" w:ascii="仿宋_GB2312" w:hAnsi="仿宋_GB2312" w:eastAsia="仿宋_GB2312" w:cs="仿宋_GB2312"/>
                <w:color w:val="auto"/>
                <w:szCs w:val="24"/>
                <w:highlight w:val="none"/>
              </w:rPr>
              <w:t>1.本理财产品按金额认购。</w:t>
            </w:r>
          </w:p>
          <w:p w14:paraId="06E83A1A">
            <w:pPr>
              <w:snapToGrid w:val="0"/>
              <w:jc w:val="left"/>
              <w:rPr>
                <w:rFonts w:hint="eastAsia" w:ascii="仿宋_GB2312" w:hAnsi="仿宋_GB2312" w:eastAsia="仿宋_GB2312" w:cs="仿宋_GB2312"/>
                <w:color w:val="auto"/>
                <w:szCs w:val="24"/>
                <w:highlight w:val="none"/>
              </w:rPr>
            </w:pPr>
            <w:r>
              <w:rPr>
                <w:rFonts w:hint="eastAsia" w:ascii="仿宋_GB2312" w:hAnsi="仿宋_GB2312" w:eastAsia="仿宋_GB2312" w:cs="仿宋_GB2312"/>
                <w:color w:val="auto"/>
                <w:szCs w:val="24"/>
                <w:highlight w:val="none"/>
              </w:rPr>
              <w:t>2.认购份额=认购金额÷产品份额净值，按四舍五入原则，保留2位小数。</w:t>
            </w:r>
          </w:p>
          <w:p w14:paraId="05C71CD8">
            <w:pPr>
              <w:snapToGrid w:val="0"/>
              <w:rPr>
                <w:rFonts w:hint="eastAsia" w:ascii="仿宋_GB2312" w:hAnsi="仿宋_GB2312" w:eastAsia="仿宋_GB2312" w:cs="仿宋_GB2312"/>
                <w:bCs/>
                <w:color w:val="000000" w:themeColor="text1"/>
                <w:sz w:val="24"/>
                <w:highlight w:val="none"/>
                <w14:textFill>
                  <w14:solidFill>
                    <w14:schemeClr w14:val="tx1"/>
                  </w14:solidFill>
                </w14:textFill>
              </w:rPr>
            </w:pPr>
            <w:r>
              <w:rPr>
                <w:rFonts w:hint="eastAsia" w:ascii="仿宋_GB2312" w:hAnsi="仿宋_GB2312" w:eastAsia="仿宋_GB2312" w:cs="仿宋_GB2312"/>
                <w:color w:val="auto"/>
                <w:szCs w:val="24"/>
                <w:highlight w:val="none"/>
              </w:rPr>
              <w:t>3.本产品存续期内不开放投资者申购或赎回。</w:t>
            </w:r>
          </w:p>
        </w:tc>
      </w:tr>
      <w:tr w14:paraId="74F80FBA">
        <w:tblPrEx>
          <w:tblCellMar>
            <w:top w:w="0" w:type="dxa"/>
            <w:left w:w="108" w:type="dxa"/>
            <w:bottom w:w="0" w:type="dxa"/>
            <w:right w:w="108" w:type="dxa"/>
          </w:tblCellMar>
        </w:tblPrEx>
        <w:trPr>
          <w:trHeight w:val="1140" w:hRule="atLeast"/>
        </w:trPr>
        <w:tc>
          <w:tcPr>
            <w:tcW w:w="2453" w:type="dxa"/>
            <w:tcBorders>
              <w:top w:val="single" w:color="auto" w:sz="4" w:space="0"/>
              <w:left w:val="single" w:color="auto" w:sz="4" w:space="0"/>
              <w:bottom w:val="single" w:color="auto" w:sz="4" w:space="0"/>
              <w:right w:val="single" w:color="auto" w:sz="4" w:space="0"/>
            </w:tcBorders>
            <w:vAlign w:val="center"/>
          </w:tcPr>
          <w:p w14:paraId="6A274B69">
            <w:pPr>
              <w:snapToGrid w:val="0"/>
              <w:ind w:left="77" w:leftChars="26" w:hanging="15" w:firstLineChars="0"/>
              <w:jc w:val="center"/>
              <w:rPr>
                <w:rFonts w:hint="eastAsia" w:ascii="仿宋_GB2312" w:hAnsi="等线" w:eastAsia="仿宋_GB2312" w:cs="仿宋_GB2312"/>
                <w:color w:val="000000" w:themeColor="text1"/>
                <w:kern w:val="0"/>
                <w:sz w:val="24"/>
                <w:highlight w:val="none"/>
                <w:lang w:bidi="ar"/>
                <w14:textFill>
                  <w14:solidFill>
                    <w14:schemeClr w14:val="tx1"/>
                  </w14:solidFill>
                </w14:textFill>
              </w:rPr>
            </w:pPr>
            <w:r>
              <w:rPr>
                <w:rFonts w:hint="eastAsia" w:ascii="宋体" w:hAnsi="宋体"/>
                <w:color w:val="auto"/>
                <w:kern w:val="0"/>
                <w:szCs w:val="24"/>
                <w:highlight w:val="none"/>
              </w:rPr>
              <w:t>撤销规则</w:t>
            </w:r>
          </w:p>
        </w:tc>
        <w:tc>
          <w:tcPr>
            <w:tcW w:w="6972" w:type="dxa"/>
            <w:tcBorders>
              <w:top w:val="single" w:color="auto" w:sz="4" w:space="0"/>
              <w:left w:val="single" w:color="auto" w:sz="4" w:space="0"/>
              <w:bottom w:val="single" w:color="auto" w:sz="4" w:space="0"/>
              <w:right w:val="single" w:color="auto" w:sz="4" w:space="0"/>
            </w:tcBorders>
            <w:vAlign w:val="center"/>
          </w:tcPr>
          <w:p w14:paraId="28749AE8">
            <w:pPr>
              <w:snapToGrid w:val="0"/>
              <w:jc w:val="left"/>
              <w:rPr>
                <w:rFonts w:hint="eastAsia" w:ascii="仿宋_GB2312" w:hAnsi="仿宋_GB2312" w:eastAsia="仿宋_GB2312" w:cs="仿宋_GB2312"/>
                <w:bCs/>
                <w:color w:val="000000" w:themeColor="text1"/>
                <w:kern w:val="0"/>
                <w:sz w:val="24"/>
                <w:highlight w:val="none"/>
                <w:lang w:bidi="ar"/>
                <w14:textFill>
                  <w14:solidFill>
                    <w14:schemeClr w14:val="tx1"/>
                  </w14:solidFill>
                </w14:textFill>
              </w:rPr>
            </w:pPr>
            <w:r>
              <w:rPr>
                <w:rFonts w:hint="eastAsia" w:ascii="仿宋_GB2312" w:hAnsi="仿宋_GB2312" w:eastAsia="仿宋_GB2312" w:cs="仿宋_GB2312"/>
                <w:color w:val="auto"/>
                <w:szCs w:val="24"/>
                <w:highlight w:val="none"/>
              </w:rPr>
              <w:t>投资者可在本理财产品募集期结束前撤销已成功提交的产品认购申请</w:t>
            </w:r>
            <w:r>
              <w:rPr>
                <w:rFonts w:hint="eastAsia" w:ascii="仿宋_GB2312" w:hAnsi="仿宋_GB2312" w:eastAsia="仿宋_GB2312" w:cs="仿宋_GB2312"/>
                <w:color w:val="auto"/>
                <w:kern w:val="0"/>
                <w:szCs w:val="24"/>
                <w:highlight w:val="none"/>
              </w:rPr>
              <w:t>。销售机构实际受理撤销申请时间可能与说明书不一致，具体以销售机构通知为准。</w:t>
            </w:r>
          </w:p>
        </w:tc>
      </w:tr>
      <w:tr w14:paraId="51D1D7D6">
        <w:tblPrEx>
          <w:tblCellMar>
            <w:top w:w="0" w:type="dxa"/>
            <w:left w:w="108" w:type="dxa"/>
            <w:bottom w:w="0" w:type="dxa"/>
            <w:right w:w="108" w:type="dxa"/>
          </w:tblCellMar>
        </w:tblPrEx>
        <w:trPr>
          <w:trHeight w:val="1140" w:hRule="atLeast"/>
        </w:trPr>
        <w:tc>
          <w:tcPr>
            <w:tcW w:w="2453" w:type="dxa"/>
            <w:tcBorders>
              <w:top w:val="single" w:color="auto" w:sz="4" w:space="0"/>
              <w:left w:val="single" w:color="auto" w:sz="4" w:space="0"/>
              <w:bottom w:val="single" w:color="auto" w:sz="4" w:space="0"/>
              <w:right w:val="single" w:color="auto" w:sz="4" w:space="0"/>
            </w:tcBorders>
            <w:vAlign w:val="center"/>
          </w:tcPr>
          <w:p w14:paraId="56F67EB4">
            <w:pPr>
              <w:snapToGrid w:val="0"/>
              <w:ind w:left="77" w:leftChars="26" w:hanging="15" w:firstLineChars="0"/>
              <w:jc w:val="center"/>
              <w:rPr>
                <w:rFonts w:hint="eastAsia" w:ascii="仿宋_GB2312" w:hAnsi="等线" w:eastAsia="仿宋_GB2312" w:cs="仿宋_GB2312"/>
                <w:color w:val="000000" w:themeColor="text1"/>
                <w:kern w:val="0"/>
                <w:sz w:val="24"/>
                <w:highlight w:val="none"/>
                <w:lang w:bidi="ar"/>
                <w14:textFill>
                  <w14:solidFill>
                    <w14:schemeClr w14:val="tx1"/>
                  </w14:solidFill>
                </w14:textFill>
              </w:rPr>
            </w:pPr>
            <w:r>
              <w:rPr>
                <w:rFonts w:hint="eastAsia" w:ascii="宋体" w:hAnsi="宋体"/>
                <w:bCs/>
                <w:color w:val="auto"/>
                <w:szCs w:val="24"/>
                <w:highlight w:val="none"/>
              </w:rPr>
              <w:t>认/申购数量</w:t>
            </w:r>
            <w:r>
              <w:rPr>
                <w:rFonts w:ascii="宋体" w:hAnsi="宋体"/>
                <w:bCs/>
                <w:color w:val="auto"/>
                <w:szCs w:val="24"/>
                <w:highlight w:val="none"/>
              </w:rPr>
              <w:t>限制</w:t>
            </w:r>
          </w:p>
        </w:tc>
        <w:tc>
          <w:tcPr>
            <w:tcW w:w="6972" w:type="dxa"/>
            <w:tcBorders>
              <w:top w:val="single" w:color="auto" w:sz="4" w:space="0"/>
              <w:left w:val="single" w:color="auto" w:sz="4" w:space="0"/>
              <w:bottom w:val="single" w:color="auto" w:sz="4" w:space="0"/>
              <w:right w:val="single" w:color="auto" w:sz="4" w:space="0"/>
            </w:tcBorders>
            <w:vAlign w:val="center"/>
          </w:tcPr>
          <w:p w14:paraId="0C7381AA">
            <w:pPr>
              <w:widowControl/>
              <w:jc w:val="left"/>
              <w:rPr>
                <w:rFonts w:hint="eastAsia" w:ascii="宋体" w:hAnsi="宋体"/>
                <w:bCs/>
                <w:color w:val="auto"/>
                <w:szCs w:val="24"/>
                <w:highlight w:val="none"/>
              </w:rPr>
            </w:pPr>
            <w:r>
              <w:rPr>
                <w:rFonts w:hint="eastAsia" w:ascii="宋体" w:hAnsi="宋体"/>
                <w:bCs/>
                <w:color w:val="auto"/>
                <w:szCs w:val="24"/>
                <w:highlight w:val="none"/>
              </w:rPr>
              <w:t>【A类份额】：【单一】投资者认购上限为【/】万元。</w:t>
            </w:r>
          </w:p>
          <w:p w14:paraId="54C71E4B">
            <w:pPr>
              <w:widowControl/>
              <w:jc w:val="left"/>
              <w:rPr>
                <w:rFonts w:hint="eastAsia" w:ascii="宋体" w:hAnsi="宋体"/>
                <w:bCs/>
                <w:color w:val="auto"/>
                <w:szCs w:val="24"/>
                <w:highlight w:val="none"/>
              </w:rPr>
            </w:pPr>
            <w:r>
              <w:rPr>
                <w:rFonts w:hint="eastAsia" w:ascii="宋体" w:hAnsi="宋体"/>
                <w:bCs/>
                <w:color w:val="auto"/>
                <w:szCs w:val="24"/>
                <w:highlight w:val="none"/>
              </w:rPr>
              <w:t>【B类份额】：【单一】投资者认购上限为【/】万元。</w:t>
            </w:r>
          </w:p>
          <w:p w14:paraId="128F07EB">
            <w:pPr>
              <w:widowControl/>
              <w:jc w:val="left"/>
              <w:rPr>
                <w:rFonts w:hint="eastAsia" w:ascii="宋体" w:hAnsi="宋体"/>
                <w:bCs/>
                <w:color w:val="auto"/>
                <w:szCs w:val="24"/>
                <w:highlight w:val="none"/>
              </w:rPr>
            </w:pPr>
            <w:r>
              <w:rPr>
                <w:rFonts w:hint="eastAsia" w:ascii="宋体" w:hAnsi="宋体"/>
                <w:bCs/>
                <w:color w:val="auto"/>
                <w:szCs w:val="24"/>
                <w:highlight w:val="none"/>
              </w:rPr>
              <w:t>【C类份额】：【单一】投资者认购上限为【/】万元。</w:t>
            </w:r>
          </w:p>
          <w:p w14:paraId="45444B60">
            <w:pPr>
              <w:widowControl/>
              <w:jc w:val="left"/>
              <w:rPr>
                <w:rFonts w:hint="eastAsia" w:ascii="宋体" w:hAnsi="宋体"/>
                <w:bCs/>
                <w:color w:val="auto"/>
                <w:szCs w:val="24"/>
                <w:highlight w:val="none"/>
              </w:rPr>
            </w:pPr>
            <w:r>
              <w:rPr>
                <w:rFonts w:hint="eastAsia" w:ascii="宋体" w:hAnsi="宋体"/>
                <w:bCs/>
                <w:color w:val="auto"/>
                <w:szCs w:val="24"/>
                <w:highlight w:val="none"/>
              </w:rPr>
              <w:t>【D类份额】：【单一】投资者认购上限为【/】万元。</w:t>
            </w:r>
          </w:p>
          <w:p w14:paraId="1C3878F5">
            <w:pPr>
              <w:widowControl/>
              <w:jc w:val="left"/>
              <w:rPr>
                <w:rFonts w:hint="eastAsia" w:ascii="宋体" w:hAnsi="宋体"/>
                <w:bCs/>
                <w:color w:val="auto"/>
                <w:szCs w:val="24"/>
                <w:highlight w:val="none"/>
              </w:rPr>
            </w:pPr>
            <w:r>
              <w:rPr>
                <w:rFonts w:hint="eastAsia" w:ascii="宋体" w:hAnsi="宋体"/>
                <w:bCs/>
                <w:color w:val="auto"/>
                <w:szCs w:val="24"/>
                <w:highlight w:val="none"/>
              </w:rPr>
              <w:t>【E类份额】：【单一】投资者认购上限为【/】万元。</w:t>
            </w:r>
          </w:p>
          <w:p w14:paraId="74631349">
            <w:pPr>
              <w:widowControl/>
              <w:jc w:val="left"/>
              <w:rPr>
                <w:rFonts w:hint="eastAsia" w:ascii="宋体" w:hAnsi="宋体"/>
                <w:bCs/>
                <w:color w:val="auto"/>
                <w:szCs w:val="24"/>
                <w:highlight w:val="none"/>
              </w:rPr>
            </w:pPr>
            <w:r>
              <w:rPr>
                <w:rFonts w:hint="eastAsia" w:ascii="宋体" w:hAnsi="宋体"/>
                <w:bCs/>
                <w:color w:val="auto"/>
                <w:szCs w:val="24"/>
                <w:highlight w:val="none"/>
              </w:rPr>
              <w:t>【F类份额】：【单一】投资者认购上限为【/】万元。</w:t>
            </w:r>
          </w:p>
          <w:p w14:paraId="074FFAF2">
            <w:pPr>
              <w:widowControl/>
              <w:jc w:val="left"/>
              <w:rPr>
                <w:rFonts w:hint="eastAsia" w:ascii="宋体" w:hAnsi="宋体"/>
                <w:bCs/>
                <w:color w:val="auto"/>
                <w:szCs w:val="24"/>
                <w:highlight w:val="none"/>
              </w:rPr>
            </w:pPr>
            <w:r>
              <w:rPr>
                <w:rFonts w:hint="eastAsia" w:ascii="宋体" w:hAnsi="宋体"/>
                <w:bCs/>
                <w:color w:val="auto"/>
                <w:szCs w:val="24"/>
                <w:highlight w:val="none"/>
              </w:rPr>
              <w:t>【G类份额】：【单一】投资者认购上限为【/】万元。</w:t>
            </w:r>
          </w:p>
          <w:p w14:paraId="2B508EEB">
            <w:pPr>
              <w:widowControl/>
              <w:jc w:val="left"/>
              <w:rPr>
                <w:rFonts w:hint="eastAsia" w:ascii="宋体" w:hAnsi="宋体"/>
                <w:bCs/>
                <w:color w:val="auto"/>
                <w:szCs w:val="24"/>
                <w:highlight w:val="none"/>
              </w:rPr>
            </w:pPr>
            <w:r>
              <w:rPr>
                <w:rFonts w:hint="eastAsia" w:ascii="宋体" w:hAnsi="宋体"/>
                <w:bCs/>
                <w:color w:val="auto"/>
                <w:szCs w:val="24"/>
                <w:highlight w:val="none"/>
              </w:rPr>
              <w:t>【</w:t>
            </w:r>
            <w:r>
              <w:rPr>
                <w:rFonts w:hint="eastAsia" w:ascii="宋体" w:hAnsi="宋体"/>
                <w:bCs/>
                <w:color w:val="auto"/>
                <w:szCs w:val="24"/>
                <w:highlight w:val="none"/>
                <w:lang w:val="en-US" w:eastAsia="zh-CN"/>
              </w:rPr>
              <w:t>H</w:t>
            </w:r>
            <w:r>
              <w:rPr>
                <w:rFonts w:hint="eastAsia" w:ascii="宋体" w:hAnsi="宋体"/>
                <w:bCs/>
                <w:color w:val="auto"/>
                <w:szCs w:val="24"/>
                <w:highlight w:val="none"/>
              </w:rPr>
              <w:t>类份额】：【单一】投资者认购上限为【/】万元。</w:t>
            </w:r>
          </w:p>
          <w:p w14:paraId="4F36C4E1">
            <w:pPr>
              <w:widowControl/>
              <w:jc w:val="left"/>
              <w:rPr>
                <w:rFonts w:ascii="宋体" w:hAnsi="宋体"/>
                <w:bCs/>
                <w:color w:val="auto"/>
                <w:szCs w:val="24"/>
                <w:highlight w:val="none"/>
              </w:rPr>
            </w:pPr>
            <w:r>
              <w:rPr>
                <w:rFonts w:hint="eastAsia" w:ascii="宋体" w:hAnsi="宋体"/>
                <w:bCs/>
                <w:color w:val="auto"/>
                <w:szCs w:val="24"/>
                <w:highlight w:val="none"/>
              </w:rPr>
              <w:t>在产品运作过程中因收益分配、净值波动等被动超上限的情形除外。管理人有权以公告形式调整投资者累计认/申购上限。</w:t>
            </w:r>
          </w:p>
          <w:p w14:paraId="0B17C2CC">
            <w:pPr>
              <w:widowControl/>
              <w:jc w:val="left"/>
              <w:rPr>
                <w:rFonts w:hint="eastAsia" w:ascii="仿宋" w:hAnsi="仿宋" w:eastAsia="仿宋" w:cs="宋体"/>
                <w:bCs/>
                <w:color w:val="000000" w:themeColor="text1"/>
                <w:kern w:val="0"/>
                <w:sz w:val="24"/>
                <w:highlight w:val="none"/>
                <w:lang w:bidi="ar"/>
                <w14:textFill>
                  <w14:solidFill>
                    <w14:schemeClr w14:val="tx1"/>
                  </w14:solidFill>
                </w14:textFill>
              </w:rPr>
            </w:pPr>
            <w:r>
              <w:rPr>
                <w:rFonts w:hint="eastAsia" w:ascii="宋体" w:hAnsi="宋体"/>
                <w:bCs/>
                <w:color w:val="auto"/>
                <w:szCs w:val="24"/>
                <w:highlight w:val="none"/>
              </w:rPr>
              <w:t>单一投资者持有份额不得超过本产品总份额【</w:t>
            </w:r>
            <w:r>
              <w:rPr>
                <w:rFonts w:hint="eastAsia" w:ascii="宋体" w:hAnsi="宋体"/>
                <w:bCs/>
                <w:color w:val="auto"/>
                <w:szCs w:val="24"/>
                <w:highlight w:val="none"/>
                <w:lang w:val="en-US" w:eastAsia="zh-CN"/>
              </w:rPr>
              <w:t>50%</w:t>
            </w:r>
            <w:r>
              <w:rPr>
                <w:rFonts w:hint="eastAsia" w:ascii="宋体" w:hAnsi="宋体"/>
                <w:bCs/>
                <w:color w:val="auto"/>
                <w:szCs w:val="24"/>
                <w:highlight w:val="none"/>
              </w:rPr>
              <w:t>】，非因产品管理人主观因素导致突破上述比例限制的，在单一投资者持有比例降至50%以下之前，产品管理人不得再接受投资者对本产品的认购。如投资者认/申购超过上述限额，管理人有权根据实际情况接受、拒绝或确认失败。</w:t>
            </w:r>
          </w:p>
        </w:tc>
      </w:tr>
      <w:tr w14:paraId="54AA8666">
        <w:tblPrEx>
          <w:tblCellMar>
            <w:top w:w="0" w:type="dxa"/>
            <w:left w:w="108" w:type="dxa"/>
            <w:bottom w:w="0" w:type="dxa"/>
            <w:right w:w="108" w:type="dxa"/>
          </w:tblCellMar>
        </w:tblPrEx>
        <w:trPr>
          <w:trHeight w:val="1140" w:hRule="atLeast"/>
        </w:trPr>
        <w:tc>
          <w:tcPr>
            <w:tcW w:w="2453" w:type="dxa"/>
            <w:tcBorders>
              <w:top w:val="single" w:color="auto" w:sz="4" w:space="0"/>
              <w:left w:val="single" w:color="auto" w:sz="4" w:space="0"/>
              <w:bottom w:val="single" w:color="auto" w:sz="4" w:space="0"/>
              <w:right w:val="single" w:color="auto" w:sz="4" w:space="0"/>
            </w:tcBorders>
            <w:vAlign w:val="center"/>
          </w:tcPr>
          <w:p w14:paraId="3B43C0A8">
            <w:pPr>
              <w:snapToGrid w:val="0"/>
              <w:ind w:left="-163" w:leftChars="-74" w:hanging="15" w:firstLineChars="0"/>
              <w:jc w:val="center"/>
              <w:rPr>
                <w:rFonts w:hint="eastAsia" w:ascii="宋体" w:hAnsi="宋体"/>
                <w:bCs/>
                <w:color w:val="auto"/>
                <w:szCs w:val="24"/>
                <w:highlight w:val="none"/>
                <w:u w:val="none"/>
              </w:rPr>
            </w:pPr>
            <w:r>
              <w:rPr>
                <w:rFonts w:hint="eastAsia" w:ascii="宋体" w:hAnsi="宋体"/>
                <w:bCs/>
                <w:color w:val="auto"/>
                <w:szCs w:val="24"/>
                <w:highlight w:val="none"/>
                <w:u w:val="none"/>
              </w:rPr>
              <w:t>最高持有限额</w:t>
            </w:r>
          </w:p>
        </w:tc>
        <w:tc>
          <w:tcPr>
            <w:tcW w:w="6972" w:type="dxa"/>
            <w:tcBorders>
              <w:top w:val="single" w:color="auto" w:sz="4" w:space="0"/>
              <w:left w:val="single" w:color="auto" w:sz="4" w:space="0"/>
              <w:bottom w:val="single" w:color="auto" w:sz="4" w:space="0"/>
              <w:right w:val="single" w:color="auto" w:sz="4" w:space="0"/>
            </w:tcBorders>
            <w:vAlign w:val="center"/>
          </w:tcPr>
          <w:p w14:paraId="6100FE01">
            <w:pPr>
              <w:keepNext w:val="0"/>
              <w:keepLines w:val="0"/>
              <w:widowControl/>
              <w:numPr>
                <w:ilvl w:val="0"/>
                <w:numId w:val="0"/>
              </w:numPr>
              <w:suppressLineNumbers w:val="0"/>
              <w:jc w:val="left"/>
              <w:rPr>
                <w:rFonts w:hint="eastAsia" w:ascii="宋体" w:hAnsi="宋体"/>
                <w:b/>
                <w:color w:val="auto"/>
                <w:szCs w:val="24"/>
                <w:highlight w:val="none"/>
                <w:u w:val="none"/>
              </w:rPr>
            </w:pPr>
            <w:r>
              <w:rPr>
                <w:rFonts w:hint="eastAsia" w:ascii="宋体" w:hAnsi="宋体" w:eastAsia="仿宋_GB2312" w:cstheme="minorBidi"/>
                <w:b/>
                <w:bCs w:val="0"/>
                <w:color w:val="auto"/>
                <w:kern w:val="2"/>
                <w:sz w:val="24"/>
                <w:szCs w:val="24"/>
                <w:highlight w:val="none"/>
                <w:u w:val="none"/>
                <w:lang w:val="en-US" w:eastAsia="zh-CN" w:bidi="ar"/>
              </w:rPr>
              <w:t>单一投资者持有份额</w:t>
            </w:r>
            <w:r>
              <w:rPr>
                <w:rFonts w:hint="eastAsia" w:ascii="宋体" w:hAnsi="宋体" w:cstheme="minorBidi"/>
                <w:b/>
                <w:bCs w:val="0"/>
                <w:color w:val="auto"/>
                <w:kern w:val="2"/>
                <w:sz w:val="24"/>
                <w:szCs w:val="24"/>
                <w:highlight w:val="none"/>
                <w:u w:val="none"/>
                <w:lang w:val="en-US" w:eastAsia="zh-CN" w:bidi="ar"/>
              </w:rPr>
              <w:t>不得</w:t>
            </w:r>
            <w:r>
              <w:rPr>
                <w:rFonts w:hint="eastAsia" w:ascii="宋体" w:hAnsi="宋体" w:eastAsia="仿宋_GB2312" w:cstheme="minorBidi"/>
                <w:b/>
                <w:bCs w:val="0"/>
                <w:color w:val="auto"/>
                <w:kern w:val="2"/>
                <w:sz w:val="24"/>
                <w:szCs w:val="24"/>
                <w:highlight w:val="none"/>
                <w:u w:val="none"/>
                <w:lang w:val="en-US" w:eastAsia="zh-CN" w:bidi="ar"/>
              </w:rPr>
              <w:t>超过本理财产品总份额的50%。</w:t>
            </w:r>
          </w:p>
          <w:p w14:paraId="6857EC18">
            <w:pPr>
              <w:widowControl/>
              <w:numPr>
                <w:ilvl w:val="-1"/>
                <w:numId w:val="0"/>
              </w:numPr>
              <w:jc w:val="left"/>
              <w:rPr>
                <w:rFonts w:hint="eastAsia" w:ascii="宋体" w:hAnsi="宋体"/>
                <w:b/>
                <w:bCs w:val="0"/>
                <w:color w:val="auto"/>
                <w:szCs w:val="24"/>
                <w:highlight w:val="none"/>
                <w:u w:val="none"/>
                <w:lang w:val="en-US" w:eastAsia="zh-CN"/>
              </w:rPr>
            </w:pPr>
            <w:r>
              <w:rPr>
                <w:rFonts w:hint="eastAsia" w:ascii="宋体" w:hAnsi="宋体"/>
                <w:b/>
                <w:bCs w:val="0"/>
                <w:color w:val="auto"/>
                <w:szCs w:val="24"/>
                <w:highlight w:val="none"/>
                <w:u w:val="none"/>
                <w:lang w:val="en-US" w:eastAsia="zh-CN"/>
              </w:rPr>
              <w:t>如销售机构规定与本规则不一致的，则以各销售机构规定为准，但不得高于最高持有限额。</w:t>
            </w:r>
          </w:p>
        </w:tc>
      </w:tr>
      <w:tr w14:paraId="469D58A5">
        <w:tblPrEx>
          <w:tblCellMar>
            <w:top w:w="0" w:type="dxa"/>
            <w:left w:w="108" w:type="dxa"/>
            <w:bottom w:w="0" w:type="dxa"/>
            <w:right w:w="108" w:type="dxa"/>
          </w:tblCellMar>
        </w:tblPrEx>
        <w:trPr>
          <w:trHeight w:val="1140" w:hRule="atLeast"/>
        </w:trPr>
        <w:tc>
          <w:tcPr>
            <w:tcW w:w="2453" w:type="dxa"/>
            <w:tcBorders>
              <w:top w:val="single" w:color="auto" w:sz="4" w:space="0"/>
              <w:left w:val="single" w:color="auto" w:sz="4" w:space="0"/>
              <w:bottom w:val="single" w:color="auto" w:sz="4" w:space="0"/>
              <w:right w:val="single" w:color="auto" w:sz="4" w:space="0"/>
            </w:tcBorders>
            <w:vAlign w:val="center"/>
          </w:tcPr>
          <w:p w14:paraId="68DE6EE5">
            <w:pPr>
              <w:snapToGrid w:val="0"/>
              <w:ind w:left="-163" w:leftChars="-74" w:hanging="15" w:firstLineChars="0"/>
              <w:jc w:val="center"/>
              <w:rPr>
                <w:rFonts w:hint="eastAsia" w:ascii="仿宋_GB2312" w:hAnsi="等线" w:eastAsia="仿宋_GB2312" w:cs="仿宋_GB2312"/>
                <w:color w:val="000000" w:themeColor="text1"/>
                <w:kern w:val="0"/>
                <w:sz w:val="24"/>
                <w:highlight w:val="none"/>
                <w:lang w:bidi="ar"/>
                <w14:textFill>
                  <w14:solidFill>
                    <w14:schemeClr w14:val="tx1"/>
                  </w14:solidFill>
                </w14:textFill>
              </w:rPr>
            </w:pPr>
            <w:r>
              <w:rPr>
                <w:rFonts w:hint="eastAsia" w:ascii="宋体" w:hAnsi="宋体"/>
                <w:color w:val="auto"/>
                <w:szCs w:val="24"/>
                <w:highlight w:val="none"/>
                <w:u w:val="none"/>
              </w:rPr>
              <w:t>产品份额净值</w:t>
            </w:r>
          </w:p>
        </w:tc>
        <w:tc>
          <w:tcPr>
            <w:tcW w:w="6972" w:type="dxa"/>
            <w:tcBorders>
              <w:top w:val="single" w:color="auto" w:sz="4" w:space="0"/>
              <w:left w:val="single" w:color="auto" w:sz="4" w:space="0"/>
              <w:bottom w:val="single" w:color="auto" w:sz="4" w:space="0"/>
              <w:right w:val="single" w:color="auto" w:sz="4" w:space="0"/>
            </w:tcBorders>
            <w:vAlign w:val="center"/>
          </w:tcPr>
          <w:p w14:paraId="4B7AAA00">
            <w:pPr>
              <w:snapToGrid w:val="0"/>
              <w:rPr>
                <w:rFonts w:ascii="宋体" w:hAnsi="宋体"/>
                <w:color w:val="auto"/>
                <w:szCs w:val="24"/>
                <w:highlight w:val="none"/>
                <w:u w:val="none"/>
              </w:rPr>
            </w:pPr>
            <w:r>
              <w:rPr>
                <w:rFonts w:hint="eastAsia" w:ascii="宋体" w:hAnsi="宋体"/>
                <w:color w:val="auto"/>
                <w:szCs w:val="24"/>
                <w:highlight w:val="none"/>
                <w:u w:val="none"/>
              </w:rPr>
              <w:t>理财产品份额净值是提取相关税费后单位理财产品份额的净值；份额净值随理财产品投资运行情况变化而变化。</w:t>
            </w:r>
          </w:p>
          <w:p w14:paraId="2DFB5020">
            <w:pPr>
              <w:snapToGrid w:val="0"/>
              <w:rPr>
                <w:rFonts w:ascii="宋体" w:hAnsi="宋体"/>
                <w:color w:val="auto"/>
                <w:szCs w:val="24"/>
                <w:highlight w:val="none"/>
                <w:u w:val="none"/>
              </w:rPr>
            </w:pPr>
            <w:r>
              <w:rPr>
                <w:rFonts w:hint="eastAsia" w:ascii="宋体" w:hAnsi="宋体"/>
                <w:color w:val="auto"/>
                <w:szCs w:val="24"/>
                <w:highlight w:val="none"/>
                <w:u w:val="none"/>
              </w:rPr>
              <w:t>本产品募集期内，投资者按份额净值进行认购。</w:t>
            </w:r>
          </w:p>
          <w:p w14:paraId="66D70D2B">
            <w:pPr>
              <w:snapToGrid w:val="0"/>
              <w:rPr>
                <w:rFonts w:hint="eastAsia" w:ascii="宋体" w:hAnsi="宋体" w:eastAsia="仿宋_GB2312"/>
                <w:b/>
                <w:bCs/>
                <w:color w:val="auto"/>
                <w:szCs w:val="24"/>
                <w:highlight w:val="none"/>
                <w:u w:val="none"/>
                <w:lang w:eastAsia="zh-CN"/>
              </w:rPr>
            </w:pPr>
            <w:r>
              <w:rPr>
                <w:rFonts w:hint="eastAsia" w:ascii="宋体" w:hAnsi="宋体"/>
                <w:b/>
                <w:bCs/>
                <w:color w:val="auto"/>
                <w:szCs w:val="24"/>
                <w:highlight w:val="none"/>
                <w:u w:val="none"/>
              </w:rPr>
              <w:t>本产品初始份额净值为1.00</w:t>
            </w:r>
            <w:r>
              <w:rPr>
                <w:rFonts w:hint="eastAsia" w:ascii="宋体" w:hAnsi="宋体"/>
                <w:b/>
                <w:bCs/>
                <w:color w:val="auto"/>
                <w:szCs w:val="24"/>
                <w:highlight w:val="none"/>
                <w:u w:val="none"/>
                <w:lang w:val="en-US" w:eastAsia="zh-CN"/>
              </w:rPr>
              <w:t>0000</w:t>
            </w:r>
            <w:r>
              <w:rPr>
                <w:rFonts w:hint="eastAsia" w:ascii="宋体" w:hAnsi="宋体"/>
                <w:b/>
                <w:bCs/>
                <w:color w:val="auto"/>
                <w:szCs w:val="24"/>
                <w:highlight w:val="none"/>
                <w:u w:val="none"/>
              </w:rPr>
              <w:t>元/份。</w:t>
            </w:r>
          </w:p>
        </w:tc>
      </w:tr>
      <w:tr w14:paraId="641558E5">
        <w:tblPrEx>
          <w:tblCellMar>
            <w:top w:w="0" w:type="dxa"/>
            <w:left w:w="108" w:type="dxa"/>
            <w:bottom w:w="0" w:type="dxa"/>
            <w:right w:w="108" w:type="dxa"/>
          </w:tblCellMar>
        </w:tblPrEx>
        <w:trPr>
          <w:trHeight w:val="643" w:hRule="atLeast"/>
        </w:trPr>
        <w:tc>
          <w:tcPr>
            <w:tcW w:w="2453" w:type="dxa"/>
            <w:tcBorders>
              <w:top w:val="single" w:color="auto" w:sz="4" w:space="0"/>
              <w:left w:val="single" w:color="auto" w:sz="4" w:space="0"/>
              <w:bottom w:val="single" w:color="auto" w:sz="4" w:space="0"/>
              <w:right w:val="single" w:color="auto" w:sz="4" w:space="0"/>
            </w:tcBorders>
            <w:vAlign w:val="center"/>
          </w:tcPr>
          <w:p w14:paraId="4E6077F5">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收益分配方式</w:t>
            </w:r>
          </w:p>
        </w:tc>
        <w:tc>
          <w:tcPr>
            <w:tcW w:w="6972" w:type="dxa"/>
            <w:tcBorders>
              <w:top w:val="single" w:color="auto" w:sz="4" w:space="0"/>
              <w:left w:val="single" w:color="auto" w:sz="4" w:space="0"/>
              <w:bottom w:val="single" w:color="auto" w:sz="4" w:space="0"/>
              <w:right w:val="single" w:color="auto" w:sz="4" w:space="0"/>
            </w:tcBorders>
            <w:vAlign w:val="center"/>
          </w:tcPr>
          <w:p w14:paraId="050DF421">
            <w:pPr>
              <w:widowControl/>
              <w:spacing w:line="400" w:lineRule="exact"/>
              <w:jc w:val="left"/>
              <w:textAlignment w:val="center"/>
              <w:rPr>
                <w:rFonts w:hint="default" w:ascii="仿宋_GB2312" w:hAnsi="等线" w:cs="仿宋_GB2312"/>
                <w:bCs/>
                <w:color w:val="000000" w:themeColor="text1"/>
                <w:sz w:val="24"/>
                <w:highlight w:val="none"/>
                <w:lang w:val="en-US" w:eastAsia="zh-CN"/>
                <w14:textFill>
                  <w14:solidFill>
                    <w14:schemeClr w14:val="tx1"/>
                  </w14:solidFill>
                </w14:textFill>
              </w:rPr>
            </w:pPr>
            <w:r>
              <w:rPr>
                <w:rFonts w:hint="eastAsia" w:ascii="仿宋_GB2312" w:hAnsi="等线" w:cs="仿宋_GB2312"/>
                <w:bCs/>
                <w:color w:val="000000" w:themeColor="text1"/>
                <w:sz w:val="24"/>
                <w:highlight w:val="none"/>
                <w:lang w:eastAsia="zh-CN"/>
                <w14:textFill>
                  <w14:solidFill>
                    <w14:schemeClr w14:val="tx1"/>
                  </w14:solidFill>
                </w14:textFill>
              </w:rPr>
              <w:t>现金分配</w:t>
            </w:r>
          </w:p>
        </w:tc>
      </w:tr>
      <w:tr w14:paraId="7D3DD9B1">
        <w:tblPrEx>
          <w:tblCellMar>
            <w:top w:w="0" w:type="dxa"/>
            <w:left w:w="108" w:type="dxa"/>
            <w:bottom w:w="0" w:type="dxa"/>
            <w:right w:w="108" w:type="dxa"/>
          </w:tblCellMar>
        </w:tblPrEx>
        <w:trPr>
          <w:trHeight w:val="270" w:hRule="atLeast"/>
        </w:trPr>
        <w:tc>
          <w:tcPr>
            <w:tcW w:w="9425" w:type="dxa"/>
            <w:gridSpan w:val="2"/>
            <w:tcBorders>
              <w:top w:val="single" w:color="auto" w:sz="4" w:space="0"/>
              <w:left w:val="single" w:color="auto" w:sz="4" w:space="0"/>
              <w:bottom w:val="single" w:color="auto" w:sz="4" w:space="0"/>
              <w:right w:val="single" w:color="auto" w:sz="4" w:space="0"/>
            </w:tcBorders>
            <w:vAlign w:val="center"/>
          </w:tcPr>
          <w:p w14:paraId="220036AA">
            <w:pPr>
              <w:widowControl/>
              <w:spacing w:line="400" w:lineRule="exact"/>
              <w:jc w:val="center"/>
              <w:textAlignment w:val="center"/>
              <w:rPr>
                <w:rFonts w:hint="eastAsia" w:ascii="楷体_GB2312" w:hAnsi="等线" w:eastAsia="楷体_GB2312" w:cs="楷体_GB2312"/>
                <w:b/>
                <w:bCs/>
                <w:color w:val="000000" w:themeColor="text1"/>
                <w:sz w:val="24"/>
                <w:highlight w:val="none"/>
                <w14:textFill>
                  <w14:solidFill>
                    <w14:schemeClr w14:val="tx1"/>
                  </w14:solidFill>
                </w14:textFill>
              </w:rPr>
            </w:pPr>
            <w:r>
              <w:rPr>
                <w:rFonts w:hint="eastAsia" w:ascii="楷体_GB2312" w:hAnsi="等线" w:eastAsia="楷体_GB2312" w:cs="楷体_GB2312"/>
                <w:b/>
                <w:bCs/>
                <w:color w:val="000000" w:themeColor="text1"/>
                <w:kern w:val="0"/>
                <w:sz w:val="24"/>
                <w:highlight w:val="none"/>
                <w:lang w:bidi="ar"/>
                <w14:textFill>
                  <w14:solidFill>
                    <w14:schemeClr w14:val="tx1"/>
                  </w14:solidFill>
                </w14:textFill>
              </w:rPr>
              <w:t>（三）产品性质与类型</w:t>
            </w:r>
          </w:p>
        </w:tc>
      </w:tr>
      <w:tr w14:paraId="5E286AC6">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48D55582">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募集方式</w:t>
            </w:r>
          </w:p>
        </w:tc>
        <w:tc>
          <w:tcPr>
            <w:tcW w:w="6972" w:type="dxa"/>
            <w:tcBorders>
              <w:top w:val="single" w:color="auto" w:sz="4" w:space="0"/>
              <w:left w:val="single" w:color="auto" w:sz="4" w:space="0"/>
              <w:bottom w:val="single" w:color="auto" w:sz="4" w:space="0"/>
              <w:right w:val="single" w:color="auto" w:sz="4" w:space="0"/>
            </w:tcBorders>
            <w:vAlign w:val="center"/>
          </w:tcPr>
          <w:p w14:paraId="3B3E3FF5">
            <w:pPr>
              <w:widowControl/>
              <w:spacing w:line="400" w:lineRule="exact"/>
              <w:jc w:val="left"/>
              <w:textAlignment w:val="center"/>
              <w:rPr>
                <w:rFonts w:hint="eastAsia" w:ascii="仿宋_GB2312" w:hAnsi="宋体" w:eastAsia="仿宋_GB2312" w:cs="宋体"/>
                <w:b/>
                <w:bCs/>
                <w:color w:val="auto"/>
                <w:kern w:val="0"/>
                <w:sz w:val="24"/>
                <w:szCs w:val="24"/>
                <w:highlight w:val="none"/>
                <w:u w:val="none"/>
                <w:lang w:eastAsia="zh-CN"/>
              </w:rPr>
            </w:pPr>
            <w:r>
              <w:rPr>
                <w:rFonts w:hint="eastAsia" w:ascii="宋体" w:hAnsi="宋体"/>
                <w:b/>
                <w:szCs w:val="24"/>
                <w:highlight w:val="none"/>
                <w:lang w:eastAsia="zh-CN"/>
              </w:rPr>
              <w:t>公募</w:t>
            </w:r>
          </w:p>
        </w:tc>
      </w:tr>
      <w:tr w14:paraId="536E5649">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4F9526CA">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投资性质</w:t>
            </w:r>
          </w:p>
        </w:tc>
        <w:tc>
          <w:tcPr>
            <w:tcW w:w="6972" w:type="dxa"/>
            <w:tcBorders>
              <w:top w:val="single" w:color="auto" w:sz="4" w:space="0"/>
              <w:left w:val="single" w:color="auto" w:sz="4" w:space="0"/>
              <w:bottom w:val="single" w:color="auto" w:sz="4" w:space="0"/>
              <w:right w:val="single" w:color="auto" w:sz="4" w:space="0"/>
            </w:tcBorders>
            <w:vAlign w:val="center"/>
          </w:tcPr>
          <w:p w14:paraId="27FDECB3">
            <w:pPr>
              <w:widowControl/>
              <w:spacing w:line="400" w:lineRule="exact"/>
              <w:jc w:val="left"/>
              <w:textAlignment w:val="center"/>
              <w:rPr>
                <w:rFonts w:hint="eastAsia" w:ascii="仿宋_GB2312" w:hAnsi="宋体" w:eastAsia="仿宋_GB2312" w:cs="宋体"/>
                <w:b/>
                <w:bCs/>
                <w:color w:val="auto"/>
                <w:kern w:val="0"/>
                <w:sz w:val="24"/>
                <w:szCs w:val="24"/>
                <w:highlight w:val="none"/>
                <w:u w:val="none"/>
                <w:lang w:bidi="ar"/>
              </w:rPr>
            </w:pPr>
            <w:r>
              <w:rPr>
                <w:rFonts w:hint="eastAsia" w:ascii="宋体" w:hAnsi="宋体"/>
                <w:b/>
                <w:szCs w:val="24"/>
                <w:highlight w:val="none"/>
                <w:lang w:eastAsia="zh-CN"/>
              </w:rPr>
              <w:t>固定收益类</w:t>
            </w:r>
          </w:p>
        </w:tc>
      </w:tr>
      <w:tr w14:paraId="5E4F05A6">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4AF0FE65">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运作模式</w:t>
            </w:r>
          </w:p>
        </w:tc>
        <w:tc>
          <w:tcPr>
            <w:tcW w:w="6972" w:type="dxa"/>
            <w:tcBorders>
              <w:top w:val="single" w:color="auto" w:sz="4" w:space="0"/>
              <w:left w:val="single" w:color="auto" w:sz="4" w:space="0"/>
              <w:bottom w:val="single" w:color="auto" w:sz="4" w:space="0"/>
              <w:right w:val="single" w:color="auto" w:sz="4" w:space="0"/>
            </w:tcBorders>
            <w:vAlign w:val="center"/>
          </w:tcPr>
          <w:p w14:paraId="1A5C344C">
            <w:pPr>
              <w:widowControl/>
              <w:spacing w:line="400" w:lineRule="exact"/>
              <w:jc w:val="left"/>
              <w:textAlignment w:val="center"/>
              <w:rPr>
                <w:rFonts w:hint="eastAsia" w:ascii="仿宋_GB2312" w:hAnsi="宋体" w:eastAsia="仿宋_GB2312" w:cs="宋体"/>
                <w:b/>
                <w:bCs/>
                <w:color w:val="auto"/>
                <w:kern w:val="0"/>
                <w:sz w:val="24"/>
                <w:szCs w:val="24"/>
                <w:highlight w:val="none"/>
                <w:u w:val="none"/>
                <w:lang w:bidi="ar"/>
              </w:rPr>
            </w:pPr>
            <w:r>
              <w:rPr>
                <w:rFonts w:hint="eastAsia" w:ascii="宋体" w:hAnsi="宋体"/>
                <w:b/>
                <w:szCs w:val="24"/>
                <w:highlight w:val="none"/>
                <w:lang w:eastAsia="zh-CN"/>
              </w:rPr>
              <w:t>【</w:t>
            </w:r>
            <w:r>
              <w:rPr>
                <w:rFonts w:hint="eastAsia" w:ascii="宋体" w:hAnsi="宋体"/>
                <w:b/>
                <w:szCs w:val="24"/>
                <w:highlight w:val="none"/>
                <w:lang w:val="en-US" w:eastAsia="zh-CN"/>
              </w:rPr>
              <w:t>封闭式</w:t>
            </w:r>
            <w:r>
              <w:rPr>
                <w:rFonts w:hint="eastAsia" w:ascii="宋体" w:hAnsi="宋体"/>
                <w:b/>
                <w:szCs w:val="24"/>
                <w:highlight w:val="none"/>
                <w:lang w:eastAsia="zh-CN"/>
              </w:rPr>
              <w:t>】</w:t>
            </w:r>
          </w:p>
        </w:tc>
      </w:tr>
      <w:tr w14:paraId="5267432C">
        <w:tblPrEx>
          <w:tblCellMar>
            <w:top w:w="0" w:type="dxa"/>
            <w:left w:w="108" w:type="dxa"/>
            <w:bottom w:w="0" w:type="dxa"/>
            <w:right w:w="108" w:type="dxa"/>
          </w:tblCellMar>
        </w:tblPrEx>
        <w:trPr>
          <w:trHeight w:val="810" w:hRule="atLeast"/>
        </w:trPr>
        <w:tc>
          <w:tcPr>
            <w:tcW w:w="2453" w:type="dxa"/>
            <w:tcBorders>
              <w:top w:val="single" w:color="auto" w:sz="4" w:space="0"/>
              <w:left w:val="single" w:color="auto" w:sz="4" w:space="0"/>
              <w:bottom w:val="single" w:color="auto" w:sz="4" w:space="0"/>
              <w:right w:val="single" w:color="auto" w:sz="4" w:space="0"/>
            </w:tcBorders>
            <w:vAlign w:val="center"/>
          </w:tcPr>
          <w:p w14:paraId="0A2BC4B1">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风险等级</w:t>
            </w:r>
          </w:p>
        </w:tc>
        <w:tc>
          <w:tcPr>
            <w:tcW w:w="6972" w:type="dxa"/>
            <w:tcBorders>
              <w:top w:val="single" w:color="auto" w:sz="4" w:space="0"/>
              <w:left w:val="single" w:color="auto" w:sz="4" w:space="0"/>
              <w:bottom w:val="single" w:color="auto" w:sz="4" w:space="0"/>
              <w:right w:val="single" w:color="auto" w:sz="4" w:space="0"/>
            </w:tcBorders>
            <w:vAlign w:val="center"/>
          </w:tcPr>
          <w:p w14:paraId="26CFD4F9">
            <w:pPr>
              <w:widowControl/>
              <w:tabs>
                <w:tab w:val="left" w:pos="709"/>
              </w:tabs>
              <w:snapToGrid w:val="0"/>
              <w:rPr>
                <w:rFonts w:ascii="宋体" w:hAnsi="宋体"/>
                <w:color w:val="auto"/>
                <w:szCs w:val="24"/>
                <w:highlight w:val="none"/>
                <w:u w:val="none"/>
              </w:rPr>
            </w:pPr>
            <w:r>
              <w:rPr>
                <w:rFonts w:hint="eastAsia" w:ascii="宋体" w:hAnsi="宋体"/>
                <w:b/>
                <w:bCs/>
                <w:color w:val="auto"/>
                <w:szCs w:val="24"/>
                <w:highlight w:val="none"/>
                <w:u w:val="none"/>
              </w:rPr>
              <w:t>【</w:t>
            </w:r>
            <w:r>
              <w:rPr>
                <w:rFonts w:hint="eastAsia" w:ascii="宋体" w:hAnsi="宋体"/>
                <w:b/>
                <w:bCs/>
                <w:color w:val="auto"/>
                <w:szCs w:val="24"/>
                <w:highlight w:val="none"/>
                <w:u w:val="none"/>
                <w:lang w:val="en-US" w:eastAsia="zh-CN"/>
              </w:rPr>
              <w:t>R2</w:t>
            </w:r>
            <w:r>
              <w:rPr>
                <w:rFonts w:hint="eastAsia" w:ascii="宋体" w:hAnsi="宋体"/>
                <w:b/>
                <w:bCs/>
                <w:color w:val="auto"/>
                <w:szCs w:val="24"/>
                <w:highlight w:val="none"/>
                <w:u w:val="none"/>
              </w:rPr>
              <w:t>】对应风险等级为【</w:t>
            </w:r>
            <w:r>
              <w:rPr>
                <w:rFonts w:hint="eastAsia" w:ascii="宋体" w:hAnsi="宋体"/>
                <w:b/>
                <w:bCs/>
                <w:color w:val="auto"/>
                <w:szCs w:val="24"/>
                <w:highlight w:val="none"/>
                <w:u w:val="none"/>
                <w:lang w:eastAsia="zh-CN"/>
              </w:rPr>
              <w:t>中低风险</w:t>
            </w:r>
            <w:r>
              <w:rPr>
                <w:rFonts w:hint="eastAsia" w:ascii="宋体" w:hAnsi="宋体"/>
                <w:b/>
                <w:bCs/>
                <w:color w:val="auto"/>
                <w:szCs w:val="24"/>
                <w:highlight w:val="none"/>
                <w:u w:val="none"/>
              </w:rPr>
              <w:t>】</w:t>
            </w:r>
            <w:r>
              <w:rPr>
                <w:rFonts w:hint="eastAsia" w:ascii="仿宋_GB2312" w:hAnsi="等线" w:eastAsia="仿宋_GB2312" w:cs="仿宋_GB2312"/>
                <w:b/>
                <w:bCs w:val="0"/>
                <w:color w:val="000000" w:themeColor="text1"/>
                <w:kern w:val="0"/>
                <w:sz w:val="24"/>
                <w:highlight w:val="none"/>
                <w:lang w:bidi="ar"/>
                <w14:textFill>
                  <w14:solidFill>
                    <w14:schemeClr w14:val="tx1"/>
                  </w14:solidFill>
                </w14:textFill>
              </w:rPr>
              <w:br w:type="textWrapping"/>
            </w:r>
            <w:r>
              <w:rPr>
                <w:rFonts w:hint="eastAsia" w:ascii="宋体" w:hAnsi="宋体"/>
                <w:color w:val="auto"/>
                <w:szCs w:val="24"/>
                <w:highlight w:val="none"/>
                <w:u w:val="none"/>
              </w:rPr>
              <w:t>本评级为管理人内部测评结果，仅供投资者参考。</w:t>
            </w:r>
            <w:r>
              <w:rPr>
                <w:rFonts w:hint="eastAsia" w:ascii="宋体" w:hAnsi="宋体"/>
                <w:b/>
                <w:color w:val="auto"/>
                <w:szCs w:val="24"/>
                <w:highlight w:val="none"/>
                <w:u w:val="none"/>
              </w:rPr>
              <w:t>本产品通过代理销售机构渠道销售的，理财产品评级应当以代理销售机构最终披露的评级结果为准。</w:t>
            </w:r>
            <w:r>
              <w:rPr>
                <w:rFonts w:ascii="宋体" w:hAnsi="宋体"/>
                <w:color w:val="auto"/>
                <w:szCs w:val="24"/>
                <w:highlight w:val="none"/>
                <w:u w:val="none"/>
              </w:rPr>
              <w:t>(</w:t>
            </w:r>
            <w:r>
              <w:rPr>
                <w:rFonts w:hint="eastAsia" w:ascii="宋体" w:hAnsi="宋体"/>
                <w:color w:val="auto"/>
                <w:szCs w:val="24"/>
                <w:highlight w:val="none"/>
                <w:u w:val="none"/>
              </w:rPr>
              <w:t>管理</w:t>
            </w:r>
            <w:r>
              <w:rPr>
                <w:rFonts w:ascii="宋体" w:hAnsi="宋体"/>
                <w:color w:val="auto"/>
                <w:szCs w:val="24"/>
                <w:highlight w:val="none"/>
                <w:u w:val="none"/>
              </w:rPr>
              <w:t>人与</w:t>
            </w:r>
            <w:r>
              <w:rPr>
                <w:rFonts w:hint="eastAsia" w:ascii="宋体" w:hAnsi="宋体"/>
                <w:color w:val="auto"/>
                <w:szCs w:val="24"/>
                <w:highlight w:val="none"/>
                <w:u w:val="none"/>
              </w:rPr>
              <w:t>代理</w:t>
            </w:r>
            <w:r>
              <w:rPr>
                <w:rFonts w:ascii="宋体" w:hAnsi="宋体"/>
                <w:color w:val="auto"/>
                <w:szCs w:val="24"/>
                <w:highlight w:val="none"/>
                <w:u w:val="none"/>
              </w:rPr>
              <w:t>销售机构</w:t>
            </w:r>
            <w:r>
              <w:rPr>
                <w:rFonts w:hint="eastAsia" w:ascii="宋体" w:hAnsi="宋体"/>
                <w:color w:val="auto"/>
                <w:szCs w:val="24"/>
                <w:highlight w:val="none"/>
                <w:u w:val="none"/>
              </w:rPr>
              <w:t>的</w:t>
            </w:r>
            <w:r>
              <w:rPr>
                <w:rFonts w:ascii="宋体" w:hAnsi="宋体"/>
                <w:color w:val="auto"/>
                <w:szCs w:val="24"/>
                <w:highlight w:val="none"/>
                <w:u w:val="none"/>
              </w:rPr>
              <w:t>风险</w:t>
            </w:r>
            <w:r>
              <w:rPr>
                <w:rFonts w:hint="eastAsia" w:ascii="宋体" w:hAnsi="宋体"/>
                <w:color w:val="auto"/>
                <w:szCs w:val="24"/>
                <w:highlight w:val="none"/>
                <w:u w:val="none"/>
              </w:rPr>
              <w:t>等级评估结果</w:t>
            </w:r>
            <w:r>
              <w:rPr>
                <w:rFonts w:ascii="宋体" w:hAnsi="宋体"/>
                <w:color w:val="auto"/>
                <w:szCs w:val="24"/>
                <w:highlight w:val="none"/>
                <w:u w:val="none"/>
              </w:rPr>
              <w:t>不一致的应采用</w:t>
            </w:r>
            <w:r>
              <w:rPr>
                <w:rFonts w:hint="eastAsia" w:ascii="宋体" w:hAnsi="宋体"/>
                <w:color w:val="auto"/>
                <w:szCs w:val="24"/>
                <w:highlight w:val="none"/>
                <w:u w:val="none"/>
              </w:rPr>
              <w:t>对应</w:t>
            </w:r>
            <w:r>
              <w:rPr>
                <w:rFonts w:ascii="宋体" w:hAnsi="宋体"/>
                <w:color w:val="auto"/>
                <w:szCs w:val="24"/>
                <w:highlight w:val="none"/>
                <w:u w:val="none"/>
              </w:rPr>
              <w:t>较高风险</w:t>
            </w:r>
            <w:r>
              <w:rPr>
                <w:rFonts w:hint="eastAsia" w:ascii="宋体" w:hAnsi="宋体"/>
                <w:color w:val="auto"/>
                <w:szCs w:val="24"/>
                <w:highlight w:val="none"/>
                <w:u w:val="none"/>
              </w:rPr>
              <w:t>的</w:t>
            </w:r>
            <w:r>
              <w:rPr>
                <w:rFonts w:ascii="宋体" w:hAnsi="宋体"/>
                <w:color w:val="auto"/>
                <w:szCs w:val="24"/>
                <w:highlight w:val="none"/>
                <w:u w:val="none"/>
              </w:rPr>
              <w:t>评级</w:t>
            </w:r>
            <w:r>
              <w:rPr>
                <w:rFonts w:hint="eastAsia" w:ascii="宋体" w:hAnsi="宋体"/>
                <w:color w:val="auto"/>
                <w:szCs w:val="24"/>
                <w:highlight w:val="none"/>
                <w:u w:val="none"/>
              </w:rPr>
              <w:t>结果。</w:t>
            </w:r>
            <w:r>
              <w:rPr>
                <w:rFonts w:ascii="宋体" w:hAnsi="宋体"/>
                <w:color w:val="auto"/>
                <w:szCs w:val="24"/>
                <w:highlight w:val="none"/>
                <w:u w:val="none"/>
              </w:rPr>
              <w:t>)</w:t>
            </w:r>
          </w:p>
          <w:p w14:paraId="0798A5F0">
            <w:pPr>
              <w:widowControl/>
              <w:tabs>
                <w:tab w:val="left" w:pos="709"/>
              </w:tabs>
              <w:snapToGrid w:val="0"/>
              <w:spacing w:line="240" w:lineRule="auto"/>
              <w:jc w:val="left"/>
              <w:textAlignment w:val="auto"/>
              <w:rPr>
                <w:rFonts w:hint="eastAsia" w:ascii="仿宋_GB2312" w:hAnsi="等线" w:eastAsia="仿宋_GB2312" w:cs="仿宋_GB2312"/>
                <w:bCs/>
                <w:color w:val="000000" w:themeColor="text1"/>
                <w:sz w:val="24"/>
                <w:highlight w:val="none"/>
                <w14:textFill>
                  <w14:solidFill>
                    <w14:schemeClr w14:val="tx1"/>
                  </w14:solidFill>
                </w14:textFill>
              </w:rPr>
            </w:pPr>
            <w:r>
              <w:rPr>
                <w:rFonts w:hint="eastAsia" w:ascii="宋体" w:hAnsi="宋体"/>
                <w:b/>
                <w:bCs/>
                <w:color w:val="auto"/>
                <w:szCs w:val="24"/>
                <w:highlight w:val="none"/>
                <w:u w:val="none"/>
              </w:rPr>
              <w:t>产品管理人在符合监管政策的前提下可对产品风险评级进行动态管理，如产品风险等级发生调整，将提前通过本《产品说明书》“信息披露”约定的方式通知投资者。</w:t>
            </w:r>
          </w:p>
        </w:tc>
      </w:tr>
      <w:tr w14:paraId="60459D73">
        <w:tblPrEx>
          <w:tblCellMar>
            <w:top w:w="0" w:type="dxa"/>
            <w:left w:w="108" w:type="dxa"/>
            <w:bottom w:w="0" w:type="dxa"/>
            <w:right w:w="108" w:type="dxa"/>
          </w:tblCellMar>
        </w:tblPrEx>
        <w:trPr>
          <w:trHeight w:val="810" w:hRule="atLeast"/>
        </w:trPr>
        <w:tc>
          <w:tcPr>
            <w:tcW w:w="2453" w:type="dxa"/>
            <w:tcBorders>
              <w:top w:val="single" w:color="auto" w:sz="4" w:space="0"/>
              <w:left w:val="single" w:color="auto" w:sz="4" w:space="0"/>
              <w:bottom w:val="single" w:color="auto" w:sz="4" w:space="0"/>
              <w:right w:val="single" w:color="auto" w:sz="4" w:space="0"/>
            </w:tcBorders>
            <w:vAlign w:val="center"/>
          </w:tcPr>
          <w:p w14:paraId="5E88CE5E">
            <w:pPr>
              <w:widowControl/>
              <w:spacing w:line="400" w:lineRule="exact"/>
              <w:jc w:val="center"/>
              <w:textAlignment w:val="center"/>
              <w:rPr>
                <w:rFonts w:hint="eastAsia" w:ascii="仿宋_GB2312" w:hAnsi="等线" w:eastAsia="仿宋_GB2312" w:cs="仿宋_GB2312"/>
                <w:color w:val="000000" w:themeColor="text1"/>
                <w:kern w:val="0"/>
                <w:sz w:val="24"/>
                <w:highlight w:val="none"/>
                <w:lang w:bidi="ar"/>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是否为现金管理类产品</w:t>
            </w:r>
          </w:p>
        </w:tc>
        <w:tc>
          <w:tcPr>
            <w:tcW w:w="6972" w:type="dxa"/>
            <w:tcBorders>
              <w:top w:val="single" w:color="auto" w:sz="4" w:space="0"/>
              <w:left w:val="single" w:color="auto" w:sz="4" w:space="0"/>
              <w:bottom w:val="single" w:color="auto" w:sz="4" w:space="0"/>
              <w:right w:val="single" w:color="auto" w:sz="4" w:space="0"/>
            </w:tcBorders>
            <w:vAlign w:val="center"/>
          </w:tcPr>
          <w:p w14:paraId="4161CEC1">
            <w:pPr>
              <w:widowControl/>
              <w:spacing w:line="400" w:lineRule="exact"/>
              <w:jc w:val="left"/>
              <w:textAlignment w:val="center"/>
              <w:rPr>
                <w:rFonts w:hint="eastAsia" w:ascii="仿宋_GB2312" w:hAnsi="等线" w:eastAsia="仿宋_GB2312" w:cs="仿宋_GB2312"/>
                <w:bCs/>
                <w:color w:val="000000" w:themeColor="text1"/>
                <w:kern w:val="0"/>
                <w:sz w:val="24"/>
                <w:highlight w:val="none"/>
                <w:lang w:eastAsia="zh-CN" w:bidi="ar"/>
                <w14:textFill>
                  <w14:solidFill>
                    <w14:schemeClr w14:val="tx1"/>
                  </w14:solidFill>
                </w14:textFill>
              </w:rPr>
            </w:pPr>
            <w:r>
              <w:rPr>
                <w:rFonts w:hint="eastAsia" w:ascii="仿宋_GB2312" w:hAnsi="等线" w:cs="仿宋_GB2312"/>
                <w:bCs/>
                <w:color w:val="000000" w:themeColor="text1"/>
                <w:kern w:val="0"/>
                <w:sz w:val="24"/>
                <w:highlight w:val="none"/>
                <w:lang w:eastAsia="zh-CN" w:bidi="ar"/>
                <w14:textFill>
                  <w14:solidFill>
                    <w14:schemeClr w14:val="tx1"/>
                  </w14:solidFill>
                </w14:textFill>
              </w:rPr>
              <w:t>【否】</w:t>
            </w:r>
          </w:p>
        </w:tc>
      </w:tr>
      <w:tr w14:paraId="5A8869BE">
        <w:tblPrEx>
          <w:tblCellMar>
            <w:top w:w="0" w:type="dxa"/>
            <w:left w:w="108" w:type="dxa"/>
            <w:bottom w:w="0" w:type="dxa"/>
            <w:right w:w="108" w:type="dxa"/>
          </w:tblCellMar>
        </w:tblPrEx>
        <w:trPr>
          <w:trHeight w:val="810" w:hRule="atLeast"/>
        </w:trPr>
        <w:tc>
          <w:tcPr>
            <w:tcW w:w="2453" w:type="dxa"/>
            <w:tcBorders>
              <w:top w:val="single" w:color="auto" w:sz="4" w:space="0"/>
              <w:left w:val="single" w:color="auto" w:sz="4" w:space="0"/>
              <w:bottom w:val="single" w:color="auto" w:sz="4" w:space="0"/>
              <w:right w:val="single" w:color="auto" w:sz="4" w:space="0"/>
            </w:tcBorders>
            <w:vAlign w:val="center"/>
          </w:tcPr>
          <w:p w14:paraId="2B4E732E">
            <w:pPr>
              <w:snapToGrid w:val="0"/>
              <w:ind w:left="-163" w:leftChars="-74" w:hanging="15" w:firstLineChars="0"/>
              <w:jc w:val="center"/>
              <w:rPr>
                <w:rFonts w:hint="eastAsia" w:ascii="仿宋_GB2312" w:hAnsi="等线" w:eastAsia="仿宋_GB2312" w:cs="仿宋_GB2312"/>
                <w:color w:val="000000" w:themeColor="text1"/>
                <w:kern w:val="0"/>
                <w:sz w:val="24"/>
                <w:highlight w:val="none"/>
                <w:lang w:bidi="ar"/>
                <w14:textFill>
                  <w14:solidFill>
                    <w14:schemeClr w14:val="tx1"/>
                  </w14:solidFill>
                </w14:textFill>
              </w:rPr>
            </w:pPr>
            <w:r>
              <w:rPr>
                <w:rFonts w:hint="eastAsia" w:ascii="宋体" w:hAnsi="宋体"/>
                <w:color w:val="auto"/>
                <w:szCs w:val="24"/>
                <w:highlight w:val="none"/>
                <w:u w:val="none"/>
              </w:rPr>
              <w:t>本金及收益类型</w:t>
            </w:r>
          </w:p>
        </w:tc>
        <w:tc>
          <w:tcPr>
            <w:tcW w:w="6972" w:type="dxa"/>
            <w:tcBorders>
              <w:top w:val="single" w:color="auto" w:sz="4" w:space="0"/>
              <w:left w:val="single" w:color="auto" w:sz="4" w:space="0"/>
              <w:bottom w:val="single" w:color="auto" w:sz="4" w:space="0"/>
              <w:right w:val="single" w:color="auto" w:sz="4" w:space="0"/>
            </w:tcBorders>
            <w:vAlign w:val="center"/>
          </w:tcPr>
          <w:p w14:paraId="25724E91">
            <w:pPr>
              <w:snapToGrid w:val="0"/>
              <w:rPr>
                <w:rFonts w:ascii="宋体" w:hAnsi="宋体"/>
                <w:color w:val="auto"/>
                <w:szCs w:val="24"/>
                <w:highlight w:val="none"/>
                <w:u w:val="none"/>
              </w:rPr>
            </w:pPr>
            <w:r>
              <w:rPr>
                <w:rFonts w:hint="eastAsia" w:ascii="宋体" w:hAnsi="宋体"/>
                <w:color w:val="auto"/>
                <w:szCs w:val="24"/>
                <w:highlight w:val="none"/>
                <w:u w:val="none"/>
              </w:rPr>
              <w:t>非保本浮动收益。本产品不保证理财本金且不保证收益。本产品的收益随投资收益浮动，投资者可能会因市场变动而蒙受损失。</w:t>
            </w:r>
          </w:p>
          <w:p w14:paraId="0844A60B">
            <w:pPr>
              <w:snapToGrid w:val="0"/>
              <w:rPr>
                <w:rFonts w:hint="eastAsia" w:ascii="仿宋_GB2312" w:hAnsi="等线" w:cs="仿宋_GB2312"/>
                <w:bCs/>
                <w:color w:val="000000" w:themeColor="text1"/>
                <w:kern w:val="0"/>
                <w:sz w:val="24"/>
                <w:highlight w:val="none"/>
                <w:lang w:eastAsia="zh-CN" w:bidi="ar"/>
                <w14:textFill>
                  <w14:solidFill>
                    <w14:schemeClr w14:val="tx1"/>
                  </w14:solidFill>
                </w14:textFill>
              </w:rPr>
            </w:pPr>
            <w:r>
              <w:rPr>
                <w:rFonts w:hint="eastAsia" w:ascii="宋体" w:hAnsi="宋体"/>
                <w:color w:val="auto"/>
                <w:szCs w:val="24"/>
                <w:highlight w:val="none"/>
                <w:u w:val="none"/>
              </w:rPr>
              <w:t>理财产品管理人对本产品的本金并不提供保证，也不承诺任何固定收益。</w:t>
            </w:r>
          </w:p>
        </w:tc>
      </w:tr>
      <w:tr w14:paraId="0D2B6945">
        <w:tblPrEx>
          <w:tblCellMar>
            <w:top w:w="0" w:type="dxa"/>
            <w:left w:w="108" w:type="dxa"/>
            <w:bottom w:w="0" w:type="dxa"/>
            <w:right w:w="108" w:type="dxa"/>
          </w:tblCellMar>
        </w:tblPrEx>
        <w:trPr>
          <w:trHeight w:val="270" w:hRule="atLeast"/>
        </w:trPr>
        <w:tc>
          <w:tcPr>
            <w:tcW w:w="9425" w:type="dxa"/>
            <w:gridSpan w:val="2"/>
            <w:tcBorders>
              <w:top w:val="single" w:color="auto" w:sz="4" w:space="0"/>
              <w:left w:val="single" w:color="auto" w:sz="4" w:space="0"/>
              <w:bottom w:val="single" w:color="auto" w:sz="4" w:space="0"/>
              <w:right w:val="single" w:color="auto" w:sz="4" w:space="0"/>
            </w:tcBorders>
            <w:vAlign w:val="center"/>
          </w:tcPr>
          <w:p w14:paraId="69B62EB9">
            <w:pPr>
              <w:widowControl/>
              <w:spacing w:line="400" w:lineRule="exact"/>
              <w:jc w:val="center"/>
              <w:textAlignment w:val="center"/>
              <w:rPr>
                <w:rFonts w:hint="eastAsia" w:ascii="楷体_GB2312" w:hAnsi="等线" w:eastAsia="楷体_GB2312" w:cs="楷体_GB2312"/>
                <w:bCs/>
                <w:color w:val="000000" w:themeColor="text1"/>
                <w:sz w:val="24"/>
                <w:highlight w:val="none"/>
                <w14:textFill>
                  <w14:solidFill>
                    <w14:schemeClr w14:val="tx1"/>
                  </w14:solidFill>
                </w14:textFill>
              </w:rPr>
            </w:pPr>
            <w:r>
              <w:rPr>
                <w:rFonts w:hint="eastAsia" w:ascii="楷体_GB2312" w:hAnsi="等线" w:eastAsia="楷体_GB2312" w:cs="楷体_GB2312"/>
                <w:b/>
                <w:color w:val="000000" w:themeColor="text1"/>
                <w:kern w:val="0"/>
                <w:sz w:val="24"/>
                <w:highlight w:val="none"/>
                <w:lang w:bidi="ar"/>
                <w14:textFill>
                  <w14:solidFill>
                    <w14:schemeClr w14:val="tx1"/>
                  </w14:solidFill>
                </w14:textFill>
              </w:rPr>
              <w:t>（四）产品期限</w:t>
            </w:r>
          </w:p>
        </w:tc>
      </w:tr>
      <w:tr w14:paraId="3829C006">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55722B6C">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募集起始日期</w:t>
            </w:r>
          </w:p>
        </w:tc>
        <w:tc>
          <w:tcPr>
            <w:tcW w:w="6972" w:type="dxa"/>
            <w:tcBorders>
              <w:top w:val="single" w:color="auto" w:sz="4" w:space="0"/>
              <w:left w:val="single" w:color="auto" w:sz="4" w:space="0"/>
              <w:bottom w:val="single" w:color="auto" w:sz="4" w:space="0"/>
              <w:right w:val="single" w:color="auto" w:sz="4" w:space="0"/>
            </w:tcBorders>
            <w:vAlign w:val="center"/>
          </w:tcPr>
          <w:p w14:paraId="45C0B2AF">
            <w:pPr>
              <w:widowControl/>
              <w:autoSpaceDE w:val="0"/>
              <w:autoSpaceDN w:val="0"/>
              <w:adjustRightInd w:val="0"/>
              <w:snapToGrid w:val="0"/>
              <w:spacing w:line="240" w:lineRule="auto"/>
              <w:jc w:val="left"/>
              <w:textAlignment w:val="auto"/>
              <w:rPr>
                <w:rFonts w:hint="eastAsia" w:ascii="仿宋_GB2312" w:hAnsi="等线" w:eastAsia="仿宋_GB2312" w:cs="仿宋_GB2312"/>
                <w:bCs/>
                <w:color w:val="000000" w:themeColor="text1"/>
                <w:sz w:val="24"/>
                <w:highlight w:val="none"/>
                <w14:textFill>
                  <w14:solidFill>
                    <w14:schemeClr w14:val="tx1"/>
                  </w14:solidFill>
                </w14:textFill>
              </w:rPr>
            </w:pPr>
            <w:r>
              <w:rPr>
                <w:rFonts w:hint="eastAsia" w:ascii="宋体" w:hAnsi="宋体"/>
                <w:szCs w:val="24"/>
                <w:highlight w:val="none"/>
                <w:lang w:eastAsia="zh-CN"/>
              </w:rPr>
              <w:t>【</w:t>
            </w:r>
            <w:r>
              <w:rPr>
                <w:rFonts w:hint="eastAsia" w:ascii="宋体" w:hAnsi="宋体"/>
                <w:b/>
                <w:szCs w:val="24"/>
                <w:highlight w:val="none"/>
                <w:lang w:val="en-US" w:eastAsia="zh-CN"/>
              </w:rPr>
              <w:t>2026</w:t>
            </w:r>
            <w:r>
              <w:rPr>
                <w:rFonts w:hint="eastAsia" w:ascii="宋体" w:hAnsi="宋体"/>
                <w:b/>
                <w:szCs w:val="24"/>
                <w:highlight w:val="none"/>
                <w:lang w:eastAsia="zh-CN"/>
              </w:rPr>
              <w:t>】</w:t>
            </w:r>
            <w:r>
              <w:rPr>
                <w:rFonts w:hint="eastAsia" w:ascii="宋体" w:hAnsi="宋体"/>
                <w:b/>
                <w:szCs w:val="24"/>
                <w:highlight w:val="none"/>
              </w:rPr>
              <w:t>年</w:t>
            </w:r>
            <w:r>
              <w:rPr>
                <w:rFonts w:hint="eastAsia" w:ascii="宋体" w:hAnsi="宋体"/>
                <w:b/>
                <w:szCs w:val="24"/>
                <w:highlight w:val="none"/>
                <w:lang w:eastAsia="zh-CN"/>
              </w:rPr>
              <w:t>【</w:t>
            </w:r>
            <w:r>
              <w:rPr>
                <w:rFonts w:hint="eastAsia" w:ascii="宋体" w:hAnsi="宋体"/>
                <w:b/>
                <w:szCs w:val="24"/>
                <w:highlight w:val="none"/>
                <w:lang w:val="en-US" w:eastAsia="zh-CN"/>
              </w:rPr>
              <w:t>10</w:t>
            </w:r>
            <w:r>
              <w:rPr>
                <w:rFonts w:hint="eastAsia" w:ascii="宋体" w:hAnsi="宋体"/>
                <w:b/>
                <w:szCs w:val="24"/>
                <w:highlight w:val="none"/>
                <w:lang w:eastAsia="zh-CN"/>
              </w:rPr>
              <w:t>】</w:t>
            </w:r>
            <w:r>
              <w:rPr>
                <w:rFonts w:hint="eastAsia" w:ascii="宋体" w:hAnsi="宋体"/>
                <w:b/>
                <w:szCs w:val="24"/>
                <w:highlight w:val="none"/>
              </w:rPr>
              <w:t>月</w:t>
            </w:r>
            <w:r>
              <w:rPr>
                <w:rFonts w:hint="eastAsia" w:ascii="宋体" w:hAnsi="宋体"/>
                <w:b/>
                <w:szCs w:val="24"/>
                <w:highlight w:val="none"/>
                <w:lang w:eastAsia="zh-CN"/>
              </w:rPr>
              <w:t>【</w:t>
            </w:r>
            <w:r>
              <w:rPr>
                <w:rFonts w:hint="eastAsia" w:ascii="宋体" w:hAnsi="宋体"/>
                <w:b/>
                <w:szCs w:val="24"/>
                <w:highlight w:val="none"/>
                <w:lang w:val="en-US" w:eastAsia="zh-CN"/>
              </w:rPr>
              <w:t>9</w:t>
            </w:r>
            <w:r>
              <w:rPr>
                <w:rFonts w:hint="eastAsia" w:ascii="宋体" w:hAnsi="宋体"/>
                <w:b/>
                <w:szCs w:val="24"/>
                <w:highlight w:val="none"/>
                <w:lang w:eastAsia="zh-CN"/>
              </w:rPr>
              <w:t>】</w:t>
            </w:r>
            <w:r>
              <w:rPr>
                <w:rFonts w:hint="eastAsia" w:ascii="宋体" w:hAnsi="宋体"/>
                <w:b/>
                <w:szCs w:val="24"/>
                <w:highlight w:val="none"/>
              </w:rPr>
              <w:t>日</w:t>
            </w:r>
            <w:r>
              <w:rPr>
                <w:rFonts w:hint="eastAsia" w:ascii="宋体" w:hAnsi="宋体"/>
                <w:b/>
                <w:szCs w:val="24"/>
                <w:highlight w:val="none"/>
                <w:lang w:eastAsia="zh-CN"/>
              </w:rPr>
              <w:t>【</w:t>
            </w:r>
            <w:r>
              <w:rPr>
                <w:rFonts w:hint="eastAsia" w:ascii="宋体" w:hAnsi="宋体"/>
                <w:b/>
                <w:szCs w:val="24"/>
                <w:highlight w:val="none"/>
                <w:lang w:val="en-US" w:eastAsia="zh-CN"/>
              </w:rPr>
              <w:t>9:00</w:t>
            </w:r>
            <w:r>
              <w:rPr>
                <w:rFonts w:hint="eastAsia" w:ascii="宋体" w:hAnsi="宋体"/>
                <w:b/>
                <w:szCs w:val="24"/>
                <w:highlight w:val="none"/>
                <w:lang w:eastAsia="zh-CN"/>
              </w:rPr>
              <w:t>】</w:t>
            </w:r>
          </w:p>
        </w:tc>
      </w:tr>
      <w:tr w14:paraId="607DACD5">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34B8862A">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募集结束日期</w:t>
            </w:r>
          </w:p>
        </w:tc>
        <w:tc>
          <w:tcPr>
            <w:tcW w:w="6972" w:type="dxa"/>
            <w:tcBorders>
              <w:top w:val="single" w:color="auto" w:sz="4" w:space="0"/>
              <w:left w:val="single" w:color="auto" w:sz="4" w:space="0"/>
              <w:bottom w:val="single" w:color="auto" w:sz="4" w:space="0"/>
              <w:right w:val="single" w:color="auto" w:sz="4" w:space="0"/>
            </w:tcBorders>
            <w:vAlign w:val="center"/>
          </w:tcPr>
          <w:p w14:paraId="1E026C0F">
            <w:pPr>
              <w:widowControl/>
              <w:autoSpaceDE w:val="0"/>
              <w:autoSpaceDN w:val="0"/>
              <w:adjustRightInd w:val="0"/>
              <w:snapToGrid w:val="0"/>
              <w:spacing w:line="240" w:lineRule="auto"/>
              <w:jc w:val="left"/>
              <w:textAlignment w:val="auto"/>
              <w:rPr>
                <w:rFonts w:hint="eastAsia" w:ascii="宋体" w:hAnsi="宋体"/>
                <w:b/>
                <w:szCs w:val="24"/>
                <w:highlight w:val="none"/>
                <w:lang w:eastAsia="zh-CN"/>
              </w:rPr>
            </w:pPr>
            <w:r>
              <w:rPr>
                <w:rFonts w:hint="eastAsia" w:ascii="宋体" w:hAnsi="宋体"/>
                <w:szCs w:val="24"/>
                <w:highlight w:val="none"/>
                <w:lang w:eastAsia="zh-CN"/>
              </w:rPr>
              <w:t>【</w:t>
            </w:r>
            <w:r>
              <w:rPr>
                <w:rFonts w:hint="eastAsia" w:ascii="宋体" w:hAnsi="宋体"/>
                <w:b/>
                <w:szCs w:val="24"/>
                <w:highlight w:val="none"/>
                <w:lang w:val="en-US" w:eastAsia="zh-CN"/>
              </w:rPr>
              <w:t>2026</w:t>
            </w:r>
            <w:r>
              <w:rPr>
                <w:rFonts w:hint="eastAsia" w:ascii="宋体" w:hAnsi="宋体"/>
                <w:b/>
                <w:szCs w:val="24"/>
                <w:highlight w:val="none"/>
                <w:lang w:eastAsia="zh-CN"/>
              </w:rPr>
              <w:t>】</w:t>
            </w:r>
            <w:r>
              <w:rPr>
                <w:rFonts w:hint="eastAsia" w:ascii="宋体" w:hAnsi="宋体"/>
                <w:b/>
                <w:szCs w:val="24"/>
                <w:highlight w:val="none"/>
              </w:rPr>
              <w:t>年</w:t>
            </w:r>
            <w:r>
              <w:rPr>
                <w:rFonts w:hint="eastAsia" w:ascii="宋体" w:hAnsi="宋体"/>
                <w:b/>
                <w:szCs w:val="24"/>
                <w:highlight w:val="none"/>
                <w:lang w:eastAsia="zh-CN"/>
              </w:rPr>
              <w:t>【</w:t>
            </w:r>
            <w:r>
              <w:rPr>
                <w:rFonts w:hint="eastAsia" w:ascii="宋体" w:hAnsi="宋体"/>
                <w:b/>
                <w:szCs w:val="24"/>
                <w:highlight w:val="none"/>
                <w:lang w:val="en-US" w:eastAsia="zh-CN"/>
              </w:rPr>
              <w:t>10</w:t>
            </w:r>
            <w:r>
              <w:rPr>
                <w:rFonts w:hint="eastAsia" w:ascii="宋体" w:hAnsi="宋体"/>
                <w:b/>
                <w:szCs w:val="24"/>
                <w:highlight w:val="none"/>
                <w:lang w:eastAsia="zh-CN"/>
              </w:rPr>
              <w:t>】</w:t>
            </w:r>
            <w:r>
              <w:rPr>
                <w:rFonts w:hint="eastAsia" w:ascii="宋体" w:hAnsi="宋体"/>
                <w:b/>
                <w:szCs w:val="24"/>
                <w:highlight w:val="none"/>
              </w:rPr>
              <w:t>月</w:t>
            </w:r>
            <w:r>
              <w:rPr>
                <w:rFonts w:hint="eastAsia" w:ascii="宋体" w:hAnsi="宋体"/>
                <w:b/>
                <w:szCs w:val="24"/>
                <w:highlight w:val="none"/>
                <w:lang w:eastAsia="zh-CN"/>
              </w:rPr>
              <w:t>【</w:t>
            </w:r>
            <w:r>
              <w:rPr>
                <w:rFonts w:hint="eastAsia" w:ascii="宋体" w:hAnsi="宋体"/>
                <w:b/>
                <w:szCs w:val="24"/>
                <w:highlight w:val="none"/>
                <w:lang w:val="en-US" w:eastAsia="zh-CN"/>
              </w:rPr>
              <w:t>15</w:t>
            </w:r>
            <w:r>
              <w:rPr>
                <w:rFonts w:hint="eastAsia" w:ascii="宋体" w:hAnsi="宋体"/>
                <w:b/>
                <w:szCs w:val="24"/>
                <w:highlight w:val="none"/>
                <w:lang w:eastAsia="zh-CN"/>
              </w:rPr>
              <w:t>】</w:t>
            </w:r>
            <w:r>
              <w:rPr>
                <w:rFonts w:hint="eastAsia" w:ascii="宋体" w:hAnsi="宋体"/>
                <w:b/>
                <w:szCs w:val="24"/>
                <w:highlight w:val="none"/>
              </w:rPr>
              <w:t>日</w:t>
            </w:r>
            <w:r>
              <w:rPr>
                <w:rFonts w:hint="eastAsia" w:ascii="宋体" w:hAnsi="宋体"/>
                <w:b/>
                <w:szCs w:val="24"/>
                <w:highlight w:val="none"/>
                <w:lang w:eastAsia="zh-CN"/>
              </w:rPr>
              <w:t>【</w:t>
            </w:r>
            <w:r>
              <w:rPr>
                <w:rFonts w:hint="eastAsia" w:ascii="宋体" w:hAnsi="宋体"/>
                <w:b/>
                <w:szCs w:val="24"/>
                <w:highlight w:val="none"/>
                <w:lang w:val="en-US" w:eastAsia="zh-CN"/>
              </w:rPr>
              <w:t>15:30</w:t>
            </w:r>
            <w:r>
              <w:rPr>
                <w:rFonts w:hint="eastAsia" w:ascii="宋体" w:hAnsi="宋体"/>
                <w:b/>
                <w:szCs w:val="24"/>
                <w:highlight w:val="none"/>
                <w:lang w:eastAsia="zh-CN"/>
              </w:rPr>
              <w:t>】</w:t>
            </w:r>
          </w:p>
          <w:p w14:paraId="66B673A6">
            <w:pPr>
              <w:widowControl/>
              <w:autoSpaceDE w:val="0"/>
              <w:autoSpaceDN w:val="0"/>
              <w:adjustRightInd w:val="0"/>
              <w:snapToGrid w:val="0"/>
              <w:spacing w:line="240" w:lineRule="auto"/>
              <w:jc w:val="left"/>
              <w:textAlignment w:val="auto"/>
              <w:rPr>
                <w:rFonts w:hint="eastAsia" w:ascii="仿宋_GB2312" w:hAnsi="等线" w:eastAsia="仿宋_GB2312" w:cs="仿宋_GB2312"/>
                <w:bCs/>
                <w:color w:val="000000" w:themeColor="text1"/>
                <w:sz w:val="24"/>
                <w:highlight w:val="none"/>
                <w14:textFill>
                  <w14:solidFill>
                    <w14:schemeClr w14:val="tx1"/>
                  </w14:solidFill>
                </w14:textFill>
              </w:rPr>
            </w:pPr>
            <w:r>
              <w:rPr>
                <w:rFonts w:hint="eastAsia"/>
                <w:color w:val="auto"/>
                <w:szCs w:val="24"/>
                <w:highlight w:val="none"/>
                <w:u w:val="none"/>
              </w:rPr>
              <w:t>销售机构实际受理时间可能与说明书不一致，具体以销售机构通知为准。</w:t>
            </w:r>
            <w:r>
              <w:rPr>
                <w:rFonts w:hint="eastAsia" w:ascii="宋体" w:hAnsi="宋体"/>
                <w:b/>
                <w:color w:val="auto"/>
                <w:szCs w:val="24"/>
                <w:highlight w:val="none"/>
                <w:u w:val="none"/>
              </w:rPr>
              <w:t>管理人有权提前结束募集并提前成立理财产品或延长募集期，具体以管理人或销售机构公告为准。</w:t>
            </w:r>
          </w:p>
        </w:tc>
      </w:tr>
      <w:tr w14:paraId="569390E0">
        <w:tblPrEx>
          <w:tblCellMar>
            <w:top w:w="0" w:type="dxa"/>
            <w:left w:w="108" w:type="dxa"/>
            <w:bottom w:w="0" w:type="dxa"/>
            <w:right w:w="108" w:type="dxa"/>
          </w:tblCellMar>
        </w:tblPrEx>
        <w:trPr>
          <w:trHeight w:val="674" w:hRule="atLeast"/>
        </w:trPr>
        <w:tc>
          <w:tcPr>
            <w:tcW w:w="2453" w:type="dxa"/>
            <w:tcBorders>
              <w:top w:val="single" w:color="auto" w:sz="4" w:space="0"/>
              <w:left w:val="single" w:color="auto" w:sz="4" w:space="0"/>
              <w:bottom w:val="single" w:color="auto" w:sz="4" w:space="0"/>
              <w:right w:val="single" w:color="auto" w:sz="4" w:space="0"/>
            </w:tcBorders>
            <w:vAlign w:val="center"/>
          </w:tcPr>
          <w:p w14:paraId="3DAEDFA0">
            <w:pPr>
              <w:autoSpaceDE w:val="0"/>
              <w:autoSpaceDN w:val="0"/>
              <w:adjustRightInd w:val="0"/>
              <w:snapToGrid w:val="0"/>
              <w:ind w:left="77" w:leftChars="26" w:hanging="15" w:firstLineChars="0"/>
              <w:jc w:val="center"/>
              <w:rPr>
                <w:rFonts w:hint="eastAsia" w:ascii="仿宋_GB2312" w:hAnsi="等线" w:eastAsia="仿宋_GB2312" w:cs="仿宋_GB2312"/>
                <w:color w:val="000000" w:themeColor="text1"/>
                <w:kern w:val="0"/>
                <w:sz w:val="24"/>
                <w:highlight w:val="none"/>
                <w:lang w:bidi="ar"/>
                <w14:textFill>
                  <w14:solidFill>
                    <w14:schemeClr w14:val="tx1"/>
                  </w14:solidFill>
                </w14:textFill>
              </w:rPr>
            </w:pPr>
            <w:r>
              <w:rPr>
                <w:rFonts w:hint="eastAsia" w:ascii="宋体" w:hAnsi="宋体"/>
                <w:color w:val="auto"/>
                <w:szCs w:val="24"/>
                <w:highlight w:val="none"/>
              </w:rPr>
              <w:t>投资冷静期</w:t>
            </w:r>
          </w:p>
        </w:tc>
        <w:tc>
          <w:tcPr>
            <w:tcW w:w="6972" w:type="dxa"/>
            <w:tcBorders>
              <w:top w:val="single" w:color="auto" w:sz="4" w:space="0"/>
              <w:left w:val="single" w:color="auto" w:sz="4" w:space="0"/>
              <w:bottom w:val="single" w:color="auto" w:sz="4" w:space="0"/>
              <w:right w:val="single" w:color="auto" w:sz="4" w:space="0"/>
            </w:tcBorders>
            <w:vAlign w:val="center"/>
          </w:tcPr>
          <w:p w14:paraId="5E242347">
            <w:pPr>
              <w:autoSpaceDE w:val="0"/>
              <w:autoSpaceDN w:val="0"/>
              <w:adjustRightInd w:val="0"/>
              <w:snapToGrid w:val="0"/>
              <w:rPr>
                <w:rFonts w:hint="eastAsia" w:ascii="宋体" w:hAnsi="宋体" w:eastAsia="仿宋_GB2312"/>
                <w:color w:val="auto"/>
                <w:szCs w:val="24"/>
                <w:highlight w:val="none"/>
                <w:lang w:eastAsia="zh-CN"/>
              </w:rPr>
            </w:pPr>
            <w:r>
              <w:rPr>
                <w:rFonts w:hint="eastAsia" w:ascii="宋体" w:hAnsi="宋体"/>
                <w:color w:val="auto"/>
                <w:szCs w:val="24"/>
                <w:highlight w:val="none"/>
              </w:rPr>
              <w:t>公募</w:t>
            </w:r>
            <w:r>
              <w:rPr>
                <w:rFonts w:ascii="宋体" w:hAnsi="宋体"/>
                <w:color w:val="auto"/>
                <w:szCs w:val="24"/>
                <w:highlight w:val="none"/>
              </w:rPr>
              <w:t>：</w:t>
            </w:r>
            <w:r>
              <w:rPr>
                <w:rFonts w:hint="eastAsia" w:ascii="宋体" w:hAnsi="宋体"/>
                <w:color w:val="auto"/>
                <w:szCs w:val="24"/>
                <w:highlight w:val="none"/>
              </w:rPr>
              <w:t>本产品为公募理财产品，无投资冷静期设置。</w:t>
            </w:r>
          </w:p>
        </w:tc>
      </w:tr>
      <w:tr w14:paraId="235593F7">
        <w:tblPrEx>
          <w:tblCellMar>
            <w:top w:w="0" w:type="dxa"/>
            <w:left w:w="108" w:type="dxa"/>
            <w:bottom w:w="0" w:type="dxa"/>
            <w:right w:w="108" w:type="dxa"/>
          </w:tblCellMar>
        </w:tblPrEx>
        <w:trPr>
          <w:trHeight w:val="888" w:hRule="atLeast"/>
        </w:trPr>
        <w:tc>
          <w:tcPr>
            <w:tcW w:w="2453" w:type="dxa"/>
            <w:tcBorders>
              <w:top w:val="single" w:color="auto" w:sz="4" w:space="0"/>
              <w:left w:val="single" w:color="auto" w:sz="4" w:space="0"/>
              <w:bottom w:val="single" w:color="auto" w:sz="4" w:space="0"/>
              <w:right w:val="single" w:color="auto" w:sz="4" w:space="0"/>
            </w:tcBorders>
            <w:vAlign w:val="center"/>
          </w:tcPr>
          <w:p w14:paraId="505C5453">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产品成立日期</w:t>
            </w:r>
          </w:p>
        </w:tc>
        <w:tc>
          <w:tcPr>
            <w:tcW w:w="6972" w:type="dxa"/>
            <w:tcBorders>
              <w:top w:val="single" w:color="auto" w:sz="4" w:space="0"/>
              <w:left w:val="single" w:color="auto" w:sz="4" w:space="0"/>
              <w:bottom w:val="single" w:color="auto" w:sz="4" w:space="0"/>
              <w:right w:val="single" w:color="auto" w:sz="4" w:space="0"/>
            </w:tcBorders>
            <w:vAlign w:val="center"/>
          </w:tcPr>
          <w:p w14:paraId="36013E46">
            <w:pPr>
              <w:snapToGrid w:val="0"/>
              <w:rPr>
                <w:rFonts w:hint="eastAsia" w:ascii="宋体" w:hAnsi="宋体"/>
                <w:b/>
                <w:szCs w:val="24"/>
                <w:highlight w:val="none"/>
                <w:lang w:eastAsia="zh-CN"/>
              </w:rPr>
            </w:pPr>
            <w:r>
              <w:rPr>
                <w:rFonts w:hint="eastAsia" w:ascii="宋体" w:hAnsi="宋体"/>
                <w:szCs w:val="24"/>
                <w:highlight w:val="none"/>
                <w:lang w:eastAsia="zh-CN"/>
              </w:rPr>
              <w:t>【</w:t>
            </w:r>
            <w:r>
              <w:rPr>
                <w:rFonts w:hint="eastAsia" w:ascii="宋体" w:hAnsi="宋体"/>
                <w:b/>
                <w:szCs w:val="24"/>
                <w:highlight w:val="none"/>
                <w:lang w:val="en-US" w:eastAsia="zh-CN"/>
              </w:rPr>
              <w:t>2026</w:t>
            </w:r>
            <w:r>
              <w:rPr>
                <w:rFonts w:hint="eastAsia" w:ascii="宋体" w:hAnsi="宋体"/>
                <w:b/>
                <w:szCs w:val="24"/>
                <w:highlight w:val="none"/>
                <w:lang w:eastAsia="zh-CN"/>
              </w:rPr>
              <w:t>】</w:t>
            </w:r>
            <w:r>
              <w:rPr>
                <w:rFonts w:hint="eastAsia" w:ascii="宋体" w:hAnsi="宋体"/>
                <w:b/>
                <w:szCs w:val="24"/>
                <w:highlight w:val="none"/>
              </w:rPr>
              <w:t>年</w:t>
            </w:r>
            <w:r>
              <w:rPr>
                <w:rFonts w:hint="eastAsia" w:ascii="宋体" w:hAnsi="宋体"/>
                <w:b/>
                <w:szCs w:val="24"/>
                <w:highlight w:val="none"/>
                <w:lang w:eastAsia="zh-CN"/>
              </w:rPr>
              <w:t>【</w:t>
            </w:r>
            <w:r>
              <w:rPr>
                <w:rFonts w:hint="eastAsia" w:ascii="宋体" w:hAnsi="宋体"/>
                <w:b/>
                <w:szCs w:val="24"/>
                <w:highlight w:val="none"/>
                <w:lang w:val="en-US" w:eastAsia="zh-CN"/>
              </w:rPr>
              <w:t>10</w:t>
            </w:r>
            <w:r>
              <w:rPr>
                <w:rFonts w:hint="eastAsia" w:ascii="宋体" w:hAnsi="宋体"/>
                <w:b/>
                <w:szCs w:val="24"/>
                <w:highlight w:val="none"/>
                <w:lang w:eastAsia="zh-CN"/>
              </w:rPr>
              <w:t>】</w:t>
            </w:r>
            <w:r>
              <w:rPr>
                <w:rFonts w:hint="eastAsia" w:ascii="宋体" w:hAnsi="宋体"/>
                <w:b/>
                <w:szCs w:val="24"/>
                <w:highlight w:val="none"/>
              </w:rPr>
              <w:t>月</w:t>
            </w:r>
            <w:r>
              <w:rPr>
                <w:rFonts w:hint="eastAsia" w:ascii="宋体" w:hAnsi="宋体"/>
                <w:b/>
                <w:szCs w:val="24"/>
                <w:highlight w:val="none"/>
                <w:lang w:eastAsia="zh-CN"/>
              </w:rPr>
              <w:t>【</w:t>
            </w:r>
            <w:r>
              <w:rPr>
                <w:rFonts w:hint="eastAsia" w:ascii="宋体" w:hAnsi="宋体"/>
                <w:b/>
                <w:szCs w:val="24"/>
                <w:highlight w:val="none"/>
                <w:lang w:val="en-US" w:eastAsia="zh-CN"/>
              </w:rPr>
              <w:t>16</w:t>
            </w:r>
            <w:r>
              <w:rPr>
                <w:rFonts w:hint="eastAsia" w:ascii="宋体" w:hAnsi="宋体"/>
                <w:b/>
                <w:szCs w:val="24"/>
                <w:highlight w:val="none"/>
                <w:lang w:eastAsia="zh-CN"/>
              </w:rPr>
              <w:t>】</w:t>
            </w:r>
            <w:r>
              <w:rPr>
                <w:rFonts w:hint="eastAsia" w:ascii="宋体" w:hAnsi="宋体"/>
                <w:b/>
                <w:szCs w:val="24"/>
                <w:highlight w:val="none"/>
              </w:rPr>
              <w:t>日</w:t>
            </w:r>
          </w:p>
          <w:p w14:paraId="31C6CB6C">
            <w:pPr>
              <w:snapToGrid w:val="0"/>
              <w:rPr>
                <w:rFonts w:ascii="宋体" w:hAnsi="宋体"/>
                <w:b/>
                <w:color w:val="auto"/>
                <w:szCs w:val="24"/>
                <w:highlight w:val="none"/>
                <w:u w:val="none"/>
              </w:rPr>
            </w:pPr>
            <w:r>
              <w:rPr>
                <w:rFonts w:hint="eastAsia" w:ascii="宋体" w:hAnsi="宋体"/>
                <w:b/>
                <w:color w:val="auto"/>
                <w:szCs w:val="24"/>
                <w:highlight w:val="none"/>
                <w:u w:val="none"/>
              </w:rPr>
              <w:t>如遇非</w:t>
            </w:r>
            <w:r>
              <w:rPr>
                <w:rFonts w:hint="eastAsia" w:ascii="宋体" w:hAnsi="宋体"/>
                <w:b/>
                <w:color w:val="auto"/>
                <w:szCs w:val="24"/>
                <w:highlight w:val="none"/>
                <w:u w:val="none"/>
                <w:lang w:eastAsia="zh-CN"/>
              </w:rPr>
              <w:t>工作日</w:t>
            </w:r>
            <w:r>
              <w:rPr>
                <w:rFonts w:hint="eastAsia" w:ascii="宋体" w:hAnsi="宋体"/>
                <w:b/>
                <w:color w:val="auto"/>
                <w:szCs w:val="24"/>
                <w:highlight w:val="none"/>
                <w:u w:val="none"/>
              </w:rPr>
              <w:t>则顺延至下一</w:t>
            </w:r>
            <w:r>
              <w:rPr>
                <w:rFonts w:hint="eastAsia" w:ascii="宋体" w:hAnsi="宋体"/>
                <w:b/>
                <w:color w:val="auto"/>
                <w:szCs w:val="24"/>
                <w:highlight w:val="none"/>
                <w:u w:val="none"/>
                <w:lang w:eastAsia="zh-CN"/>
              </w:rPr>
              <w:t>工作日</w:t>
            </w:r>
            <w:r>
              <w:rPr>
                <w:rFonts w:hint="eastAsia" w:ascii="宋体" w:hAnsi="宋体"/>
                <w:b/>
                <w:color w:val="auto"/>
                <w:szCs w:val="24"/>
                <w:highlight w:val="none"/>
                <w:u w:val="none"/>
              </w:rPr>
              <w:t>。</w:t>
            </w:r>
          </w:p>
          <w:p w14:paraId="53A65BEF">
            <w:pPr>
              <w:widowControl/>
              <w:spacing w:line="400" w:lineRule="exact"/>
              <w:jc w:val="left"/>
              <w:textAlignment w:val="center"/>
              <w:rPr>
                <w:rFonts w:hint="eastAsia" w:ascii="宋体" w:hAnsi="宋体"/>
                <w:color w:val="auto"/>
                <w:szCs w:val="24"/>
                <w:highlight w:val="none"/>
                <w:u w:val="none"/>
              </w:rPr>
            </w:pPr>
            <w:r>
              <w:rPr>
                <w:rFonts w:hint="eastAsia" w:ascii="宋体" w:hAnsi="宋体"/>
                <w:color w:val="auto"/>
                <w:szCs w:val="24"/>
                <w:highlight w:val="none"/>
              </w:rPr>
              <w:t>管理人有权根据实际情况提前终止本产品或延长本产品存续期，并及时公告。如产品提前终止或延期终止，除有特别约定外，实际终止日为到期日。</w:t>
            </w:r>
          </w:p>
        </w:tc>
      </w:tr>
      <w:tr w14:paraId="1CDF531E">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069A9299">
            <w:pPr>
              <w:autoSpaceDE w:val="0"/>
              <w:autoSpaceDN w:val="0"/>
              <w:adjustRightInd w:val="0"/>
              <w:snapToGrid w:val="0"/>
              <w:ind w:left="77" w:leftChars="26" w:hanging="15" w:firstLineChars="0"/>
              <w:jc w:val="center"/>
              <w:rPr>
                <w:rFonts w:hint="eastAsia" w:ascii="仿宋_GB2312" w:hAnsi="等线" w:eastAsia="仿宋_GB2312" w:cs="仿宋_GB2312"/>
                <w:color w:val="000000" w:themeColor="text1"/>
                <w:kern w:val="0"/>
                <w:sz w:val="24"/>
                <w:highlight w:val="none"/>
                <w:lang w:bidi="ar"/>
                <w14:textFill>
                  <w14:solidFill>
                    <w14:schemeClr w14:val="tx1"/>
                  </w14:solidFill>
                </w14:textFill>
              </w:rPr>
            </w:pPr>
            <w:r>
              <w:rPr>
                <w:rFonts w:hint="eastAsia" w:ascii="宋体" w:hAnsi="宋体"/>
                <w:color w:val="auto"/>
                <w:szCs w:val="24"/>
                <w:highlight w:val="none"/>
              </w:rPr>
              <w:t>产品期限</w:t>
            </w:r>
          </w:p>
        </w:tc>
        <w:tc>
          <w:tcPr>
            <w:tcW w:w="6972" w:type="dxa"/>
            <w:tcBorders>
              <w:top w:val="single" w:color="auto" w:sz="4" w:space="0"/>
              <w:left w:val="single" w:color="auto" w:sz="4" w:space="0"/>
              <w:bottom w:val="single" w:color="auto" w:sz="4" w:space="0"/>
              <w:right w:val="single" w:color="auto" w:sz="4" w:space="0"/>
            </w:tcBorders>
            <w:vAlign w:val="center"/>
          </w:tcPr>
          <w:p w14:paraId="41E92AF9">
            <w:pPr>
              <w:autoSpaceDE w:val="0"/>
              <w:autoSpaceDN w:val="0"/>
              <w:adjustRightInd w:val="0"/>
              <w:snapToGrid w:val="0"/>
              <w:rPr>
                <w:rFonts w:hint="eastAsia" w:ascii="宋体" w:hAnsi="宋体"/>
                <w:color w:val="auto"/>
                <w:szCs w:val="24"/>
                <w:highlight w:val="none"/>
                <w:u w:val="none"/>
              </w:rPr>
            </w:pPr>
            <w:r>
              <w:rPr>
                <w:rFonts w:ascii="宋体" w:hAnsi="宋体"/>
                <w:b/>
                <w:color w:val="auto"/>
                <w:szCs w:val="24"/>
                <w:highlight w:val="none"/>
              </w:rPr>
              <w:t>【</w:t>
            </w:r>
            <w:r>
              <w:rPr>
                <w:rFonts w:hint="eastAsia" w:ascii="宋体" w:hAnsi="宋体"/>
                <w:b/>
                <w:color w:val="auto"/>
                <w:szCs w:val="24"/>
                <w:highlight w:val="none"/>
                <w:lang w:val="en-US" w:eastAsia="zh-CN"/>
              </w:rPr>
              <w:t>389</w:t>
            </w:r>
            <w:r>
              <w:rPr>
                <w:rFonts w:ascii="宋体" w:hAnsi="宋体"/>
                <w:b/>
                <w:color w:val="auto"/>
                <w:szCs w:val="24"/>
                <w:highlight w:val="none"/>
              </w:rPr>
              <w:t>】</w:t>
            </w:r>
            <w:r>
              <w:rPr>
                <w:rFonts w:hint="eastAsia" w:ascii="宋体" w:hAnsi="宋体"/>
                <w:b/>
                <w:color w:val="auto"/>
                <w:szCs w:val="24"/>
                <w:highlight w:val="none"/>
              </w:rPr>
              <w:t>天</w:t>
            </w:r>
          </w:p>
        </w:tc>
      </w:tr>
      <w:tr w14:paraId="2E4F5724">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251A2567">
            <w:pPr>
              <w:widowControl/>
              <w:spacing w:line="400" w:lineRule="exact"/>
              <w:jc w:val="center"/>
              <w:textAlignment w:val="center"/>
              <w:rPr>
                <w:rFonts w:hint="eastAsia" w:ascii="仿宋_GB2312" w:hAnsi="等线" w:eastAsia="仿宋_GB2312" w:cs="仿宋_GB2312"/>
                <w:color w:val="000000" w:themeColor="text1"/>
                <w:kern w:val="0"/>
                <w:sz w:val="24"/>
                <w:highlight w:val="none"/>
                <w:lang w:bidi="ar"/>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产品到期日期</w:t>
            </w:r>
          </w:p>
        </w:tc>
        <w:tc>
          <w:tcPr>
            <w:tcW w:w="6972" w:type="dxa"/>
            <w:tcBorders>
              <w:top w:val="single" w:color="auto" w:sz="4" w:space="0"/>
              <w:left w:val="single" w:color="auto" w:sz="4" w:space="0"/>
              <w:bottom w:val="single" w:color="auto" w:sz="4" w:space="0"/>
              <w:right w:val="single" w:color="auto" w:sz="4" w:space="0"/>
            </w:tcBorders>
            <w:vAlign w:val="center"/>
          </w:tcPr>
          <w:p w14:paraId="66501E4B">
            <w:pPr>
              <w:snapToGrid w:val="0"/>
              <w:rPr>
                <w:rFonts w:hint="eastAsia" w:ascii="宋体" w:hAnsi="宋体"/>
                <w:b/>
                <w:szCs w:val="24"/>
                <w:highlight w:val="none"/>
                <w:lang w:eastAsia="zh-CN"/>
              </w:rPr>
            </w:pPr>
            <w:r>
              <w:rPr>
                <w:rFonts w:hint="eastAsia" w:ascii="宋体" w:hAnsi="宋体"/>
                <w:szCs w:val="24"/>
                <w:highlight w:val="none"/>
                <w:lang w:eastAsia="zh-CN"/>
              </w:rPr>
              <w:t>【</w:t>
            </w:r>
            <w:r>
              <w:rPr>
                <w:rFonts w:hint="eastAsia" w:ascii="宋体" w:hAnsi="宋体"/>
                <w:b/>
                <w:szCs w:val="24"/>
                <w:highlight w:val="none"/>
                <w:lang w:val="en-US" w:eastAsia="zh-CN"/>
              </w:rPr>
              <w:t>2027</w:t>
            </w:r>
            <w:r>
              <w:rPr>
                <w:rFonts w:hint="eastAsia" w:ascii="宋体" w:hAnsi="宋体"/>
                <w:b/>
                <w:szCs w:val="24"/>
                <w:highlight w:val="none"/>
                <w:lang w:eastAsia="zh-CN"/>
              </w:rPr>
              <w:t>】</w:t>
            </w:r>
            <w:r>
              <w:rPr>
                <w:rFonts w:hint="eastAsia" w:ascii="宋体" w:hAnsi="宋体"/>
                <w:b/>
                <w:szCs w:val="24"/>
                <w:highlight w:val="none"/>
              </w:rPr>
              <w:t>年</w:t>
            </w:r>
            <w:r>
              <w:rPr>
                <w:rFonts w:hint="eastAsia" w:ascii="宋体" w:hAnsi="宋体"/>
                <w:b/>
                <w:szCs w:val="24"/>
                <w:highlight w:val="none"/>
                <w:lang w:eastAsia="zh-CN"/>
              </w:rPr>
              <w:t>【</w:t>
            </w:r>
            <w:r>
              <w:rPr>
                <w:rFonts w:hint="eastAsia" w:ascii="宋体" w:hAnsi="宋体"/>
                <w:b/>
                <w:szCs w:val="24"/>
                <w:highlight w:val="none"/>
                <w:lang w:val="en-US" w:eastAsia="zh-CN"/>
              </w:rPr>
              <w:t>11</w:t>
            </w:r>
            <w:r>
              <w:rPr>
                <w:rFonts w:hint="eastAsia" w:ascii="宋体" w:hAnsi="宋体"/>
                <w:b/>
                <w:szCs w:val="24"/>
                <w:highlight w:val="none"/>
                <w:lang w:eastAsia="zh-CN"/>
              </w:rPr>
              <w:t>】</w:t>
            </w:r>
            <w:r>
              <w:rPr>
                <w:rFonts w:hint="eastAsia" w:ascii="宋体" w:hAnsi="宋体"/>
                <w:b/>
                <w:szCs w:val="24"/>
                <w:highlight w:val="none"/>
              </w:rPr>
              <w:t>月</w:t>
            </w:r>
            <w:r>
              <w:rPr>
                <w:rFonts w:hint="eastAsia" w:ascii="宋体" w:hAnsi="宋体"/>
                <w:b/>
                <w:szCs w:val="24"/>
                <w:highlight w:val="none"/>
                <w:lang w:eastAsia="zh-CN"/>
              </w:rPr>
              <w:t>【</w:t>
            </w:r>
            <w:r>
              <w:rPr>
                <w:rFonts w:hint="eastAsia" w:ascii="宋体" w:hAnsi="宋体"/>
                <w:b/>
                <w:szCs w:val="24"/>
                <w:highlight w:val="none"/>
                <w:lang w:val="en-US" w:eastAsia="zh-CN"/>
              </w:rPr>
              <w:t>9</w:t>
            </w:r>
            <w:r>
              <w:rPr>
                <w:rFonts w:hint="eastAsia" w:ascii="宋体" w:hAnsi="宋体"/>
                <w:b/>
                <w:szCs w:val="24"/>
                <w:highlight w:val="none"/>
                <w:lang w:eastAsia="zh-CN"/>
              </w:rPr>
              <w:t>】</w:t>
            </w:r>
            <w:r>
              <w:rPr>
                <w:rFonts w:hint="eastAsia" w:ascii="宋体" w:hAnsi="宋体"/>
                <w:b/>
                <w:szCs w:val="24"/>
                <w:highlight w:val="none"/>
              </w:rPr>
              <w:t>日</w:t>
            </w:r>
          </w:p>
          <w:p w14:paraId="2C85E260">
            <w:pPr>
              <w:widowControl/>
              <w:spacing w:line="400" w:lineRule="exact"/>
              <w:jc w:val="left"/>
              <w:textAlignment w:val="center"/>
              <w:rPr>
                <w:rFonts w:hint="eastAsia" w:ascii="仿宋_GB2312" w:hAnsi="等线" w:cs="仿宋_GB2312"/>
                <w:bCs/>
                <w:color w:val="000000" w:themeColor="text1"/>
                <w:sz w:val="24"/>
                <w:highlight w:val="none"/>
                <w:lang w:eastAsia="zh-CN"/>
                <w14:textFill>
                  <w14:solidFill>
                    <w14:schemeClr w14:val="tx1"/>
                  </w14:solidFill>
                </w14:textFill>
              </w:rPr>
            </w:pPr>
            <w:r>
              <w:rPr>
                <w:rFonts w:hint="eastAsia" w:ascii="宋体" w:hAnsi="宋体"/>
                <w:color w:val="auto"/>
                <w:szCs w:val="24"/>
                <w:highlight w:val="none"/>
                <w:u w:val="none"/>
              </w:rPr>
              <w:t>产品管理人有权根据实际情况提前终止，并提前【</w:t>
            </w:r>
            <w:r>
              <w:rPr>
                <w:rFonts w:hint="eastAsia" w:ascii="宋体" w:hAnsi="宋体"/>
                <w:color w:val="auto"/>
                <w:szCs w:val="24"/>
                <w:highlight w:val="none"/>
                <w:u w:val="none"/>
                <w:lang w:val="en-US" w:eastAsia="zh-CN"/>
              </w:rPr>
              <w:t>1</w:t>
            </w:r>
            <w:r>
              <w:rPr>
                <w:rFonts w:hint="eastAsia" w:ascii="宋体" w:hAnsi="宋体"/>
                <w:color w:val="auto"/>
                <w:szCs w:val="24"/>
                <w:highlight w:val="none"/>
                <w:u w:val="none"/>
              </w:rPr>
              <w:t>】个</w:t>
            </w:r>
            <w:r>
              <w:rPr>
                <w:rFonts w:ascii="宋体" w:hAnsi="宋体"/>
                <w:color w:val="auto"/>
                <w:szCs w:val="24"/>
                <w:highlight w:val="none"/>
                <w:u w:val="none"/>
              </w:rPr>
              <w:t>工作</w:t>
            </w:r>
            <w:r>
              <w:rPr>
                <w:rFonts w:hint="eastAsia" w:ascii="宋体" w:hAnsi="宋体"/>
                <w:color w:val="auto"/>
                <w:szCs w:val="24"/>
                <w:highlight w:val="none"/>
                <w:u w:val="none"/>
              </w:rPr>
              <w:t>日按照本《产品说明书》“信息披露”约定的方式通知投资者。</w:t>
            </w:r>
          </w:p>
        </w:tc>
      </w:tr>
      <w:tr w14:paraId="26F2B111">
        <w:tblPrEx>
          <w:tblCellMar>
            <w:top w:w="0" w:type="dxa"/>
            <w:left w:w="108" w:type="dxa"/>
            <w:bottom w:w="0" w:type="dxa"/>
            <w:right w:w="108" w:type="dxa"/>
          </w:tblCellMar>
        </w:tblPrEx>
        <w:trPr>
          <w:trHeight w:val="447" w:hRule="atLeast"/>
        </w:trPr>
        <w:tc>
          <w:tcPr>
            <w:tcW w:w="2453" w:type="dxa"/>
            <w:tcBorders>
              <w:top w:val="single" w:color="auto" w:sz="4" w:space="0"/>
              <w:left w:val="single" w:color="auto" w:sz="4" w:space="0"/>
              <w:bottom w:val="single" w:color="auto" w:sz="4" w:space="0"/>
              <w:right w:val="single" w:color="auto" w:sz="4" w:space="0"/>
            </w:tcBorders>
            <w:vAlign w:val="center"/>
          </w:tcPr>
          <w:p w14:paraId="34CECC6E">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资金到账日</w:t>
            </w:r>
          </w:p>
        </w:tc>
        <w:tc>
          <w:tcPr>
            <w:tcW w:w="6972" w:type="dxa"/>
            <w:tcBorders>
              <w:top w:val="single" w:color="auto" w:sz="4" w:space="0"/>
              <w:left w:val="single" w:color="auto" w:sz="4" w:space="0"/>
              <w:bottom w:val="single" w:color="auto" w:sz="4" w:space="0"/>
              <w:right w:val="single" w:color="auto" w:sz="4" w:space="0"/>
            </w:tcBorders>
            <w:vAlign w:val="center"/>
          </w:tcPr>
          <w:p w14:paraId="594DB5C4">
            <w:pPr>
              <w:widowControl/>
              <w:spacing w:line="400" w:lineRule="exact"/>
              <w:jc w:val="left"/>
              <w:textAlignment w:val="center"/>
              <w:rPr>
                <w:rFonts w:hint="eastAsia" w:ascii="宋体" w:hAnsi="宋体" w:eastAsia="仿宋_GB2312" w:cstheme="minorBidi"/>
                <w:bCs w:val="0"/>
                <w:color w:val="auto"/>
                <w:sz w:val="24"/>
                <w:szCs w:val="24"/>
                <w:highlight w:val="none"/>
                <w:u w:val="none"/>
              </w:rPr>
            </w:pPr>
            <w:r>
              <w:rPr>
                <w:rFonts w:hint="eastAsia" w:ascii="宋体" w:hAnsi="宋体"/>
                <w:b/>
                <w:szCs w:val="24"/>
                <w:highlight w:val="none"/>
                <w:lang w:eastAsia="zh-CN"/>
              </w:rPr>
              <w:t>T+5及以上</w:t>
            </w:r>
          </w:p>
        </w:tc>
      </w:tr>
      <w:tr w14:paraId="6B75A11A">
        <w:tblPrEx>
          <w:tblCellMar>
            <w:top w:w="0" w:type="dxa"/>
            <w:left w:w="108" w:type="dxa"/>
            <w:bottom w:w="0" w:type="dxa"/>
            <w:right w:w="108" w:type="dxa"/>
          </w:tblCellMar>
        </w:tblPrEx>
        <w:trPr>
          <w:trHeight w:val="270" w:hRule="atLeast"/>
        </w:trPr>
        <w:tc>
          <w:tcPr>
            <w:tcW w:w="9425" w:type="dxa"/>
            <w:gridSpan w:val="2"/>
            <w:tcBorders>
              <w:top w:val="single" w:color="auto" w:sz="4" w:space="0"/>
              <w:left w:val="single" w:color="auto" w:sz="4" w:space="0"/>
              <w:bottom w:val="single" w:color="auto" w:sz="4" w:space="0"/>
              <w:right w:val="single" w:color="auto" w:sz="4" w:space="0"/>
            </w:tcBorders>
            <w:vAlign w:val="center"/>
          </w:tcPr>
          <w:p w14:paraId="1EF9AD2F">
            <w:pPr>
              <w:widowControl/>
              <w:spacing w:line="400" w:lineRule="exact"/>
              <w:jc w:val="center"/>
              <w:textAlignment w:val="center"/>
              <w:rPr>
                <w:rFonts w:hint="eastAsia" w:ascii="楷体_GB2312" w:hAnsi="等线" w:eastAsia="楷体_GB2312" w:cs="楷体_GB2312"/>
                <w:b/>
                <w:bCs/>
                <w:color w:val="000000" w:themeColor="text1"/>
                <w:sz w:val="24"/>
                <w:highlight w:val="none"/>
                <w14:textFill>
                  <w14:solidFill>
                    <w14:schemeClr w14:val="tx1"/>
                  </w14:solidFill>
                </w14:textFill>
              </w:rPr>
            </w:pPr>
            <w:r>
              <w:rPr>
                <w:rFonts w:hint="eastAsia" w:ascii="楷体_GB2312" w:hAnsi="等线" w:eastAsia="楷体_GB2312" w:cs="楷体_GB2312"/>
                <w:b/>
                <w:bCs/>
                <w:color w:val="000000" w:themeColor="text1"/>
                <w:kern w:val="0"/>
                <w:sz w:val="24"/>
                <w:highlight w:val="none"/>
                <w:lang w:bidi="ar"/>
                <w14:textFill>
                  <w14:solidFill>
                    <w14:schemeClr w14:val="tx1"/>
                  </w14:solidFill>
                </w14:textFill>
              </w:rPr>
              <w:t>（五）产品费用</w:t>
            </w:r>
          </w:p>
        </w:tc>
      </w:tr>
      <w:tr w14:paraId="3799BB25">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1AB24D68">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销售</w:t>
            </w:r>
            <w:r>
              <w:rPr>
                <w:rFonts w:hint="eastAsia" w:ascii="仿宋_GB2312" w:hAnsi="等线" w:cs="仿宋_GB2312"/>
                <w:color w:val="000000" w:themeColor="text1"/>
                <w:kern w:val="0"/>
                <w:sz w:val="24"/>
                <w:highlight w:val="none"/>
                <w:lang w:eastAsia="zh-CN" w:bidi="ar"/>
                <w14:textFill>
                  <w14:solidFill>
                    <w14:schemeClr w14:val="tx1"/>
                  </w14:solidFill>
                </w14:textFill>
              </w:rPr>
              <w:t>服务</w:t>
            </w:r>
            <w:r>
              <w:rPr>
                <w:rFonts w:hint="eastAsia" w:ascii="仿宋_GB2312" w:hAnsi="等线" w:eastAsia="仿宋_GB2312" w:cs="仿宋_GB2312"/>
                <w:color w:val="000000" w:themeColor="text1"/>
                <w:kern w:val="0"/>
                <w:sz w:val="24"/>
                <w:highlight w:val="none"/>
                <w:lang w:bidi="ar"/>
                <w14:textFill>
                  <w14:solidFill>
                    <w14:schemeClr w14:val="tx1"/>
                  </w14:solidFill>
                </w14:textFill>
              </w:rPr>
              <w:t>费率（年化）</w:t>
            </w:r>
          </w:p>
        </w:tc>
        <w:tc>
          <w:tcPr>
            <w:tcW w:w="6972" w:type="dxa"/>
            <w:tcBorders>
              <w:top w:val="single" w:color="auto" w:sz="4" w:space="0"/>
              <w:left w:val="single" w:color="auto" w:sz="4" w:space="0"/>
              <w:bottom w:val="single" w:color="auto" w:sz="4" w:space="0"/>
              <w:right w:val="single" w:color="auto" w:sz="4" w:space="0"/>
            </w:tcBorders>
            <w:vAlign w:val="center"/>
          </w:tcPr>
          <w:p w14:paraId="49F2EFB4">
            <w:pPr>
              <w:widowControl/>
              <w:spacing w:line="400" w:lineRule="exact"/>
              <w:jc w:val="both"/>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ZYFCG0279A:0.10%</w:t>
            </w:r>
          </w:p>
          <w:p w14:paraId="278F5AC6">
            <w:pPr>
              <w:widowControl/>
              <w:spacing w:line="400" w:lineRule="exact"/>
              <w:jc w:val="both"/>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ZYFCG0279B:0.15%</w:t>
            </w:r>
          </w:p>
          <w:p w14:paraId="5D672018">
            <w:pPr>
              <w:widowControl/>
              <w:spacing w:line="400" w:lineRule="exact"/>
              <w:jc w:val="both"/>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ZYFCG0279C:0.20%</w:t>
            </w:r>
          </w:p>
          <w:p w14:paraId="3DC03214">
            <w:pPr>
              <w:widowControl/>
              <w:spacing w:line="400" w:lineRule="exact"/>
              <w:jc w:val="both"/>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ZYFCG0279D:0.25%</w:t>
            </w:r>
          </w:p>
          <w:p w14:paraId="264A93E9">
            <w:pPr>
              <w:widowControl/>
              <w:spacing w:line="400" w:lineRule="exact"/>
              <w:jc w:val="both"/>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ZYFCG0279E:0.30%</w:t>
            </w:r>
          </w:p>
          <w:p w14:paraId="7A5AB709">
            <w:pPr>
              <w:widowControl/>
              <w:spacing w:line="400" w:lineRule="exact"/>
              <w:jc w:val="both"/>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ZYFCG0279F:0.25%</w:t>
            </w:r>
          </w:p>
          <w:p w14:paraId="5B5A1233">
            <w:pPr>
              <w:widowControl/>
              <w:spacing w:line="400" w:lineRule="exact"/>
              <w:jc w:val="both"/>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ZYFCG0279G:0.30%</w:t>
            </w:r>
          </w:p>
          <w:p w14:paraId="4152A198">
            <w:pPr>
              <w:widowControl/>
              <w:spacing w:line="400" w:lineRule="exact"/>
              <w:jc w:val="both"/>
              <w:textAlignment w:val="center"/>
              <w:rPr>
                <w:rFonts w:hint="default" w:ascii="仿宋_GB2312" w:hAnsi="等线" w:eastAsia="仿宋_GB2312" w:cs="仿宋_GB2312"/>
                <w:bCs/>
                <w:color w:val="000000" w:themeColor="text1"/>
                <w:sz w:val="24"/>
                <w:highlight w:val="none"/>
                <w:lang w:val="en-US"/>
                <w14:textFill>
                  <w14:solidFill>
                    <w14:schemeClr w14:val="tx1"/>
                  </w14:solidFill>
                </w14:textFill>
              </w:rPr>
            </w:pPr>
            <w:r>
              <w:rPr>
                <w:rFonts w:hint="eastAsia" w:ascii="仿宋_GB2312" w:hAnsi="仿宋_GB2312" w:cs="仿宋_GB2312"/>
                <w:color w:val="auto"/>
                <w:szCs w:val="24"/>
                <w:highlight w:val="none"/>
                <w:u w:val="none"/>
                <w:lang w:eastAsia="zh-CN"/>
              </w:rPr>
              <w:t>ZYFCG0279H:0.20%</w:t>
            </w:r>
          </w:p>
        </w:tc>
      </w:tr>
      <w:tr w14:paraId="1DD88465">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1FAD3C4E">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托管费率（年化）</w:t>
            </w:r>
          </w:p>
        </w:tc>
        <w:tc>
          <w:tcPr>
            <w:tcW w:w="6972" w:type="dxa"/>
            <w:tcBorders>
              <w:top w:val="single" w:color="auto" w:sz="4" w:space="0"/>
              <w:left w:val="single" w:color="auto" w:sz="4" w:space="0"/>
              <w:bottom w:val="single" w:color="auto" w:sz="4" w:space="0"/>
              <w:right w:val="single" w:color="auto" w:sz="4" w:space="0"/>
            </w:tcBorders>
            <w:vAlign w:val="center"/>
          </w:tcPr>
          <w:p w14:paraId="53EF4936">
            <w:pPr>
              <w:widowControl/>
              <w:spacing w:line="400" w:lineRule="exact"/>
              <w:jc w:val="left"/>
              <w:textAlignment w:val="center"/>
              <w:rPr>
                <w:rFonts w:hint="eastAsia" w:ascii="仿宋_GB2312" w:hAnsi="仿宋_GB2312" w:eastAsia="仿宋_GB2312" w:cs="仿宋_GB2312"/>
                <w:bCs/>
                <w:color w:val="000000" w:themeColor="text1"/>
                <w:sz w:val="24"/>
                <w:highlight w:val="none"/>
                <w:lang w:val="en-US"/>
                <w14:textFill>
                  <w14:solidFill>
                    <w14:schemeClr w14:val="tx1"/>
                  </w14:solidFill>
                </w14:textFill>
              </w:rPr>
            </w:pPr>
            <w:r>
              <w:rPr>
                <w:rFonts w:hint="eastAsia" w:ascii="仿宋_GB2312" w:hAnsi="仿宋_GB2312" w:eastAsia="仿宋_GB2312" w:cs="仿宋_GB2312"/>
                <w:bCs w:val="0"/>
                <w:color w:val="auto"/>
                <w:kern w:val="2"/>
                <w:sz w:val="24"/>
                <w:szCs w:val="24"/>
                <w:highlight w:val="none"/>
                <w:u w:val="none"/>
                <w:lang w:val="en-US" w:eastAsia="zh-CN" w:bidi="ar"/>
              </w:rPr>
              <w:t>0.0</w:t>
            </w:r>
            <w:r>
              <w:rPr>
                <w:rFonts w:hint="eastAsia" w:ascii="仿宋_GB2312" w:hAnsi="仿宋_GB2312" w:cs="仿宋_GB2312"/>
                <w:bCs w:val="0"/>
                <w:color w:val="auto"/>
                <w:kern w:val="2"/>
                <w:sz w:val="24"/>
                <w:szCs w:val="24"/>
                <w:highlight w:val="none"/>
                <w:u w:val="none"/>
                <w:lang w:val="en-US" w:eastAsia="zh-CN" w:bidi="ar"/>
              </w:rPr>
              <w:t>1</w:t>
            </w:r>
            <w:r>
              <w:rPr>
                <w:rFonts w:hint="eastAsia" w:ascii="仿宋_GB2312" w:hAnsi="仿宋_GB2312" w:eastAsia="仿宋_GB2312" w:cs="仿宋_GB2312"/>
                <w:bCs w:val="0"/>
                <w:color w:val="auto"/>
                <w:kern w:val="2"/>
                <w:sz w:val="24"/>
                <w:szCs w:val="24"/>
                <w:highlight w:val="none"/>
                <w:u w:val="none"/>
                <w:lang w:val="en-US" w:eastAsia="zh-CN" w:bidi="ar"/>
              </w:rPr>
              <w:t>%</w:t>
            </w:r>
          </w:p>
        </w:tc>
      </w:tr>
      <w:tr w14:paraId="0BD4399A">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165BE020">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cs="仿宋_GB2312"/>
                <w:color w:val="000000" w:themeColor="text1"/>
                <w:kern w:val="0"/>
                <w:sz w:val="24"/>
                <w:highlight w:val="none"/>
                <w:lang w:eastAsia="zh-CN" w:bidi="ar"/>
                <w14:textFill>
                  <w14:solidFill>
                    <w14:schemeClr w14:val="tx1"/>
                  </w14:solidFill>
                </w14:textFill>
              </w:rPr>
              <w:t>固定</w:t>
            </w:r>
            <w:r>
              <w:rPr>
                <w:rFonts w:hint="eastAsia" w:ascii="仿宋_GB2312" w:hAnsi="等线" w:eastAsia="仿宋_GB2312" w:cs="仿宋_GB2312"/>
                <w:color w:val="000000" w:themeColor="text1"/>
                <w:kern w:val="0"/>
                <w:sz w:val="24"/>
                <w:highlight w:val="none"/>
                <w:lang w:bidi="ar"/>
                <w14:textFill>
                  <w14:solidFill>
                    <w14:schemeClr w14:val="tx1"/>
                  </w14:solidFill>
                </w14:textFill>
              </w:rPr>
              <w:t>管理费率（年化）</w:t>
            </w:r>
          </w:p>
        </w:tc>
        <w:tc>
          <w:tcPr>
            <w:tcW w:w="6972" w:type="dxa"/>
            <w:tcBorders>
              <w:top w:val="single" w:color="auto" w:sz="4" w:space="0"/>
              <w:left w:val="single" w:color="auto" w:sz="4" w:space="0"/>
              <w:bottom w:val="single" w:color="auto" w:sz="4" w:space="0"/>
              <w:right w:val="single" w:color="auto" w:sz="4" w:space="0"/>
            </w:tcBorders>
            <w:vAlign w:val="center"/>
          </w:tcPr>
          <w:p w14:paraId="5DB1DF66">
            <w:pPr>
              <w:widowControl/>
              <w:spacing w:line="400" w:lineRule="exact"/>
              <w:jc w:val="left"/>
              <w:textAlignment w:val="center"/>
              <w:rPr>
                <w:rFonts w:hint="eastAsia" w:ascii="仿宋_GB2312" w:hAnsi="仿宋_GB2312" w:eastAsia="仿宋_GB2312" w:cs="仿宋_GB2312"/>
                <w:bCs/>
                <w:color w:val="000000" w:themeColor="text1"/>
                <w:sz w:val="24"/>
                <w:highlight w:val="none"/>
                <w14:textFill>
                  <w14:solidFill>
                    <w14:schemeClr w14:val="tx1"/>
                  </w14:solidFill>
                </w14:textFill>
              </w:rPr>
            </w:pPr>
            <w:r>
              <w:rPr>
                <w:rFonts w:hint="eastAsia" w:ascii="仿宋_GB2312" w:hAnsi="仿宋_GB2312" w:eastAsia="仿宋_GB2312" w:cs="仿宋_GB2312"/>
                <w:bCs w:val="0"/>
                <w:color w:val="auto"/>
                <w:kern w:val="2"/>
                <w:sz w:val="24"/>
                <w:szCs w:val="24"/>
                <w:highlight w:val="none"/>
                <w:u w:val="none"/>
                <w:lang w:val="en-US" w:eastAsia="zh-CN" w:bidi="ar"/>
              </w:rPr>
              <w:t>0.30%</w:t>
            </w:r>
          </w:p>
        </w:tc>
      </w:tr>
      <w:tr w14:paraId="2A124667">
        <w:tblPrEx>
          <w:tblCellMar>
            <w:top w:w="0" w:type="dxa"/>
            <w:left w:w="108" w:type="dxa"/>
            <w:bottom w:w="0" w:type="dxa"/>
            <w:right w:w="108" w:type="dxa"/>
          </w:tblCellMar>
        </w:tblPrEx>
        <w:trPr>
          <w:trHeight w:val="810" w:hRule="atLeast"/>
        </w:trPr>
        <w:tc>
          <w:tcPr>
            <w:tcW w:w="2453" w:type="dxa"/>
            <w:tcBorders>
              <w:top w:val="single" w:color="auto" w:sz="4" w:space="0"/>
              <w:left w:val="single" w:color="auto" w:sz="4" w:space="0"/>
              <w:bottom w:val="single" w:color="auto" w:sz="4" w:space="0"/>
              <w:right w:val="single" w:color="auto" w:sz="4" w:space="0"/>
            </w:tcBorders>
            <w:vAlign w:val="center"/>
          </w:tcPr>
          <w:p w14:paraId="67B291D9">
            <w:pPr>
              <w:widowControl/>
              <w:spacing w:line="400" w:lineRule="exact"/>
              <w:jc w:val="center"/>
              <w:textAlignment w:val="center"/>
              <w:rPr>
                <w:rFonts w:hint="eastAsia" w:ascii="仿宋_GB2312" w:hAnsi="等线" w:eastAsia="仿宋_GB2312" w:cs="仿宋_GB2312"/>
                <w:color w:val="000000" w:themeColor="text1"/>
                <w:sz w:val="24"/>
                <w:highlight w:val="none"/>
                <w:lang w:eastAsia="zh-CN"/>
                <w14:textFill>
                  <w14:solidFill>
                    <w14:schemeClr w14:val="tx1"/>
                  </w14:solidFill>
                </w14:textFill>
              </w:rPr>
            </w:pPr>
            <w:r>
              <w:rPr>
                <w:rFonts w:hint="eastAsia" w:ascii="仿宋_GB2312" w:hAnsi="等线" w:cs="仿宋_GB2312"/>
                <w:color w:val="000000" w:themeColor="text1"/>
                <w:kern w:val="0"/>
                <w:sz w:val="24"/>
                <w:highlight w:val="none"/>
                <w:lang w:eastAsia="zh-CN" w:bidi="ar"/>
                <w14:textFill>
                  <w14:solidFill>
                    <w14:schemeClr w14:val="tx1"/>
                  </w14:solidFill>
                </w14:textFill>
              </w:rPr>
              <w:t>浮动管理费</w:t>
            </w:r>
          </w:p>
        </w:tc>
        <w:tc>
          <w:tcPr>
            <w:tcW w:w="6972" w:type="dxa"/>
            <w:tcBorders>
              <w:top w:val="single" w:color="auto" w:sz="4" w:space="0"/>
              <w:left w:val="single" w:color="auto" w:sz="4" w:space="0"/>
              <w:bottom w:val="single" w:color="auto" w:sz="4" w:space="0"/>
              <w:right w:val="single" w:color="auto" w:sz="4" w:space="0"/>
            </w:tcBorders>
            <w:vAlign w:val="center"/>
          </w:tcPr>
          <w:p w14:paraId="59A434A1">
            <w:pPr>
              <w:widowControl/>
              <w:snapToGrid/>
              <w:spacing w:line="400" w:lineRule="exact"/>
              <w:jc w:val="left"/>
              <w:textAlignment w:val="center"/>
              <w:rPr>
                <w:rFonts w:hint="eastAsia" w:ascii="宋体" w:hAnsi="宋体"/>
                <w:b/>
                <w:color w:val="auto"/>
                <w:szCs w:val="24"/>
                <w:highlight w:val="none"/>
                <w:lang w:eastAsia="zh-CN"/>
              </w:rPr>
            </w:pPr>
            <w:r>
              <w:rPr>
                <w:rFonts w:hint="eastAsia" w:ascii="宋体" w:hAnsi="宋体"/>
                <w:b/>
                <w:color w:val="auto"/>
                <w:szCs w:val="24"/>
                <w:highlight w:val="none"/>
                <w:lang w:val="en-US" w:eastAsia="zh-CN"/>
              </w:rPr>
              <w:t>1.</w:t>
            </w:r>
            <w:r>
              <w:rPr>
                <w:rFonts w:hint="eastAsia" w:ascii="宋体" w:hAnsi="宋体"/>
                <w:b/>
                <w:color w:val="auto"/>
                <w:szCs w:val="24"/>
                <w:highlight w:val="none"/>
                <w:lang w:eastAsia="zh-CN"/>
              </w:rPr>
              <w:t>☑</w:t>
            </w:r>
            <w:r>
              <w:rPr>
                <w:rFonts w:hint="eastAsia" w:ascii="宋体" w:hAnsi="宋体"/>
                <w:b/>
                <w:color w:val="auto"/>
                <w:szCs w:val="24"/>
                <w:highlight w:val="none"/>
              </w:rPr>
              <w:t xml:space="preserve"> 产品管理人</w:t>
            </w:r>
            <w:r>
              <w:rPr>
                <w:rFonts w:hint="eastAsia" w:ascii="宋体" w:hAnsi="宋体"/>
                <w:b/>
                <w:color w:val="auto"/>
                <w:szCs w:val="24"/>
                <w:highlight w:val="none"/>
                <w:lang w:val="en-US" w:eastAsia="zh-CN"/>
              </w:rPr>
              <w:t>设置</w:t>
            </w:r>
            <w:r>
              <w:rPr>
                <w:rFonts w:hint="eastAsia" w:ascii="宋体" w:hAnsi="宋体"/>
                <w:b/>
                <w:color w:val="auto"/>
                <w:szCs w:val="24"/>
                <w:highlight w:val="none"/>
                <w:lang w:eastAsia="zh-CN"/>
              </w:rPr>
              <w:t>浮动管理费</w:t>
            </w:r>
          </w:p>
          <w:p w14:paraId="006064A6">
            <w:pPr>
              <w:tabs>
                <w:tab w:val="left" w:pos="312"/>
              </w:tabs>
              <w:snapToGrid w:val="0"/>
              <w:rPr>
                <w:rFonts w:hint="eastAsia" w:ascii="宋体" w:hAnsi="宋体"/>
                <w:b/>
                <w:color w:val="auto"/>
                <w:szCs w:val="24"/>
                <w:highlight w:val="none"/>
                <w:lang w:eastAsia="zh-CN"/>
              </w:rPr>
            </w:pPr>
            <w:r>
              <w:rPr>
                <w:rFonts w:hint="eastAsia" w:ascii="宋体" w:hAnsi="宋体"/>
                <w:b/>
                <w:color w:val="auto"/>
                <w:szCs w:val="24"/>
                <w:highlight w:val="none"/>
              </w:rPr>
              <w:t>在</w:t>
            </w:r>
            <w:r>
              <w:rPr>
                <w:rFonts w:hint="eastAsia" w:ascii="宋体" w:hAnsi="宋体"/>
                <w:b/>
                <w:color w:val="auto"/>
                <w:szCs w:val="24"/>
                <w:highlight w:val="none"/>
                <w:lang w:eastAsia="zh-CN"/>
              </w:rPr>
              <w:t>浮动管理费</w:t>
            </w:r>
            <w:r>
              <w:rPr>
                <w:rFonts w:hint="eastAsia" w:ascii="宋体" w:hAnsi="宋体"/>
                <w:b/>
                <w:color w:val="auto"/>
                <w:szCs w:val="24"/>
                <w:highlight w:val="none"/>
              </w:rPr>
              <w:t>计提日时，若理财资产扣除销售服务费、产品托管费和固定管理费等相关费用和税收后，</w:t>
            </w:r>
            <w:r>
              <w:rPr>
                <w:rFonts w:hint="eastAsia" w:ascii="宋体" w:hAnsi="宋体"/>
                <w:b/>
                <w:color w:val="auto"/>
                <w:szCs w:val="24"/>
                <w:highlight w:val="none"/>
                <w:lang w:eastAsia="zh-CN"/>
              </w:rPr>
              <w:t>浮动管理费</w:t>
            </w:r>
            <w:r>
              <w:rPr>
                <w:rFonts w:hint="eastAsia" w:ascii="宋体" w:hAnsi="宋体"/>
                <w:b/>
                <w:color w:val="auto"/>
                <w:szCs w:val="24"/>
                <w:highlight w:val="none"/>
              </w:rPr>
              <w:t>计提日产品份额净值折算的当前年化收益率超过当前</w:t>
            </w:r>
            <w:r>
              <w:rPr>
                <w:rFonts w:hint="eastAsia" w:ascii="宋体" w:hAnsi="宋体"/>
                <w:b/>
                <w:color w:val="auto"/>
                <w:szCs w:val="24"/>
                <w:highlight w:val="none"/>
                <w:lang w:eastAsia="zh-CN"/>
              </w:rPr>
              <w:t>浮动管理费</w:t>
            </w:r>
            <w:r>
              <w:rPr>
                <w:rFonts w:hint="eastAsia" w:ascii="宋体" w:hAnsi="宋体"/>
                <w:b/>
                <w:color w:val="auto"/>
                <w:szCs w:val="24"/>
                <w:highlight w:val="none"/>
              </w:rPr>
              <w:t>计提基准，则产品管理人计提超出部分的【</w:t>
            </w:r>
            <w:r>
              <w:rPr>
                <w:rFonts w:hint="eastAsia" w:ascii="宋体" w:hAnsi="宋体"/>
                <w:b/>
                <w:color w:val="auto"/>
                <w:szCs w:val="24"/>
                <w:highlight w:val="none"/>
                <w:lang w:val="en-US" w:eastAsia="zh-CN"/>
              </w:rPr>
              <w:t>50%</w:t>
            </w:r>
            <w:r>
              <w:rPr>
                <w:rFonts w:hint="eastAsia" w:ascii="宋体" w:hAnsi="宋体"/>
                <w:b/>
                <w:color w:val="auto"/>
                <w:szCs w:val="24"/>
                <w:highlight w:val="none"/>
              </w:rPr>
              <w:t>】作为</w:t>
            </w:r>
            <w:r>
              <w:rPr>
                <w:rFonts w:hint="eastAsia" w:ascii="宋体" w:hAnsi="宋体"/>
                <w:b/>
                <w:color w:val="auto"/>
                <w:szCs w:val="24"/>
                <w:highlight w:val="none"/>
                <w:lang w:eastAsia="zh-CN"/>
              </w:rPr>
              <w:t>浮动管理费</w:t>
            </w:r>
            <w:r>
              <w:rPr>
                <w:rFonts w:hint="eastAsia" w:ascii="宋体" w:hAnsi="宋体"/>
                <w:b/>
                <w:color w:val="auto"/>
                <w:szCs w:val="24"/>
                <w:highlight w:val="none"/>
              </w:rPr>
              <w:t>。</w:t>
            </w:r>
          </w:p>
          <w:p w14:paraId="09911092">
            <w:pPr>
              <w:widowControl/>
              <w:snapToGrid/>
              <w:spacing w:line="400" w:lineRule="exact"/>
              <w:jc w:val="left"/>
              <w:textAlignment w:val="center"/>
              <w:rPr>
                <w:rFonts w:hint="eastAsia" w:ascii="宋体" w:hAnsi="宋体"/>
                <w:b/>
                <w:color w:val="auto"/>
                <w:szCs w:val="24"/>
                <w:highlight w:val="none"/>
                <w:lang w:eastAsia="zh-CN"/>
              </w:rPr>
            </w:pPr>
            <w:r>
              <w:rPr>
                <w:rFonts w:hint="eastAsia" w:ascii="宋体" w:hAnsi="宋体"/>
                <w:b/>
                <w:color w:val="auto"/>
                <w:szCs w:val="24"/>
                <w:highlight w:val="none"/>
                <w:lang w:eastAsia="zh-CN"/>
              </w:rPr>
              <w:t>浮动管理费计提基准：</w:t>
            </w:r>
          </w:p>
          <w:p w14:paraId="6F75B6BD">
            <w:pPr>
              <w:widowControl/>
              <w:tabs>
                <w:tab w:val="left" w:pos="312"/>
              </w:tabs>
              <w:jc w:val="left"/>
              <w:rPr>
                <w:rFonts w:hint="eastAsia" w:ascii="宋体" w:hAnsi="宋体"/>
                <w:b/>
                <w:color w:val="auto"/>
                <w:szCs w:val="24"/>
                <w:highlight w:val="none"/>
              </w:rPr>
            </w:pPr>
            <w:r>
              <w:rPr>
                <w:rFonts w:hint="eastAsia" w:ascii="宋体" w:hAnsi="宋体"/>
                <w:b/>
                <w:color w:val="auto"/>
                <w:szCs w:val="24"/>
                <w:highlight w:val="none"/>
              </w:rPr>
              <w:t>年化【2.70%】（适用【A】类份额）</w:t>
            </w:r>
          </w:p>
          <w:p w14:paraId="31B01DC4">
            <w:pPr>
              <w:widowControl/>
              <w:tabs>
                <w:tab w:val="left" w:pos="312"/>
              </w:tabs>
              <w:jc w:val="left"/>
              <w:rPr>
                <w:rFonts w:hint="eastAsia" w:ascii="宋体" w:hAnsi="宋体"/>
                <w:b/>
                <w:color w:val="auto"/>
                <w:szCs w:val="24"/>
                <w:highlight w:val="none"/>
              </w:rPr>
            </w:pPr>
            <w:r>
              <w:rPr>
                <w:rFonts w:hint="eastAsia" w:ascii="宋体" w:hAnsi="宋体"/>
                <w:b/>
                <w:color w:val="auto"/>
                <w:szCs w:val="24"/>
                <w:highlight w:val="none"/>
              </w:rPr>
              <w:t>年化【2.65%】（适用【B】类份额）</w:t>
            </w:r>
          </w:p>
          <w:p w14:paraId="6AD9826D">
            <w:pPr>
              <w:widowControl/>
              <w:tabs>
                <w:tab w:val="left" w:pos="312"/>
              </w:tabs>
              <w:jc w:val="left"/>
              <w:rPr>
                <w:rFonts w:hint="eastAsia" w:ascii="宋体" w:hAnsi="宋体"/>
                <w:b/>
                <w:color w:val="auto"/>
                <w:szCs w:val="24"/>
                <w:highlight w:val="none"/>
              </w:rPr>
            </w:pPr>
            <w:r>
              <w:rPr>
                <w:rFonts w:hint="eastAsia" w:ascii="宋体" w:hAnsi="宋体"/>
                <w:b/>
                <w:color w:val="auto"/>
                <w:szCs w:val="24"/>
                <w:highlight w:val="none"/>
              </w:rPr>
              <w:t>年化【2.60%】（适用【C】类份额）</w:t>
            </w:r>
          </w:p>
          <w:p w14:paraId="6936F2E0">
            <w:pPr>
              <w:widowControl/>
              <w:tabs>
                <w:tab w:val="left" w:pos="312"/>
              </w:tabs>
              <w:jc w:val="left"/>
              <w:rPr>
                <w:rFonts w:hint="eastAsia" w:ascii="宋体" w:hAnsi="宋体"/>
                <w:b/>
                <w:color w:val="auto"/>
                <w:szCs w:val="24"/>
                <w:highlight w:val="none"/>
              </w:rPr>
            </w:pPr>
            <w:r>
              <w:rPr>
                <w:rFonts w:hint="eastAsia" w:ascii="宋体" w:hAnsi="宋体"/>
                <w:b/>
                <w:color w:val="auto"/>
                <w:szCs w:val="24"/>
                <w:highlight w:val="none"/>
              </w:rPr>
              <w:t>年化【2.55%】（适用【D】类份额）</w:t>
            </w:r>
          </w:p>
          <w:p w14:paraId="52487EBA">
            <w:pPr>
              <w:widowControl/>
              <w:tabs>
                <w:tab w:val="left" w:pos="312"/>
              </w:tabs>
              <w:jc w:val="left"/>
              <w:rPr>
                <w:rFonts w:hint="eastAsia" w:ascii="宋体" w:hAnsi="宋体"/>
                <w:b/>
                <w:color w:val="auto"/>
                <w:szCs w:val="24"/>
                <w:highlight w:val="none"/>
              </w:rPr>
            </w:pPr>
            <w:r>
              <w:rPr>
                <w:rFonts w:hint="eastAsia" w:ascii="宋体" w:hAnsi="宋体"/>
                <w:b/>
                <w:color w:val="auto"/>
                <w:szCs w:val="24"/>
                <w:highlight w:val="none"/>
              </w:rPr>
              <w:t>年化【2.50%】（适用【E】类份额）</w:t>
            </w:r>
          </w:p>
          <w:p w14:paraId="3D180023">
            <w:pPr>
              <w:widowControl/>
              <w:tabs>
                <w:tab w:val="left" w:pos="312"/>
              </w:tabs>
              <w:jc w:val="left"/>
              <w:rPr>
                <w:rFonts w:hint="eastAsia" w:ascii="宋体" w:hAnsi="宋体"/>
                <w:b/>
                <w:color w:val="auto"/>
                <w:szCs w:val="24"/>
                <w:highlight w:val="none"/>
              </w:rPr>
            </w:pPr>
            <w:r>
              <w:rPr>
                <w:rFonts w:hint="eastAsia" w:ascii="宋体" w:hAnsi="宋体"/>
                <w:b/>
                <w:color w:val="auto"/>
                <w:szCs w:val="24"/>
                <w:highlight w:val="none"/>
              </w:rPr>
              <w:t>年化【2.55%】（适用【F】类份额）</w:t>
            </w:r>
          </w:p>
          <w:p w14:paraId="3766662B">
            <w:pPr>
              <w:widowControl/>
              <w:tabs>
                <w:tab w:val="left" w:pos="312"/>
              </w:tabs>
              <w:jc w:val="left"/>
              <w:rPr>
                <w:rFonts w:hint="eastAsia" w:ascii="宋体" w:hAnsi="宋体"/>
                <w:b/>
                <w:color w:val="auto"/>
                <w:szCs w:val="24"/>
                <w:highlight w:val="none"/>
              </w:rPr>
            </w:pPr>
            <w:r>
              <w:rPr>
                <w:rFonts w:hint="eastAsia" w:ascii="宋体" w:hAnsi="宋体"/>
                <w:b/>
                <w:color w:val="auto"/>
                <w:szCs w:val="24"/>
                <w:highlight w:val="none"/>
              </w:rPr>
              <w:t>年化【2.50%】（适用【G】类份额）</w:t>
            </w:r>
          </w:p>
          <w:p w14:paraId="19CAC5C7">
            <w:pPr>
              <w:widowControl/>
              <w:tabs>
                <w:tab w:val="left" w:pos="312"/>
              </w:tabs>
              <w:jc w:val="left"/>
              <w:rPr>
                <w:rFonts w:hint="eastAsia" w:ascii="宋体" w:hAnsi="宋体"/>
                <w:b/>
                <w:color w:val="auto"/>
                <w:szCs w:val="24"/>
                <w:highlight w:val="none"/>
              </w:rPr>
            </w:pPr>
            <w:r>
              <w:rPr>
                <w:rFonts w:hint="eastAsia" w:ascii="宋体" w:hAnsi="宋体"/>
                <w:b/>
                <w:color w:val="auto"/>
                <w:szCs w:val="24"/>
                <w:highlight w:val="none"/>
              </w:rPr>
              <w:t>年化【2.60%】（适用【H】类份额）</w:t>
            </w:r>
          </w:p>
          <w:p w14:paraId="25CECEE6">
            <w:pPr>
              <w:widowControl/>
              <w:tabs>
                <w:tab w:val="left" w:pos="312"/>
              </w:tabs>
              <w:jc w:val="left"/>
              <w:rPr>
                <w:rFonts w:hint="eastAsia" w:ascii="宋体" w:hAnsi="宋体"/>
                <w:b/>
                <w:color w:val="auto"/>
                <w:szCs w:val="24"/>
                <w:highlight w:val="none"/>
                <w:lang w:eastAsia="zh-CN"/>
              </w:rPr>
            </w:pPr>
            <w:r>
              <w:rPr>
                <w:rFonts w:hint="eastAsia" w:ascii="宋体" w:hAnsi="宋体"/>
                <w:b/>
                <w:color w:val="auto"/>
                <w:szCs w:val="24"/>
                <w:highlight w:val="none"/>
                <w:lang w:eastAsia="zh-CN"/>
              </w:rPr>
              <w:t>□</w:t>
            </w:r>
            <w:r>
              <w:rPr>
                <w:rFonts w:hint="eastAsia" w:ascii="宋体" w:hAnsi="宋体"/>
                <w:b/>
                <w:color w:val="auto"/>
                <w:szCs w:val="24"/>
                <w:highlight w:val="none"/>
              </w:rPr>
              <w:t xml:space="preserve"> 产品管理人不设</w:t>
            </w:r>
            <w:r>
              <w:rPr>
                <w:rFonts w:hint="eastAsia" w:ascii="宋体" w:hAnsi="宋体"/>
                <w:b/>
                <w:color w:val="auto"/>
                <w:szCs w:val="24"/>
                <w:highlight w:val="none"/>
                <w:lang w:eastAsia="zh-CN"/>
              </w:rPr>
              <w:t>浮动管理费</w:t>
            </w:r>
          </w:p>
          <w:p w14:paraId="18197AB6">
            <w:pPr>
              <w:widowControl/>
              <w:snapToGrid/>
              <w:spacing w:line="400" w:lineRule="exact"/>
              <w:jc w:val="left"/>
              <w:textAlignment w:val="center"/>
              <w:rPr>
                <w:rFonts w:ascii="宋体" w:hAnsi="宋体"/>
                <w:b/>
                <w:color w:val="auto"/>
                <w:szCs w:val="24"/>
                <w:highlight w:val="none"/>
              </w:rPr>
            </w:pPr>
            <w:r>
              <w:rPr>
                <w:rFonts w:hint="eastAsia" w:ascii="宋体" w:hAnsi="宋体"/>
                <w:b/>
                <w:color w:val="auto"/>
                <w:szCs w:val="24"/>
                <w:highlight w:val="none"/>
                <w:lang w:val="en-US" w:eastAsia="zh-CN"/>
              </w:rPr>
              <w:t>2.</w:t>
            </w:r>
            <w:r>
              <w:rPr>
                <w:rFonts w:hint="eastAsia" w:ascii="宋体" w:hAnsi="宋体"/>
                <w:b/>
                <w:color w:val="auto"/>
                <w:szCs w:val="24"/>
                <w:highlight w:val="none"/>
                <w:lang w:eastAsia="zh-CN"/>
              </w:rPr>
              <w:t>浮动管理费</w:t>
            </w:r>
            <w:r>
              <w:rPr>
                <w:rFonts w:hint="eastAsia" w:ascii="宋体" w:hAnsi="宋体"/>
                <w:b/>
                <w:color w:val="auto"/>
                <w:szCs w:val="24"/>
                <w:highlight w:val="none"/>
              </w:rPr>
              <w:t>计提基准的提示：</w:t>
            </w:r>
          </w:p>
          <w:p w14:paraId="6BE1DA16">
            <w:pPr>
              <w:widowControl/>
              <w:snapToGrid/>
              <w:spacing w:line="400" w:lineRule="exact"/>
              <w:jc w:val="left"/>
              <w:textAlignment w:val="center"/>
              <w:rPr>
                <w:rFonts w:ascii="宋体" w:hAnsi="宋体"/>
                <w:b/>
                <w:color w:val="auto"/>
                <w:szCs w:val="24"/>
                <w:highlight w:val="none"/>
              </w:rPr>
            </w:pPr>
            <w:r>
              <w:rPr>
                <w:rFonts w:hint="eastAsia" w:ascii="宋体" w:hAnsi="宋体"/>
                <w:b/>
                <w:color w:val="auto"/>
                <w:szCs w:val="24"/>
                <w:highlight w:val="none"/>
              </w:rPr>
              <w:t>（1）</w:t>
            </w:r>
            <w:r>
              <w:rPr>
                <w:rFonts w:hint="eastAsia" w:ascii="宋体" w:hAnsi="宋体"/>
                <w:b/>
                <w:color w:val="auto"/>
                <w:szCs w:val="24"/>
                <w:highlight w:val="none"/>
                <w:lang w:eastAsia="zh-CN"/>
              </w:rPr>
              <w:t>浮动管理费计</w:t>
            </w:r>
            <w:r>
              <w:rPr>
                <w:rFonts w:hint="eastAsia" w:ascii="宋体" w:hAnsi="宋体"/>
                <w:b/>
                <w:color w:val="auto"/>
                <w:szCs w:val="24"/>
                <w:highlight w:val="none"/>
              </w:rPr>
              <w:t>提基准仅作为管理人计算</w:t>
            </w:r>
            <w:r>
              <w:rPr>
                <w:rFonts w:hint="eastAsia" w:ascii="宋体" w:hAnsi="宋体"/>
                <w:b/>
                <w:color w:val="auto"/>
                <w:szCs w:val="24"/>
                <w:highlight w:val="none"/>
                <w:lang w:eastAsia="zh-CN"/>
              </w:rPr>
              <w:t>浮动管理费</w:t>
            </w:r>
            <w:r>
              <w:rPr>
                <w:rFonts w:hint="eastAsia" w:ascii="宋体" w:hAnsi="宋体"/>
                <w:b/>
                <w:color w:val="auto"/>
                <w:szCs w:val="24"/>
                <w:highlight w:val="none"/>
              </w:rPr>
              <w:t>的参照标准。</w:t>
            </w:r>
            <w:r>
              <w:rPr>
                <w:rFonts w:hint="eastAsia" w:ascii="宋体" w:hAnsi="宋体"/>
                <w:b/>
                <w:color w:val="auto"/>
                <w:szCs w:val="24"/>
                <w:highlight w:val="none"/>
                <w:lang w:eastAsia="zh-CN"/>
              </w:rPr>
              <w:t>浮动管理费</w:t>
            </w:r>
            <w:r>
              <w:rPr>
                <w:rFonts w:hint="eastAsia" w:ascii="宋体" w:hAnsi="宋体"/>
                <w:b/>
                <w:color w:val="auto"/>
                <w:szCs w:val="24"/>
                <w:highlight w:val="none"/>
              </w:rPr>
              <w:t>计提基准不是预期收益率，不代表产品的未来表现和实际收益，不构成对产品收益的承诺。</w:t>
            </w:r>
          </w:p>
          <w:p w14:paraId="3118A4C4">
            <w:pPr>
              <w:widowControl/>
              <w:spacing w:line="400" w:lineRule="exact"/>
              <w:jc w:val="left"/>
              <w:textAlignment w:val="center"/>
              <w:rPr>
                <w:rFonts w:hint="eastAsia" w:ascii="仿宋" w:hAnsi="仿宋" w:eastAsia="仿宋" w:cs="宋体"/>
                <w:bCs/>
                <w:color w:val="000000" w:themeColor="text1"/>
                <w:kern w:val="0"/>
                <w:sz w:val="24"/>
                <w:highlight w:val="none"/>
                <w:lang w:bidi="ar"/>
                <w14:textFill>
                  <w14:solidFill>
                    <w14:schemeClr w14:val="tx1"/>
                  </w14:solidFill>
                </w14:textFill>
              </w:rPr>
            </w:pPr>
            <w:r>
              <w:rPr>
                <w:rFonts w:hint="eastAsia" w:ascii="宋体" w:hAnsi="宋体"/>
                <w:b/>
                <w:color w:val="auto"/>
                <w:szCs w:val="24"/>
                <w:highlight w:val="none"/>
              </w:rPr>
              <w:t>（2）如果法律法规、</w:t>
            </w:r>
            <w:r>
              <w:rPr>
                <w:rFonts w:ascii="宋体" w:hAnsi="宋体"/>
                <w:b/>
                <w:color w:val="auto"/>
                <w:szCs w:val="24"/>
                <w:highlight w:val="none"/>
              </w:rPr>
              <w:t>国家政策</w:t>
            </w:r>
            <w:r>
              <w:rPr>
                <w:rFonts w:hint="eastAsia" w:ascii="宋体" w:hAnsi="宋体"/>
                <w:b/>
                <w:color w:val="auto"/>
                <w:szCs w:val="24"/>
                <w:highlight w:val="none"/>
              </w:rPr>
              <w:t>发生变化，或者有其他代表性更强、更科学客观的</w:t>
            </w:r>
            <w:r>
              <w:rPr>
                <w:rFonts w:hint="eastAsia" w:ascii="宋体" w:hAnsi="宋体"/>
                <w:b/>
                <w:color w:val="auto"/>
                <w:szCs w:val="24"/>
                <w:highlight w:val="none"/>
                <w:lang w:eastAsia="zh-CN"/>
              </w:rPr>
              <w:t>浮动管理费</w:t>
            </w:r>
            <w:r>
              <w:rPr>
                <w:rFonts w:hint="eastAsia" w:ascii="宋体" w:hAnsi="宋体"/>
                <w:b/>
                <w:color w:val="auto"/>
                <w:szCs w:val="24"/>
                <w:highlight w:val="none"/>
              </w:rPr>
              <w:t>计提基准适用于本产品时，经产品管理人和产品托管人协商一致后，本产品可以调整</w:t>
            </w:r>
            <w:r>
              <w:rPr>
                <w:rFonts w:hint="eastAsia" w:ascii="宋体" w:hAnsi="宋体"/>
                <w:b/>
                <w:color w:val="auto"/>
                <w:szCs w:val="24"/>
                <w:highlight w:val="none"/>
                <w:lang w:eastAsia="zh-CN"/>
              </w:rPr>
              <w:t>浮动管理费</w:t>
            </w:r>
            <w:r>
              <w:rPr>
                <w:rFonts w:hint="eastAsia" w:ascii="宋体" w:hAnsi="宋体"/>
                <w:b/>
                <w:color w:val="auto"/>
                <w:szCs w:val="24"/>
                <w:highlight w:val="none"/>
              </w:rPr>
              <w:t>计提基准并及时公告。</w:t>
            </w:r>
          </w:p>
        </w:tc>
      </w:tr>
      <w:tr w14:paraId="509F343B">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1A23A3B4">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认购费率</w:t>
            </w:r>
          </w:p>
        </w:tc>
        <w:tc>
          <w:tcPr>
            <w:tcW w:w="6972" w:type="dxa"/>
            <w:tcBorders>
              <w:top w:val="single" w:color="auto" w:sz="4" w:space="0"/>
              <w:left w:val="single" w:color="auto" w:sz="4" w:space="0"/>
              <w:bottom w:val="single" w:color="auto" w:sz="4" w:space="0"/>
              <w:right w:val="single" w:color="auto" w:sz="4" w:space="0"/>
            </w:tcBorders>
            <w:vAlign w:val="center"/>
          </w:tcPr>
          <w:p w14:paraId="644BF267">
            <w:pPr>
              <w:widowControl/>
              <w:spacing w:line="400" w:lineRule="exact"/>
              <w:jc w:val="left"/>
              <w:textAlignment w:val="center"/>
              <w:rPr>
                <w:rFonts w:hint="eastAsia" w:ascii="仿宋_GB2312" w:hAnsi="等线" w:eastAsia="仿宋_GB2312" w:cs="仿宋_GB2312"/>
                <w:bCs/>
                <w:color w:val="000000" w:themeColor="text1"/>
                <w:sz w:val="24"/>
                <w:highlight w:val="none"/>
                <w:lang w:val="en-US" w:eastAsia="zh-CN"/>
                <w14:textFill>
                  <w14:solidFill>
                    <w14:schemeClr w14:val="tx1"/>
                  </w14:solidFill>
                </w14:textFill>
              </w:rPr>
            </w:pPr>
            <w:r>
              <w:rPr>
                <w:rFonts w:hint="eastAsia" w:ascii="宋体" w:hAnsi="宋体"/>
                <w:b/>
                <w:color w:val="auto"/>
                <w:szCs w:val="24"/>
                <w:highlight w:val="none"/>
                <w:lang w:val="en-US" w:eastAsia="zh-CN"/>
              </w:rPr>
              <w:t>/</w:t>
            </w:r>
          </w:p>
        </w:tc>
      </w:tr>
      <w:tr w14:paraId="4B9ADE86">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06A39AF9">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申购费率</w:t>
            </w:r>
          </w:p>
        </w:tc>
        <w:tc>
          <w:tcPr>
            <w:tcW w:w="6972" w:type="dxa"/>
            <w:tcBorders>
              <w:top w:val="single" w:color="auto" w:sz="4" w:space="0"/>
              <w:left w:val="single" w:color="auto" w:sz="4" w:space="0"/>
              <w:bottom w:val="single" w:color="auto" w:sz="4" w:space="0"/>
              <w:right w:val="single" w:color="auto" w:sz="4" w:space="0"/>
            </w:tcBorders>
            <w:vAlign w:val="center"/>
          </w:tcPr>
          <w:p w14:paraId="4D7CE646">
            <w:pPr>
              <w:widowControl/>
              <w:spacing w:line="400" w:lineRule="exact"/>
              <w:jc w:val="left"/>
              <w:textAlignment w:val="center"/>
              <w:rPr>
                <w:rFonts w:hint="eastAsia" w:ascii="仿宋_GB2312" w:hAnsi="等线" w:eastAsia="仿宋_GB2312" w:cs="仿宋_GB2312"/>
                <w:bCs/>
                <w:color w:val="000000" w:themeColor="text1"/>
                <w:sz w:val="24"/>
                <w:highlight w:val="none"/>
                <w14:textFill>
                  <w14:solidFill>
                    <w14:schemeClr w14:val="tx1"/>
                  </w14:solidFill>
                </w14:textFill>
              </w:rPr>
            </w:pPr>
            <w:r>
              <w:rPr>
                <w:rFonts w:hint="eastAsia" w:ascii="宋体" w:hAnsi="宋体"/>
                <w:b/>
                <w:color w:val="auto"/>
                <w:szCs w:val="24"/>
                <w:highlight w:val="none"/>
                <w:lang w:val="en-US" w:eastAsia="zh-CN"/>
              </w:rPr>
              <w:t>/</w:t>
            </w:r>
          </w:p>
        </w:tc>
      </w:tr>
      <w:tr w14:paraId="5E5C6BB3">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0F57A562">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赎回费率</w:t>
            </w:r>
          </w:p>
        </w:tc>
        <w:tc>
          <w:tcPr>
            <w:tcW w:w="6972" w:type="dxa"/>
            <w:tcBorders>
              <w:top w:val="single" w:color="auto" w:sz="4" w:space="0"/>
              <w:left w:val="single" w:color="auto" w:sz="4" w:space="0"/>
              <w:bottom w:val="single" w:color="auto" w:sz="4" w:space="0"/>
              <w:right w:val="single" w:color="auto" w:sz="4" w:space="0"/>
            </w:tcBorders>
            <w:vAlign w:val="center"/>
          </w:tcPr>
          <w:p w14:paraId="307046E4">
            <w:pPr>
              <w:widowControl/>
              <w:spacing w:line="400" w:lineRule="exact"/>
              <w:jc w:val="left"/>
              <w:textAlignment w:val="center"/>
              <w:rPr>
                <w:rFonts w:hint="eastAsia" w:ascii="仿宋_GB2312" w:hAnsi="等线" w:eastAsia="仿宋_GB2312" w:cs="仿宋_GB2312"/>
                <w:bCs/>
                <w:color w:val="000000" w:themeColor="text1"/>
                <w:sz w:val="24"/>
                <w:highlight w:val="none"/>
                <w14:textFill>
                  <w14:solidFill>
                    <w14:schemeClr w14:val="tx1"/>
                  </w14:solidFill>
                </w14:textFill>
              </w:rPr>
            </w:pPr>
            <w:r>
              <w:rPr>
                <w:rFonts w:hint="eastAsia" w:ascii="宋体" w:hAnsi="宋体"/>
                <w:b/>
                <w:color w:val="auto"/>
                <w:szCs w:val="24"/>
                <w:highlight w:val="none"/>
                <w:lang w:val="en-US" w:eastAsia="zh-CN"/>
              </w:rPr>
              <w:t>/</w:t>
            </w:r>
          </w:p>
        </w:tc>
      </w:tr>
      <w:tr w14:paraId="6E43E5D2">
        <w:tblPrEx>
          <w:tblCellMar>
            <w:top w:w="0" w:type="dxa"/>
            <w:left w:w="108" w:type="dxa"/>
            <w:bottom w:w="0" w:type="dxa"/>
            <w:right w:w="108" w:type="dxa"/>
          </w:tblCellMar>
        </w:tblPrEx>
        <w:trPr>
          <w:trHeight w:val="830" w:hRule="atLeast"/>
        </w:trPr>
        <w:tc>
          <w:tcPr>
            <w:tcW w:w="2453" w:type="dxa"/>
            <w:tcBorders>
              <w:top w:val="single" w:color="auto" w:sz="4" w:space="0"/>
              <w:left w:val="single" w:color="auto" w:sz="4" w:space="0"/>
              <w:bottom w:val="single" w:color="auto" w:sz="4" w:space="0"/>
              <w:right w:val="single" w:color="auto" w:sz="4" w:space="0"/>
            </w:tcBorders>
            <w:vAlign w:val="center"/>
          </w:tcPr>
          <w:p w14:paraId="219B3310">
            <w:pPr>
              <w:widowControl/>
              <w:spacing w:line="400" w:lineRule="exact"/>
              <w:jc w:val="center"/>
              <w:textAlignment w:val="center"/>
              <w:rPr>
                <w:rFonts w:hint="eastAsia" w:ascii="仿宋_GB2312" w:hAnsi="等线" w:eastAsia="仿宋_GB2312" w:cs="仿宋_GB2312"/>
                <w:color w:val="000000" w:themeColor="text1"/>
                <w:kern w:val="0"/>
                <w:sz w:val="24"/>
                <w:highlight w:val="none"/>
                <w:lang w:bidi="ar"/>
                <w14:textFill>
                  <w14:solidFill>
                    <w14:schemeClr w14:val="tx1"/>
                  </w14:solidFill>
                </w14:textFill>
              </w:rPr>
            </w:pPr>
            <w:r>
              <w:rPr>
                <w:rFonts w:hint="eastAsia" w:ascii="仿宋_GB2312" w:hAnsi="等线" w:cs="仿宋_GB2312"/>
                <w:color w:val="000000" w:themeColor="text1"/>
                <w:kern w:val="0"/>
                <w:sz w:val="24"/>
                <w:lang w:val="en-US" w:eastAsia="zh-CN" w:bidi="ar"/>
                <w14:textFill>
                  <w14:solidFill>
                    <w14:schemeClr w14:val="tx1"/>
                  </w14:solidFill>
                </w14:textFill>
              </w:rPr>
              <w:t>信息服务费率</w:t>
            </w:r>
          </w:p>
        </w:tc>
        <w:tc>
          <w:tcPr>
            <w:tcW w:w="6972" w:type="dxa"/>
            <w:tcBorders>
              <w:top w:val="single" w:color="auto" w:sz="4" w:space="0"/>
              <w:left w:val="single" w:color="auto" w:sz="4" w:space="0"/>
              <w:bottom w:val="single" w:color="auto" w:sz="4" w:space="0"/>
              <w:right w:val="single" w:color="auto" w:sz="4" w:space="0"/>
            </w:tcBorders>
            <w:vAlign w:val="center"/>
          </w:tcPr>
          <w:p w14:paraId="663CAE5F">
            <w:pPr>
              <w:widowControl/>
              <w:spacing w:line="400" w:lineRule="exact"/>
              <w:jc w:val="left"/>
              <w:textAlignment w:val="center"/>
              <w:rPr>
                <w:rFonts w:hint="eastAsia" w:ascii="宋体" w:hAnsi="宋体"/>
                <w:b w:val="0"/>
                <w:bCs/>
                <w:color w:val="auto"/>
                <w:szCs w:val="24"/>
                <w:highlight w:val="none"/>
                <w:lang w:val="en-US" w:eastAsia="zh-CN"/>
              </w:rPr>
            </w:pPr>
            <w:r>
              <w:rPr>
                <w:rFonts w:hint="eastAsia" w:ascii="宋体" w:hAnsi="宋体"/>
                <w:b w:val="0"/>
                <w:bCs/>
                <w:color w:val="auto"/>
                <w:szCs w:val="24"/>
                <w:highlight w:val="none"/>
                <w:lang w:val="en-US" w:eastAsia="zh-CN"/>
              </w:rPr>
              <w:t>【0.002%/年】（如有调整，以银行业理财登记托管中心收费规则为准）</w:t>
            </w:r>
          </w:p>
          <w:p w14:paraId="587C537B">
            <w:pPr>
              <w:widowControl/>
              <w:spacing w:line="400" w:lineRule="exact"/>
              <w:jc w:val="left"/>
              <w:textAlignment w:val="center"/>
              <w:rPr>
                <w:rFonts w:hint="eastAsia" w:ascii="宋体" w:hAnsi="宋体"/>
                <w:b/>
                <w:bCs/>
                <w:color w:val="auto"/>
                <w:szCs w:val="24"/>
                <w:highlight w:val="none"/>
                <w:u w:val="none"/>
                <w:lang w:eastAsia="zh-CN"/>
              </w:rPr>
            </w:pPr>
            <w:r>
              <w:rPr>
                <w:rFonts w:hint="eastAsia" w:ascii="宋体" w:hAnsi="宋体"/>
                <w:b w:val="0"/>
                <w:bCs/>
                <w:color w:val="auto"/>
                <w:szCs w:val="24"/>
                <w:highlight w:val="none"/>
                <w:lang w:val="en-US" w:eastAsia="zh-CN"/>
              </w:rPr>
              <w:t>针对2026年9月1日（含）后成立的产品，产品将收取信息服务费，</w:t>
            </w:r>
            <w:r>
              <w:rPr>
                <w:rFonts w:hint="eastAsia" w:ascii="宋体" w:hAnsi="宋体"/>
                <w:b/>
                <w:bCs w:val="0"/>
                <w:color w:val="auto"/>
                <w:szCs w:val="24"/>
                <w:highlight w:val="none"/>
                <w:lang w:val="en-US" w:eastAsia="zh-CN"/>
              </w:rPr>
              <w:t>具体说明详见第十节 “理财产品的费用与税收”</w:t>
            </w:r>
            <w:r>
              <w:rPr>
                <w:rFonts w:hint="eastAsia" w:ascii="宋体" w:hAnsi="宋体"/>
                <w:b w:val="0"/>
                <w:bCs/>
                <w:color w:val="auto"/>
                <w:szCs w:val="24"/>
                <w:highlight w:val="none"/>
                <w:lang w:val="en-US" w:eastAsia="zh-CN"/>
              </w:rPr>
              <w:t>。</w:t>
            </w:r>
          </w:p>
        </w:tc>
      </w:tr>
      <w:tr w14:paraId="3BC8EE15">
        <w:tblPrEx>
          <w:tblCellMar>
            <w:top w:w="0" w:type="dxa"/>
            <w:left w:w="108" w:type="dxa"/>
            <w:bottom w:w="0" w:type="dxa"/>
            <w:right w:w="108" w:type="dxa"/>
          </w:tblCellMar>
        </w:tblPrEx>
        <w:trPr>
          <w:trHeight w:val="830" w:hRule="atLeast"/>
        </w:trPr>
        <w:tc>
          <w:tcPr>
            <w:tcW w:w="2453" w:type="dxa"/>
            <w:tcBorders>
              <w:top w:val="single" w:color="auto" w:sz="4" w:space="0"/>
              <w:left w:val="single" w:color="auto" w:sz="4" w:space="0"/>
              <w:bottom w:val="single" w:color="auto" w:sz="4" w:space="0"/>
              <w:right w:val="single" w:color="auto" w:sz="4" w:space="0"/>
            </w:tcBorders>
            <w:vAlign w:val="center"/>
          </w:tcPr>
          <w:p w14:paraId="1A9C87D3">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其他费用说明</w:t>
            </w:r>
          </w:p>
        </w:tc>
        <w:tc>
          <w:tcPr>
            <w:tcW w:w="6972" w:type="dxa"/>
            <w:tcBorders>
              <w:top w:val="single" w:color="auto" w:sz="4" w:space="0"/>
              <w:left w:val="single" w:color="auto" w:sz="4" w:space="0"/>
              <w:bottom w:val="single" w:color="auto" w:sz="4" w:space="0"/>
              <w:right w:val="single" w:color="auto" w:sz="4" w:space="0"/>
            </w:tcBorders>
            <w:vAlign w:val="center"/>
          </w:tcPr>
          <w:p w14:paraId="3F6E659D">
            <w:pPr>
              <w:widowControl/>
              <w:spacing w:line="400" w:lineRule="exact"/>
              <w:jc w:val="left"/>
              <w:textAlignment w:val="center"/>
              <w:rPr>
                <w:rFonts w:hint="eastAsia" w:ascii="宋体" w:hAnsi="宋体"/>
                <w:color w:val="auto"/>
                <w:szCs w:val="24"/>
                <w:highlight w:val="none"/>
                <w:u w:val="none"/>
              </w:rPr>
            </w:pPr>
            <w:r>
              <w:rPr>
                <w:rFonts w:hint="eastAsia" w:ascii="宋体" w:hAnsi="宋体"/>
                <w:color w:val="auto"/>
                <w:szCs w:val="24"/>
                <w:highlight w:val="none"/>
                <w:u w:val="none"/>
              </w:rPr>
              <w:t>产品管理人保留调整上述理财产品收取费率标准的权利。以上费用精确到小数点后2位，小数点2位以后四舍五入。</w:t>
            </w:r>
          </w:p>
          <w:p w14:paraId="02135C4F">
            <w:pPr>
              <w:widowControl/>
              <w:spacing w:line="400" w:lineRule="exact"/>
              <w:jc w:val="left"/>
              <w:textAlignment w:val="center"/>
              <w:rPr>
                <w:rFonts w:hint="eastAsia" w:ascii="仿宋_GB2312" w:hAnsi="等线" w:eastAsia="仿宋_GB2312" w:cs="仿宋_GB2312"/>
                <w:bCs/>
                <w:color w:val="000000" w:themeColor="text1"/>
                <w:sz w:val="24"/>
                <w:highlight w:val="none"/>
                <w14:textFill>
                  <w14:solidFill>
                    <w14:schemeClr w14:val="tx1"/>
                  </w14:solidFill>
                </w14:textFill>
              </w:rPr>
            </w:pPr>
            <w:r>
              <w:rPr>
                <w:rFonts w:hint="eastAsia" w:ascii="宋体" w:hAnsi="宋体"/>
                <w:b/>
                <w:bCs/>
                <w:color w:val="auto"/>
                <w:szCs w:val="24"/>
                <w:highlight w:val="none"/>
                <w:u w:val="none"/>
                <w:lang w:eastAsia="zh-CN"/>
              </w:rPr>
              <w:t>其他费用说明</w:t>
            </w:r>
            <w:r>
              <w:rPr>
                <w:rFonts w:hint="eastAsia" w:ascii="宋体" w:hAnsi="宋体"/>
                <w:b/>
                <w:bCs/>
                <w:color w:val="auto"/>
                <w:szCs w:val="24"/>
                <w:highlight w:val="none"/>
                <w:u w:val="none"/>
              </w:rPr>
              <w:t>详见</w:t>
            </w:r>
            <w:r>
              <w:rPr>
                <w:rFonts w:ascii="宋体" w:hAnsi="宋体"/>
                <w:b/>
                <w:bCs/>
                <w:color w:val="auto"/>
                <w:szCs w:val="24"/>
                <w:highlight w:val="none"/>
                <w:u w:val="none"/>
              </w:rPr>
              <w:t>第</w:t>
            </w:r>
            <w:r>
              <w:rPr>
                <w:rFonts w:hint="eastAsia" w:ascii="宋体" w:hAnsi="宋体"/>
                <w:b/>
                <w:bCs/>
                <w:color w:val="auto"/>
                <w:szCs w:val="24"/>
                <w:highlight w:val="none"/>
                <w:u w:val="none"/>
                <w:lang w:val="en-US" w:eastAsia="zh-CN"/>
              </w:rPr>
              <w:t>十</w:t>
            </w:r>
            <w:r>
              <w:rPr>
                <w:rFonts w:ascii="宋体" w:hAnsi="宋体"/>
                <w:b/>
                <w:bCs/>
                <w:color w:val="auto"/>
                <w:szCs w:val="24"/>
                <w:highlight w:val="none"/>
                <w:u w:val="none"/>
              </w:rPr>
              <w:t>节</w:t>
            </w:r>
            <w:r>
              <w:rPr>
                <w:rFonts w:hint="eastAsia" w:ascii="宋体" w:hAnsi="宋体"/>
                <w:b/>
                <w:bCs/>
                <w:color w:val="auto"/>
                <w:szCs w:val="24"/>
                <w:highlight w:val="none"/>
                <w:u w:val="none"/>
              </w:rPr>
              <w:t xml:space="preserve"> “理财</w:t>
            </w:r>
            <w:r>
              <w:rPr>
                <w:rFonts w:ascii="宋体" w:hAnsi="宋体"/>
                <w:b/>
                <w:bCs/>
                <w:color w:val="auto"/>
                <w:szCs w:val="24"/>
                <w:highlight w:val="none"/>
                <w:u w:val="none"/>
              </w:rPr>
              <w:t>产品</w:t>
            </w:r>
            <w:r>
              <w:rPr>
                <w:rFonts w:hint="eastAsia" w:ascii="宋体" w:hAnsi="宋体"/>
                <w:b/>
                <w:bCs/>
                <w:color w:val="auto"/>
                <w:szCs w:val="24"/>
                <w:highlight w:val="none"/>
                <w:u w:val="none"/>
                <w:lang w:eastAsia="zh-CN"/>
              </w:rPr>
              <w:t>的</w:t>
            </w:r>
            <w:r>
              <w:rPr>
                <w:rFonts w:ascii="宋体" w:hAnsi="宋体"/>
                <w:b/>
                <w:bCs/>
                <w:color w:val="auto"/>
                <w:szCs w:val="24"/>
                <w:highlight w:val="none"/>
                <w:u w:val="none"/>
              </w:rPr>
              <w:t>费用与税收”</w:t>
            </w:r>
            <w:r>
              <w:rPr>
                <w:rFonts w:hint="eastAsia" w:ascii="宋体" w:hAnsi="宋体"/>
                <w:b/>
                <w:bCs/>
                <w:color w:val="auto"/>
                <w:szCs w:val="24"/>
                <w:highlight w:val="none"/>
                <w:u w:val="none"/>
              </w:rPr>
              <w:t>。</w:t>
            </w:r>
          </w:p>
        </w:tc>
      </w:tr>
      <w:tr w14:paraId="2B3B7A05">
        <w:tblPrEx>
          <w:tblCellMar>
            <w:top w:w="0" w:type="dxa"/>
            <w:left w:w="108" w:type="dxa"/>
            <w:bottom w:w="0" w:type="dxa"/>
            <w:right w:w="108" w:type="dxa"/>
          </w:tblCellMar>
        </w:tblPrEx>
        <w:trPr>
          <w:trHeight w:val="270" w:hRule="atLeast"/>
        </w:trPr>
        <w:tc>
          <w:tcPr>
            <w:tcW w:w="9425" w:type="dxa"/>
            <w:gridSpan w:val="2"/>
            <w:tcBorders>
              <w:top w:val="single" w:color="auto" w:sz="4" w:space="0"/>
              <w:left w:val="single" w:color="auto" w:sz="4" w:space="0"/>
              <w:bottom w:val="single" w:color="auto" w:sz="4" w:space="0"/>
              <w:right w:val="single" w:color="auto" w:sz="4" w:space="0"/>
            </w:tcBorders>
            <w:vAlign w:val="center"/>
          </w:tcPr>
          <w:p w14:paraId="26627BFE">
            <w:pPr>
              <w:widowControl/>
              <w:spacing w:line="400" w:lineRule="exact"/>
              <w:jc w:val="center"/>
              <w:textAlignment w:val="center"/>
              <w:rPr>
                <w:rFonts w:hint="eastAsia" w:ascii="楷体_GB2312" w:hAnsi="等线" w:eastAsia="楷体_GB2312" w:cs="楷体_GB2312"/>
                <w:b/>
                <w:bCs/>
                <w:color w:val="000000" w:themeColor="text1"/>
                <w:sz w:val="24"/>
                <w:highlight w:val="none"/>
                <w14:textFill>
                  <w14:solidFill>
                    <w14:schemeClr w14:val="tx1"/>
                  </w14:solidFill>
                </w14:textFill>
              </w:rPr>
            </w:pPr>
            <w:r>
              <w:rPr>
                <w:rFonts w:hint="eastAsia" w:ascii="楷体_GB2312" w:hAnsi="等线" w:eastAsia="楷体_GB2312" w:cs="楷体_GB2312"/>
                <w:b/>
                <w:bCs/>
                <w:color w:val="000000" w:themeColor="text1"/>
                <w:kern w:val="0"/>
                <w:sz w:val="24"/>
                <w:highlight w:val="none"/>
                <w:lang w:bidi="ar"/>
                <w14:textFill>
                  <w14:solidFill>
                    <w14:schemeClr w14:val="tx1"/>
                  </w14:solidFill>
                </w14:textFill>
              </w:rPr>
              <w:t>（六）业绩比较基准</w:t>
            </w:r>
          </w:p>
        </w:tc>
      </w:tr>
      <w:tr w14:paraId="7426DD04">
        <w:tblPrEx>
          <w:tblCellMar>
            <w:top w:w="0" w:type="dxa"/>
            <w:left w:w="108" w:type="dxa"/>
            <w:bottom w:w="0" w:type="dxa"/>
            <w:right w:w="108" w:type="dxa"/>
          </w:tblCellMar>
        </w:tblPrEx>
        <w:trPr>
          <w:trHeight w:val="1180" w:hRule="atLeast"/>
        </w:trPr>
        <w:tc>
          <w:tcPr>
            <w:tcW w:w="2453" w:type="dxa"/>
            <w:tcBorders>
              <w:top w:val="single" w:color="auto" w:sz="4" w:space="0"/>
              <w:left w:val="single" w:color="auto" w:sz="4" w:space="0"/>
              <w:bottom w:val="single" w:color="auto" w:sz="4" w:space="0"/>
              <w:right w:val="single" w:color="auto" w:sz="4" w:space="0"/>
            </w:tcBorders>
            <w:vAlign w:val="center"/>
          </w:tcPr>
          <w:p w14:paraId="23C4D4E1">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业绩比较基准</w:t>
            </w:r>
          </w:p>
        </w:tc>
        <w:tc>
          <w:tcPr>
            <w:tcW w:w="6972" w:type="dxa"/>
            <w:tcBorders>
              <w:top w:val="single" w:color="auto" w:sz="4" w:space="0"/>
              <w:left w:val="single" w:color="auto" w:sz="4" w:space="0"/>
              <w:bottom w:val="single" w:color="auto" w:sz="4" w:space="0"/>
              <w:right w:val="single" w:color="auto" w:sz="4" w:space="0"/>
            </w:tcBorders>
            <w:vAlign w:val="center"/>
          </w:tcPr>
          <w:p w14:paraId="1053CDB4">
            <w:pPr>
              <w:widowControl/>
              <w:spacing w:line="400" w:lineRule="exact"/>
              <w:jc w:val="left"/>
              <w:textAlignment w:val="center"/>
              <w:rPr>
                <w:rFonts w:hint="eastAsia" w:ascii="宋体" w:hAnsi="宋体"/>
                <w:b/>
                <w:color w:val="auto"/>
                <w:szCs w:val="24"/>
                <w:highlight w:val="none"/>
                <w:u w:val="none"/>
              </w:rPr>
            </w:pPr>
            <w:r>
              <w:rPr>
                <w:rFonts w:hint="eastAsia" w:ascii="宋体" w:hAnsi="宋体"/>
                <w:b/>
                <w:color w:val="auto"/>
                <w:szCs w:val="24"/>
                <w:highlight w:val="none"/>
                <w:u w:val="none"/>
                <w:lang w:val="en-US" w:eastAsia="zh-CN"/>
              </w:rPr>
              <w:t>1.</w:t>
            </w:r>
            <w:r>
              <w:rPr>
                <w:rFonts w:hint="eastAsia" w:ascii="宋体" w:hAnsi="宋体"/>
                <w:b/>
                <w:color w:val="auto"/>
                <w:szCs w:val="24"/>
                <w:highlight w:val="none"/>
                <w:u w:val="none"/>
              </w:rPr>
              <w:t>业绩比较基准设置</w:t>
            </w:r>
          </w:p>
          <w:p w14:paraId="46A15333">
            <w:pPr>
              <w:widowControl/>
              <w:jc w:val="left"/>
              <w:rPr>
                <w:rFonts w:ascii="宋体" w:hAnsi="宋体"/>
                <w:b/>
                <w:color w:val="auto"/>
                <w:szCs w:val="24"/>
                <w:highlight w:val="none"/>
              </w:rPr>
            </w:pPr>
            <w:r>
              <w:rPr>
                <w:rFonts w:ascii="Wingdings 2" w:hAnsi="Wingdings 2" w:eastAsia="宋体" w:cs="东文宋体"/>
                <w:color w:val="auto"/>
                <w:szCs w:val="24"/>
                <w:highlight w:val="none"/>
              </w:rPr>
              <w:t>R</w:t>
            </w:r>
            <w:r>
              <w:rPr>
                <w:rFonts w:hint="eastAsia" w:ascii="宋体" w:hAnsi="宋体"/>
                <w:b/>
                <w:color w:val="auto"/>
                <w:szCs w:val="24"/>
                <w:highlight w:val="none"/>
              </w:rPr>
              <w:t xml:space="preserve">  产品管理人设置业绩比较基准。</w:t>
            </w:r>
          </w:p>
          <w:p w14:paraId="5D76C59B">
            <w:pPr>
              <w:widowControl/>
              <w:jc w:val="left"/>
              <w:rPr>
                <w:rFonts w:hint="eastAsia" w:ascii="宋体" w:hAnsi="宋体"/>
                <w:b/>
                <w:color w:val="auto"/>
                <w:szCs w:val="24"/>
                <w:highlight w:val="none"/>
              </w:rPr>
            </w:pPr>
            <w:r>
              <w:rPr>
                <w:rFonts w:hint="eastAsia" w:ascii="宋体" w:hAnsi="宋体"/>
                <w:b/>
                <w:color w:val="auto"/>
                <w:szCs w:val="24"/>
                <w:highlight w:val="none"/>
              </w:rPr>
              <w:t>年化【2.55%-2.85%】（适用【A】类份额）</w:t>
            </w:r>
          </w:p>
          <w:p w14:paraId="298447A7">
            <w:pPr>
              <w:widowControl/>
              <w:jc w:val="left"/>
              <w:rPr>
                <w:rFonts w:hint="eastAsia" w:ascii="宋体" w:hAnsi="宋体"/>
                <w:b/>
                <w:color w:val="auto"/>
                <w:szCs w:val="24"/>
                <w:highlight w:val="none"/>
              </w:rPr>
            </w:pPr>
            <w:r>
              <w:rPr>
                <w:rFonts w:hint="eastAsia" w:ascii="宋体" w:hAnsi="宋体"/>
                <w:b/>
                <w:color w:val="auto"/>
                <w:szCs w:val="24"/>
                <w:highlight w:val="none"/>
              </w:rPr>
              <w:t>年化【2.50%-2.80%】（适用【B】类份额）</w:t>
            </w:r>
          </w:p>
          <w:p w14:paraId="18271EDC">
            <w:pPr>
              <w:widowControl/>
              <w:jc w:val="left"/>
              <w:rPr>
                <w:rFonts w:hint="eastAsia" w:ascii="宋体" w:hAnsi="宋体"/>
                <w:b/>
                <w:color w:val="auto"/>
                <w:szCs w:val="24"/>
                <w:highlight w:val="none"/>
              </w:rPr>
            </w:pPr>
            <w:r>
              <w:rPr>
                <w:rFonts w:hint="eastAsia" w:ascii="宋体" w:hAnsi="宋体"/>
                <w:b/>
                <w:color w:val="auto"/>
                <w:szCs w:val="24"/>
                <w:highlight w:val="none"/>
              </w:rPr>
              <w:t>年化【2.45%-2.75%】（适用【C】类份额）</w:t>
            </w:r>
          </w:p>
          <w:p w14:paraId="79F1507C">
            <w:pPr>
              <w:widowControl/>
              <w:jc w:val="left"/>
              <w:rPr>
                <w:rFonts w:hint="eastAsia" w:ascii="宋体" w:hAnsi="宋体"/>
                <w:b/>
                <w:color w:val="auto"/>
                <w:szCs w:val="24"/>
                <w:highlight w:val="none"/>
              </w:rPr>
            </w:pPr>
            <w:r>
              <w:rPr>
                <w:rFonts w:hint="eastAsia" w:ascii="宋体" w:hAnsi="宋体"/>
                <w:b/>
                <w:color w:val="auto"/>
                <w:szCs w:val="24"/>
                <w:highlight w:val="none"/>
              </w:rPr>
              <w:t>年化【2.40%-2.70%】（适用【D】类份额）</w:t>
            </w:r>
          </w:p>
          <w:p w14:paraId="48E629BB">
            <w:pPr>
              <w:widowControl/>
              <w:jc w:val="left"/>
              <w:rPr>
                <w:rFonts w:hint="eastAsia" w:ascii="宋体" w:hAnsi="宋体"/>
                <w:b/>
                <w:color w:val="auto"/>
                <w:szCs w:val="24"/>
                <w:highlight w:val="none"/>
              </w:rPr>
            </w:pPr>
            <w:r>
              <w:rPr>
                <w:rFonts w:hint="eastAsia" w:ascii="宋体" w:hAnsi="宋体"/>
                <w:b/>
                <w:color w:val="auto"/>
                <w:szCs w:val="24"/>
                <w:highlight w:val="none"/>
              </w:rPr>
              <w:t>年化【2.35%-2.65%】（适用【E】类份额）</w:t>
            </w:r>
          </w:p>
          <w:p w14:paraId="6140E98D">
            <w:pPr>
              <w:widowControl/>
              <w:jc w:val="left"/>
              <w:rPr>
                <w:rFonts w:hint="eastAsia" w:ascii="宋体" w:hAnsi="宋体"/>
                <w:b/>
                <w:color w:val="auto"/>
                <w:szCs w:val="24"/>
                <w:highlight w:val="none"/>
              </w:rPr>
            </w:pPr>
            <w:r>
              <w:rPr>
                <w:rFonts w:hint="eastAsia" w:ascii="宋体" w:hAnsi="宋体"/>
                <w:b/>
                <w:color w:val="auto"/>
                <w:szCs w:val="24"/>
                <w:highlight w:val="none"/>
              </w:rPr>
              <w:t>年化【2.40%-2.70%】（适用【F】类份额）</w:t>
            </w:r>
          </w:p>
          <w:p w14:paraId="5318A149">
            <w:pPr>
              <w:widowControl/>
              <w:jc w:val="left"/>
              <w:rPr>
                <w:rFonts w:hint="eastAsia" w:ascii="宋体" w:hAnsi="宋体"/>
                <w:b/>
                <w:color w:val="auto"/>
                <w:szCs w:val="24"/>
                <w:highlight w:val="none"/>
              </w:rPr>
            </w:pPr>
            <w:r>
              <w:rPr>
                <w:rFonts w:hint="eastAsia" w:ascii="宋体" w:hAnsi="宋体"/>
                <w:b/>
                <w:color w:val="auto"/>
                <w:szCs w:val="24"/>
                <w:highlight w:val="none"/>
              </w:rPr>
              <w:t>年化【2.35%-2.65%】（适用【G】类份额）</w:t>
            </w:r>
          </w:p>
          <w:p w14:paraId="2D9EDE82">
            <w:pPr>
              <w:widowControl/>
              <w:jc w:val="left"/>
              <w:rPr>
                <w:rFonts w:hint="eastAsia" w:ascii="宋体" w:hAnsi="宋体"/>
                <w:b/>
                <w:color w:val="auto"/>
                <w:szCs w:val="24"/>
                <w:highlight w:val="none"/>
              </w:rPr>
            </w:pPr>
            <w:r>
              <w:rPr>
                <w:rFonts w:hint="eastAsia" w:ascii="宋体" w:hAnsi="宋体"/>
                <w:b/>
                <w:color w:val="auto"/>
                <w:szCs w:val="24"/>
                <w:highlight w:val="none"/>
              </w:rPr>
              <w:t>年化【2.45%-2.75%】（适用【H】类份额）</w:t>
            </w:r>
          </w:p>
          <w:p w14:paraId="0AF90A36">
            <w:pPr>
              <w:widowControl/>
              <w:jc w:val="left"/>
              <w:rPr>
                <w:rFonts w:ascii="宋体" w:hAnsi="宋体"/>
                <w:b/>
                <w:color w:val="auto"/>
                <w:szCs w:val="24"/>
                <w:highlight w:val="none"/>
              </w:rPr>
            </w:pPr>
            <w:r>
              <w:rPr>
                <w:rFonts w:hint="eastAsia" w:ascii="宋体" w:hAnsi="宋体" w:eastAsia="宋体" w:cs="东文宋体"/>
                <w:color w:val="auto"/>
                <w:szCs w:val="24"/>
                <w:highlight w:val="none"/>
              </w:rPr>
              <w:t>□</w:t>
            </w:r>
            <w:r>
              <w:rPr>
                <w:rFonts w:hint="eastAsia" w:ascii="宋体" w:hAnsi="宋体"/>
                <w:b/>
                <w:color w:val="auto"/>
                <w:szCs w:val="24"/>
                <w:highlight w:val="none"/>
              </w:rPr>
              <w:t>本产品</w:t>
            </w:r>
            <w:r>
              <w:rPr>
                <w:rFonts w:ascii="宋体" w:hAnsi="宋体"/>
                <w:b/>
                <w:color w:val="auto"/>
                <w:szCs w:val="24"/>
                <w:highlight w:val="none"/>
              </w:rPr>
              <w:t>不</w:t>
            </w:r>
            <w:r>
              <w:rPr>
                <w:rFonts w:hint="eastAsia" w:ascii="宋体" w:hAnsi="宋体"/>
                <w:b/>
                <w:color w:val="auto"/>
                <w:szCs w:val="24"/>
                <w:highlight w:val="none"/>
              </w:rPr>
              <w:t>设置</w:t>
            </w:r>
            <w:r>
              <w:rPr>
                <w:rFonts w:ascii="宋体" w:hAnsi="宋体"/>
                <w:b/>
                <w:color w:val="auto"/>
                <w:szCs w:val="24"/>
                <w:highlight w:val="none"/>
              </w:rPr>
              <w:t>业绩比较基准</w:t>
            </w:r>
            <w:r>
              <w:rPr>
                <w:rFonts w:hint="eastAsia" w:ascii="宋体" w:hAnsi="宋体"/>
                <w:b/>
                <w:color w:val="auto"/>
                <w:szCs w:val="24"/>
                <w:highlight w:val="none"/>
              </w:rPr>
              <w:t>。</w:t>
            </w:r>
          </w:p>
          <w:p w14:paraId="6290B0C4">
            <w:pPr>
              <w:widowControl/>
              <w:spacing w:line="400" w:lineRule="exact"/>
              <w:jc w:val="left"/>
              <w:textAlignment w:val="center"/>
              <w:rPr>
                <w:rFonts w:hint="eastAsia" w:ascii="宋体" w:hAnsi="宋体"/>
                <w:b/>
                <w:color w:val="auto"/>
                <w:szCs w:val="24"/>
                <w:highlight w:val="none"/>
                <w:u w:val="none"/>
                <w:lang w:eastAsia="zh-CN"/>
              </w:rPr>
            </w:pPr>
            <w:r>
              <w:rPr>
                <w:rFonts w:hint="eastAsia" w:ascii="宋体" w:hAnsi="宋体"/>
                <w:b/>
                <w:color w:val="auto"/>
                <w:szCs w:val="24"/>
                <w:highlight w:val="none"/>
                <w:u w:val="none"/>
              </w:rPr>
              <w:t>2</w:t>
            </w:r>
            <w:r>
              <w:rPr>
                <w:rFonts w:ascii="宋体" w:hAnsi="宋体"/>
                <w:b/>
                <w:color w:val="auto"/>
                <w:szCs w:val="24"/>
                <w:highlight w:val="none"/>
                <w:u w:val="none"/>
              </w:rPr>
              <w:t>.</w:t>
            </w:r>
            <w:r>
              <w:rPr>
                <w:rFonts w:hint="eastAsia" w:ascii="宋体" w:hAnsi="宋体"/>
                <w:b/>
                <w:color w:val="auto"/>
                <w:szCs w:val="24"/>
                <w:highlight w:val="none"/>
                <w:u w:val="none"/>
              </w:rPr>
              <w:t>业绩</w:t>
            </w:r>
            <w:r>
              <w:rPr>
                <w:rFonts w:ascii="宋体" w:hAnsi="宋体"/>
                <w:b/>
                <w:color w:val="auto"/>
                <w:szCs w:val="24"/>
                <w:highlight w:val="none"/>
                <w:u w:val="none"/>
              </w:rPr>
              <w:t>比较基准</w:t>
            </w:r>
            <w:r>
              <w:rPr>
                <w:rFonts w:hint="eastAsia" w:ascii="宋体" w:hAnsi="宋体"/>
                <w:b/>
                <w:color w:val="auto"/>
                <w:szCs w:val="24"/>
                <w:highlight w:val="none"/>
                <w:u w:val="none"/>
              </w:rPr>
              <w:t>提示</w:t>
            </w:r>
          </w:p>
          <w:p w14:paraId="052DAB0B">
            <w:pPr>
              <w:widowControl/>
              <w:spacing w:line="400" w:lineRule="exact"/>
              <w:jc w:val="left"/>
              <w:textAlignment w:val="center"/>
              <w:rPr>
                <w:rFonts w:ascii="宋体" w:hAnsi="宋体"/>
                <w:b/>
                <w:color w:val="auto"/>
                <w:szCs w:val="24"/>
                <w:highlight w:val="none"/>
                <w:u w:val="none"/>
              </w:rPr>
            </w:pPr>
            <w:r>
              <w:rPr>
                <w:rFonts w:hint="eastAsia" w:ascii="宋体" w:hAnsi="宋体"/>
                <w:b/>
                <w:color w:val="auto"/>
                <w:szCs w:val="24"/>
                <w:highlight w:val="none"/>
                <w:u w:val="none"/>
              </w:rPr>
              <w:t>本理财产品为净值型产品，业绩表现将随市场波动，具有不确定性。业绩比较基准是管理人基于投资范围内各类资产的收益率水平、投资比例、市场情况等因素进行静态测算和情景分析所得出和设定的投资目标。</w:t>
            </w:r>
          </w:p>
          <w:p w14:paraId="4E2D0F0D">
            <w:pPr>
              <w:widowControl/>
              <w:snapToGrid/>
              <w:spacing w:line="400" w:lineRule="exact"/>
              <w:jc w:val="left"/>
              <w:textAlignment w:val="center"/>
              <w:rPr>
                <w:rFonts w:ascii="宋体" w:hAnsi="宋体"/>
                <w:b/>
                <w:bCs/>
                <w:color w:val="auto"/>
                <w:szCs w:val="24"/>
                <w:highlight w:val="none"/>
                <w:u w:val="none"/>
              </w:rPr>
            </w:pPr>
            <w:r>
              <w:rPr>
                <w:rFonts w:hint="eastAsia" w:asciiTheme="minorEastAsia" w:hAnsiTheme="minorEastAsia"/>
                <w:color w:val="auto"/>
                <w:kern w:val="0"/>
                <w:szCs w:val="24"/>
                <w:highlight w:val="none"/>
                <w:u w:val="none"/>
              </w:rPr>
              <w:t>本理财产品</w:t>
            </w:r>
            <w:r>
              <w:rPr>
                <w:rFonts w:hint="eastAsia" w:ascii="宋体" w:hAnsi="宋体"/>
                <w:b/>
                <w:color w:val="auto"/>
                <w:szCs w:val="24"/>
                <w:highlight w:val="none"/>
                <w:u w:val="none"/>
              </w:rPr>
              <w:t>投向债权类资产投资比例不低于80%，投向权益类资产、商品及金融衍生品类资产不高于20%</w:t>
            </w:r>
            <w:r>
              <w:rPr>
                <w:rFonts w:hint="eastAsia" w:ascii="宋体" w:hAnsi="宋体"/>
                <w:b/>
                <w:color w:val="auto"/>
                <w:szCs w:val="24"/>
                <w:highlight w:val="none"/>
                <w:u w:val="none"/>
                <w:lang w:eastAsia="zh-CN"/>
              </w:rPr>
              <w:t>。</w:t>
            </w:r>
            <w:r>
              <w:rPr>
                <w:rFonts w:hint="eastAsia" w:ascii="仿宋_GB2312" w:hAnsi="宋体" w:cs="宋体"/>
                <w:bCs/>
                <w:color w:val="auto"/>
                <w:kern w:val="0"/>
                <w:szCs w:val="24"/>
                <w:highlight w:val="none"/>
                <w:u w:val="none"/>
              </w:rPr>
              <w:t>本理财</w:t>
            </w:r>
            <w:r>
              <w:rPr>
                <w:rFonts w:ascii="仿宋_GB2312" w:hAnsi="宋体" w:cs="宋体"/>
                <w:bCs/>
                <w:color w:val="auto"/>
                <w:kern w:val="0"/>
                <w:szCs w:val="24"/>
                <w:highlight w:val="none"/>
                <w:u w:val="none"/>
              </w:rPr>
              <w:t>产品在投资</w:t>
            </w:r>
            <w:r>
              <w:rPr>
                <w:rFonts w:hint="eastAsia" w:ascii="仿宋_GB2312" w:hAnsi="宋体" w:cs="宋体"/>
                <w:bCs/>
                <w:color w:val="auto"/>
                <w:kern w:val="0"/>
                <w:szCs w:val="24"/>
                <w:highlight w:val="none"/>
                <w:u w:val="none"/>
              </w:rPr>
              <w:t>于</w:t>
            </w:r>
            <w:r>
              <w:rPr>
                <w:rFonts w:ascii="仿宋_GB2312" w:hAnsi="宋体" w:cs="宋体"/>
                <w:bCs/>
                <w:color w:val="auto"/>
                <w:kern w:val="0"/>
                <w:szCs w:val="24"/>
                <w:highlight w:val="none"/>
                <w:u w:val="none"/>
              </w:rPr>
              <w:t>商品及金融衍生品类资产之前，管理人应获得相应的业务经营范围或投资交易资格</w:t>
            </w:r>
            <w:r>
              <w:rPr>
                <w:rFonts w:hint="eastAsia" w:ascii="宋体" w:hAnsi="宋体"/>
                <w:b/>
                <w:bCs/>
                <w:color w:val="auto"/>
                <w:szCs w:val="24"/>
                <w:highlight w:val="none"/>
                <w:u w:val="none"/>
              </w:rPr>
              <w:t>，管理人根据拟投资资产种类、配置比例、运作策略等因素，结合宏观经济情况和市场趋势的预判分析，综合测算、确定本理财产品的业绩比较基准。</w:t>
            </w:r>
          </w:p>
          <w:p w14:paraId="4020C907">
            <w:pPr>
              <w:widowControl/>
              <w:snapToGrid/>
              <w:spacing w:line="400" w:lineRule="exact"/>
              <w:jc w:val="left"/>
              <w:textAlignment w:val="center"/>
              <w:rPr>
                <w:rFonts w:asciiTheme="minorEastAsia" w:hAnsiTheme="minorEastAsia" w:cstheme="minorEastAsia"/>
                <w:b/>
                <w:color w:val="auto"/>
                <w:highlight w:val="none"/>
                <w:u w:val="none"/>
              </w:rPr>
            </w:pPr>
            <w:r>
              <w:rPr>
                <w:rFonts w:hint="eastAsia" w:asciiTheme="minorEastAsia" w:hAnsiTheme="minorEastAsia" w:cstheme="minorEastAsia"/>
                <w:b/>
                <w:color w:val="auto"/>
                <w:highlight w:val="none"/>
                <w:u w:val="none"/>
              </w:rPr>
              <w:t>业绩比较基准不是预期收益率，不代表产品的未来表现和实际收益，仅作为业绩参考和</w:t>
            </w:r>
            <w:r>
              <w:rPr>
                <w:rFonts w:asciiTheme="minorEastAsia" w:hAnsiTheme="minorEastAsia" w:cstheme="minorEastAsia"/>
                <w:b/>
                <w:color w:val="auto"/>
                <w:highlight w:val="none"/>
                <w:u w:val="none"/>
              </w:rPr>
              <w:t>计算</w:t>
            </w:r>
            <w:r>
              <w:rPr>
                <w:rFonts w:hint="eastAsia" w:asciiTheme="minorEastAsia" w:hAnsiTheme="minorEastAsia" w:cstheme="minorEastAsia"/>
                <w:b/>
                <w:color w:val="auto"/>
                <w:highlight w:val="none"/>
                <w:u w:val="none"/>
                <w:lang w:eastAsia="zh-CN"/>
              </w:rPr>
              <w:t>浮动管理费</w:t>
            </w:r>
            <w:r>
              <w:rPr>
                <w:rFonts w:hint="eastAsia" w:asciiTheme="minorEastAsia" w:hAnsiTheme="minorEastAsia" w:cstheme="minorEastAsia"/>
                <w:b/>
                <w:color w:val="auto"/>
                <w:highlight w:val="none"/>
                <w:u w:val="none"/>
              </w:rPr>
              <w:t>（如有）的依据，不构成对该理财产品的任何收益承诺，投资者能获得的最终收益以实际支付为准。</w:t>
            </w:r>
          </w:p>
          <w:p w14:paraId="7E35F41E">
            <w:pPr>
              <w:widowControl/>
              <w:spacing w:line="400" w:lineRule="exact"/>
              <w:jc w:val="left"/>
              <w:textAlignment w:val="center"/>
              <w:rPr>
                <w:rFonts w:hint="eastAsia" w:ascii="仿宋_GB2312" w:hAnsi="等线" w:eastAsia="仿宋_GB2312" w:cs="仿宋_GB2312"/>
                <w:bCs/>
                <w:color w:val="000000" w:themeColor="text1"/>
                <w:sz w:val="24"/>
                <w:highlight w:val="none"/>
                <w14:textFill>
                  <w14:solidFill>
                    <w14:schemeClr w14:val="tx1"/>
                  </w14:solidFill>
                </w14:textFill>
              </w:rPr>
            </w:pPr>
            <w:r>
              <w:rPr>
                <w:rFonts w:hint="eastAsia" w:asciiTheme="minorEastAsia" w:hAnsiTheme="minorEastAsia" w:cstheme="minorEastAsia"/>
                <w:b/>
                <w:color w:val="auto"/>
                <w:highlight w:val="none"/>
                <w:u w:val="none"/>
              </w:rPr>
              <w:t>理财产品存续期内，管理人有权根据市场情况对业绩比较基准进行调整，该调整将通过本《产品说明书》之“信息披露”约定的方式进行信息披露，如未披露调整，以最新披露的业绩比较基准为准。</w:t>
            </w:r>
          </w:p>
        </w:tc>
      </w:tr>
      <w:tr w14:paraId="38E98AAE">
        <w:tblPrEx>
          <w:tblCellMar>
            <w:top w:w="0" w:type="dxa"/>
            <w:left w:w="108" w:type="dxa"/>
            <w:bottom w:w="0" w:type="dxa"/>
            <w:right w:w="108" w:type="dxa"/>
          </w:tblCellMar>
        </w:tblPrEx>
        <w:trPr>
          <w:trHeight w:val="270" w:hRule="atLeast"/>
        </w:trPr>
        <w:tc>
          <w:tcPr>
            <w:tcW w:w="9425" w:type="dxa"/>
            <w:gridSpan w:val="2"/>
            <w:tcBorders>
              <w:top w:val="single" w:color="auto" w:sz="4" w:space="0"/>
              <w:left w:val="single" w:color="auto" w:sz="4" w:space="0"/>
              <w:bottom w:val="single" w:color="auto" w:sz="4" w:space="0"/>
              <w:right w:val="single" w:color="auto" w:sz="4" w:space="0"/>
            </w:tcBorders>
            <w:vAlign w:val="center"/>
          </w:tcPr>
          <w:p w14:paraId="11F9D83E">
            <w:pPr>
              <w:widowControl/>
              <w:spacing w:line="400" w:lineRule="exact"/>
              <w:jc w:val="center"/>
              <w:textAlignment w:val="center"/>
              <w:rPr>
                <w:rFonts w:hint="eastAsia" w:ascii="楷体_GB2312" w:hAnsi="等线" w:eastAsia="楷体_GB2312" w:cs="楷体_GB2312"/>
                <w:bCs/>
                <w:color w:val="000000" w:themeColor="text1"/>
                <w:sz w:val="24"/>
                <w:highlight w:val="none"/>
                <w14:textFill>
                  <w14:solidFill>
                    <w14:schemeClr w14:val="tx1"/>
                  </w14:solidFill>
                </w14:textFill>
              </w:rPr>
            </w:pPr>
            <w:r>
              <w:rPr>
                <w:rFonts w:hint="eastAsia" w:ascii="楷体_GB2312" w:hAnsi="等线" w:eastAsia="楷体_GB2312" w:cs="楷体_GB2312"/>
                <w:b/>
                <w:color w:val="000000" w:themeColor="text1"/>
                <w:kern w:val="0"/>
                <w:sz w:val="24"/>
                <w:highlight w:val="none"/>
                <w:lang w:bidi="ar"/>
                <w14:textFill>
                  <w14:solidFill>
                    <w14:schemeClr w14:val="tx1"/>
                  </w14:solidFill>
                </w14:textFill>
              </w:rPr>
              <w:t>（七）投资范围与策略</w:t>
            </w:r>
          </w:p>
        </w:tc>
      </w:tr>
      <w:tr w14:paraId="273301A4">
        <w:tblPrEx>
          <w:tblCellMar>
            <w:top w:w="0" w:type="dxa"/>
            <w:left w:w="108" w:type="dxa"/>
            <w:bottom w:w="0" w:type="dxa"/>
            <w:right w:w="108" w:type="dxa"/>
          </w:tblCellMar>
        </w:tblPrEx>
        <w:trPr>
          <w:trHeight w:val="1420" w:hRule="atLeast"/>
        </w:trPr>
        <w:tc>
          <w:tcPr>
            <w:tcW w:w="2453" w:type="dxa"/>
            <w:tcBorders>
              <w:top w:val="single" w:color="auto" w:sz="4" w:space="0"/>
              <w:left w:val="single" w:color="auto" w:sz="4" w:space="0"/>
              <w:bottom w:val="single" w:color="auto" w:sz="4" w:space="0"/>
              <w:right w:val="single" w:color="auto" w:sz="4" w:space="0"/>
            </w:tcBorders>
            <w:vAlign w:val="center"/>
          </w:tcPr>
          <w:p w14:paraId="727A0BFA">
            <w:pPr>
              <w:widowControl/>
              <w:spacing w:line="56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投资范围</w:t>
            </w:r>
          </w:p>
        </w:tc>
        <w:tc>
          <w:tcPr>
            <w:tcW w:w="6972" w:type="dxa"/>
            <w:tcBorders>
              <w:top w:val="single" w:color="auto" w:sz="4" w:space="0"/>
              <w:left w:val="single" w:color="auto" w:sz="4" w:space="0"/>
              <w:bottom w:val="single" w:color="auto" w:sz="4" w:space="0"/>
              <w:right w:val="single" w:color="auto" w:sz="4" w:space="0"/>
            </w:tcBorders>
            <w:vAlign w:val="center"/>
          </w:tcPr>
          <w:p w14:paraId="138D9785">
            <w:pPr>
              <w:tabs>
                <w:tab w:val="left" w:pos="3119"/>
              </w:tabs>
              <w:autoSpaceDE w:val="0"/>
              <w:autoSpaceDN w:val="0"/>
              <w:spacing w:line="360" w:lineRule="auto"/>
              <w:ind w:right="36" w:rightChars="15" w:firstLine="480" w:firstLineChars="200"/>
              <w:rPr>
                <w:rFonts w:hint="eastAsia" w:ascii="仿宋_GB2312" w:hAnsi="宋体" w:cs="宋体"/>
                <w:bCs/>
                <w:color w:val="auto"/>
                <w:kern w:val="0"/>
                <w:szCs w:val="24"/>
                <w:highlight w:val="none"/>
                <w:u w:val="none"/>
                <w:lang w:val="en-US" w:eastAsia="zh-CN"/>
              </w:rPr>
            </w:pPr>
            <w:r>
              <w:rPr>
                <w:rFonts w:hint="eastAsia" w:ascii="仿宋_GB2312" w:hAnsi="宋体" w:cs="宋体"/>
                <w:bCs/>
                <w:color w:val="auto"/>
                <w:kern w:val="0"/>
                <w:szCs w:val="24"/>
                <w:highlight w:val="none"/>
                <w:u w:val="none"/>
                <w:lang w:val="en-US" w:eastAsia="zh-CN"/>
              </w:rPr>
              <w:t>本理财产品投资于境内外现金、银行存款、大额存单、同业存单、回购等货币市场工具及国债、地方政府债券、中央银行票据、政府支持机构债、金融债、非金融企业债务融资工具、公司债、企业债、可交换债券、可转换债券、资产支持票据、资产支持证券、次级债（包括二级资本债）、永续债、非标准化债权等债权类资产，优先股、上市公司股票、公募REITs、交易型开放式指数基金（ETF）、上市型开放式基金（LOF）等权益类资产，远期、国债期货、股指期货、商品期货、收益互换、利率互换、期权、债券借贷、结构性存款等商品和金融衍生品类资产，主要投向上述资产类别且符合监管机构要求的公募证券投资基金、信托计划、资产管理计划等资产管理产品以及国务院银行业监督管理机构认可的其他资产。</w:t>
            </w:r>
          </w:p>
          <w:p w14:paraId="1C9C9B04">
            <w:pPr>
              <w:tabs>
                <w:tab w:val="left" w:pos="3119"/>
              </w:tabs>
              <w:autoSpaceDE w:val="0"/>
              <w:autoSpaceDN w:val="0"/>
              <w:spacing w:line="360" w:lineRule="auto"/>
              <w:ind w:right="36" w:rightChars="15" w:firstLine="480" w:firstLineChars="200"/>
              <w:rPr>
                <w:rFonts w:hint="default" w:ascii="仿宋_GB2312" w:hAnsi="宋体" w:cs="宋体"/>
                <w:bCs/>
                <w:color w:val="auto"/>
                <w:kern w:val="0"/>
                <w:szCs w:val="24"/>
                <w:highlight w:val="none"/>
                <w:u w:val="none"/>
                <w:lang w:val="en-US" w:eastAsia="zh-CN"/>
              </w:rPr>
            </w:pPr>
            <w:r>
              <w:rPr>
                <w:rFonts w:hint="default" w:ascii="仿宋_GB2312" w:hAnsi="宋体" w:cs="宋体"/>
                <w:bCs/>
                <w:color w:val="auto"/>
                <w:kern w:val="0"/>
                <w:szCs w:val="24"/>
                <w:highlight w:val="none"/>
                <w:u w:val="none"/>
                <w:lang w:val="en-US" w:eastAsia="zh-CN"/>
              </w:rPr>
              <w:t>本理财产品在投资于境外资产之前，管理人应获得相应的业务经营范围或投资交易资格。</w:t>
            </w:r>
          </w:p>
          <w:p w14:paraId="26714C7C">
            <w:pPr>
              <w:tabs>
                <w:tab w:val="left" w:pos="3119"/>
              </w:tabs>
              <w:autoSpaceDE w:val="0"/>
              <w:autoSpaceDN w:val="0"/>
              <w:spacing w:line="360" w:lineRule="auto"/>
              <w:ind w:right="36" w:rightChars="15"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本理财</w:t>
            </w:r>
            <w:r>
              <w:rPr>
                <w:rFonts w:ascii="仿宋_GB2312" w:hAnsi="宋体" w:cs="宋体"/>
                <w:bCs/>
                <w:color w:val="auto"/>
                <w:kern w:val="0"/>
                <w:szCs w:val="24"/>
                <w:highlight w:val="none"/>
                <w:u w:val="none"/>
              </w:rPr>
              <w:t>产品在投资</w:t>
            </w:r>
            <w:r>
              <w:rPr>
                <w:rFonts w:hint="eastAsia" w:ascii="仿宋_GB2312" w:hAnsi="宋体" w:cs="宋体"/>
                <w:bCs/>
                <w:color w:val="auto"/>
                <w:kern w:val="0"/>
                <w:szCs w:val="24"/>
                <w:highlight w:val="none"/>
                <w:u w:val="none"/>
              </w:rPr>
              <w:t>于</w:t>
            </w:r>
            <w:r>
              <w:rPr>
                <w:rFonts w:ascii="仿宋_GB2312" w:hAnsi="宋体" w:cs="宋体"/>
                <w:bCs/>
                <w:color w:val="auto"/>
                <w:kern w:val="0"/>
                <w:szCs w:val="24"/>
                <w:highlight w:val="none"/>
                <w:u w:val="none"/>
              </w:rPr>
              <w:t>商品及金融衍生品类资产之前，管理人应获得相应的业务经营范围或投资交易资格。</w:t>
            </w:r>
          </w:p>
          <w:p w14:paraId="795319CA">
            <w:pPr>
              <w:tabs>
                <w:tab w:val="left" w:pos="3119"/>
              </w:tabs>
              <w:autoSpaceDE w:val="0"/>
              <w:autoSpaceDN w:val="0"/>
              <w:spacing w:line="360" w:lineRule="auto"/>
              <w:ind w:right="36" w:rightChars="15" w:firstLine="480" w:firstLineChars="200"/>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rPr>
              <w:t>本理财产品投资的资产范围须完全符合法律法规或监管规定，如因法律法规或监管规定的变更、修订或更新导致本理财产品投资某类资产受到限制或禁止的，该类资产将被视为从上述资产范围中自动剔除。</w:t>
            </w:r>
          </w:p>
        </w:tc>
      </w:tr>
      <w:tr w14:paraId="6E2B0927">
        <w:tblPrEx>
          <w:tblCellMar>
            <w:top w:w="0" w:type="dxa"/>
            <w:left w:w="108" w:type="dxa"/>
            <w:bottom w:w="0" w:type="dxa"/>
            <w:right w:w="108" w:type="dxa"/>
          </w:tblCellMar>
        </w:tblPrEx>
        <w:trPr>
          <w:trHeight w:val="780" w:hRule="atLeast"/>
        </w:trPr>
        <w:tc>
          <w:tcPr>
            <w:tcW w:w="2453" w:type="dxa"/>
            <w:tcBorders>
              <w:top w:val="single" w:color="auto" w:sz="4" w:space="0"/>
              <w:left w:val="single" w:color="auto" w:sz="4" w:space="0"/>
              <w:bottom w:val="single" w:color="auto" w:sz="4" w:space="0"/>
              <w:right w:val="single" w:color="auto" w:sz="4" w:space="0"/>
            </w:tcBorders>
            <w:vAlign w:val="center"/>
          </w:tcPr>
          <w:p w14:paraId="6AD2B669">
            <w:pPr>
              <w:widowControl/>
              <w:spacing w:line="56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投资策略</w:t>
            </w:r>
          </w:p>
        </w:tc>
        <w:tc>
          <w:tcPr>
            <w:tcW w:w="6972" w:type="dxa"/>
            <w:tcBorders>
              <w:top w:val="single" w:color="auto" w:sz="4" w:space="0"/>
              <w:left w:val="single" w:color="auto" w:sz="4" w:space="0"/>
              <w:bottom w:val="single" w:color="auto" w:sz="4" w:space="0"/>
              <w:right w:val="single" w:color="auto" w:sz="4" w:space="0"/>
            </w:tcBorders>
            <w:vAlign w:val="center"/>
          </w:tcPr>
          <w:p w14:paraId="6C4D19CA">
            <w:pPr>
              <w:tabs>
                <w:tab w:val="left" w:pos="3119"/>
              </w:tabs>
              <w:autoSpaceDE w:val="0"/>
              <w:autoSpaceDN w:val="0"/>
              <w:adjustRightInd w:val="0"/>
              <w:snapToGrid w:val="0"/>
              <w:spacing w:line="360" w:lineRule="auto"/>
              <w:ind w:right="36" w:rightChars="15" w:firstLine="480" w:firstLineChars="200"/>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本系列产品本着稳健投资的理念，通过对宏观经济的研究，在较低风险资产间进行合理配置，在有效控制信用风险的基础上尽可能提高投资组合收益。理财产品主要投资于各类银行存款、同业存单、回购等货币市场工具以及债券、非标准化债权等债权类资产，以及优先股等权益类资产，同时根据宏观经济、货币政策和信用环境等因素，制定多种投资策略。在投资组合构建和调整的过程中，根据投资品种的变化，如收益率、流动性状况变化或品种到期等，不定期的对组合进行优化调整。</w:t>
            </w:r>
          </w:p>
          <w:p w14:paraId="7DFD4C83">
            <w:pPr>
              <w:tabs>
                <w:tab w:val="left" w:pos="3119"/>
              </w:tabs>
              <w:autoSpaceDE w:val="0"/>
              <w:autoSpaceDN w:val="0"/>
              <w:adjustRightInd w:val="0"/>
              <w:snapToGrid w:val="0"/>
              <w:spacing w:line="360" w:lineRule="auto"/>
              <w:ind w:right="36" w:rightChars="15" w:firstLine="480" w:firstLineChars="200"/>
              <w:rPr>
                <w:rFonts w:hint="eastAsia" w:ascii="仿宋_GB2312" w:hAnsi="等线" w:eastAsia="仿宋_GB2312" w:cs="仿宋_GB2312"/>
                <w:bCs/>
                <w:color w:val="000000" w:themeColor="text1"/>
                <w:sz w:val="24"/>
                <w:highlight w:val="none"/>
                <w:lang w:val="en-US" w:eastAsia="zh-CN"/>
                <w14:textFill>
                  <w14:solidFill>
                    <w14:schemeClr w14:val="tx1"/>
                  </w14:solidFill>
                </w14:textFill>
              </w:rPr>
            </w:pPr>
            <w:r>
              <w:rPr>
                <w:rFonts w:hint="eastAsia" w:ascii="仿宋_GB2312" w:hAnsi="宋体" w:cs="宋体"/>
                <w:bCs/>
                <w:color w:val="auto"/>
                <w:kern w:val="0"/>
                <w:szCs w:val="24"/>
                <w:highlight w:val="none"/>
              </w:rPr>
              <w:t>本产品可在符合监管规定的前提下适当运用杠杆原理，通过回购操作，增强投资组合的收益水平,但本理财产品总资产不超过净资产的200%。</w:t>
            </w:r>
          </w:p>
        </w:tc>
      </w:tr>
      <w:tr w14:paraId="4F8C35FD">
        <w:tblPrEx>
          <w:tblCellMar>
            <w:top w:w="0" w:type="dxa"/>
            <w:left w:w="108" w:type="dxa"/>
            <w:bottom w:w="0" w:type="dxa"/>
            <w:right w:w="108" w:type="dxa"/>
          </w:tblCellMar>
        </w:tblPrEx>
        <w:trPr>
          <w:trHeight w:val="555" w:hRule="atLeast"/>
        </w:trPr>
        <w:tc>
          <w:tcPr>
            <w:tcW w:w="2453" w:type="dxa"/>
            <w:tcBorders>
              <w:top w:val="single" w:color="auto" w:sz="4" w:space="0"/>
              <w:left w:val="single" w:color="auto" w:sz="4" w:space="0"/>
              <w:bottom w:val="single" w:color="auto" w:sz="4" w:space="0"/>
              <w:right w:val="single" w:color="auto" w:sz="4" w:space="0"/>
            </w:tcBorders>
            <w:vAlign w:val="center"/>
          </w:tcPr>
          <w:p w14:paraId="040B016D">
            <w:pPr>
              <w:widowControl/>
              <w:spacing w:line="56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cs="仿宋_GB2312"/>
                <w:color w:val="000000" w:themeColor="text1"/>
                <w:kern w:val="0"/>
                <w:sz w:val="24"/>
                <w:highlight w:val="none"/>
                <w:lang w:eastAsia="zh-CN" w:bidi="ar"/>
                <w14:textFill>
                  <w14:solidFill>
                    <w14:schemeClr w14:val="tx1"/>
                  </w14:solidFill>
                </w14:textFill>
              </w:rPr>
              <w:t>债权类</w:t>
            </w:r>
            <w:r>
              <w:rPr>
                <w:rFonts w:hint="eastAsia" w:ascii="仿宋_GB2312" w:hAnsi="等线" w:eastAsia="仿宋_GB2312" w:cs="仿宋_GB2312"/>
                <w:color w:val="000000" w:themeColor="text1"/>
                <w:kern w:val="0"/>
                <w:sz w:val="24"/>
                <w:highlight w:val="none"/>
                <w:lang w:bidi="ar"/>
                <w14:textFill>
                  <w14:solidFill>
                    <w14:schemeClr w14:val="tx1"/>
                  </w14:solidFill>
                </w14:textFill>
              </w:rPr>
              <w:t>资产投资上限</w:t>
            </w:r>
          </w:p>
        </w:tc>
        <w:tc>
          <w:tcPr>
            <w:tcW w:w="6972" w:type="dxa"/>
            <w:tcBorders>
              <w:top w:val="single" w:color="auto" w:sz="4" w:space="0"/>
              <w:left w:val="single" w:color="auto" w:sz="4" w:space="0"/>
              <w:bottom w:val="single" w:color="auto" w:sz="4" w:space="0"/>
              <w:right w:val="single" w:color="auto" w:sz="4" w:space="0"/>
            </w:tcBorders>
            <w:vAlign w:val="center"/>
          </w:tcPr>
          <w:p w14:paraId="35426793">
            <w:pPr>
              <w:widowControl/>
              <w:spacing w:line="560" w:lineRule="exact"/>
              <w:jc w:val="left"/>
              <w:textAlignment w:val="center"/>
              <w:rPr>
                <w:rFonts w:hint="eastAsia" w:ascii="仿宋_GB2312" w:hAnsi="仿宋_GB2312" w:eastAsia="仿宋_GB2312" w:cs="仿宋_GB2312"/>
                <w:bCs/>
                <w:color w:val="000000" w:themeColor="text1"/>
                <w:sz w:val="24"/>
                <w:highlight w:val="none"/>
                <w:lang w:val="en-US"/>
                <w14:textFill>
                  <w14:solidFill>
                    <w14:schemeClr w14:val="tx1"/>
                  </w14:solidFill>
                </w14:textFill>
              </w:rPr>
            </w:pPr>
            <w:r>
              <w:rPr>
                <w:rFonts w:hint="eastAsia" w:ascii="仿宋_GB2312" w:hAnsi="仿宋_GB2312" w:eastAsia="仿宋_GB2312" w:cs="仿宋_GB2312"/>
                <w:bCs w:val="0"/>
                <w:color w:val="auto"/>
                <w:kern w:val="2"/>
                <w:sz w:val="24"/>
                <w:szCs w:val="24"/>
                <w:highlight w:val="none"/>
                <w:u w:val="none"/>
                <w:lang w:val="en-US" w:eastAsia="zh-CN" w:bidi="ar"/>
              </w:rPr>
              <w:t>100%</w:t>
            </w:r>
          </w:p>
        </w:tc>
      </w:tr>
      <w:tr w14:paraId="6B0C1C96">
        <w:tblPrEx>
          <w:tblCellMar>
            <w:top w:w="0" w:type="dxa"/>
            <w:left w:w="108" w:type="dxa"/>
            <w:bottom w:w="0" w:type="dxa"/>
            <w:right w:w="108" w:type="dxa"/>
          </w:tblCellMar>
        </w:tblPrEx>
        <w:trPr>
          <w:trHeight w:val="555" w:hRule="atLeast"/>
        </w:trPr>
        <w:tc>
          <w:tcPr>
            <w:tcW w:w="2453" w:type="dxa"/>
            <w:tcBorders>
              <w:top w:val="single" w:color="auto" w:sz="4" w:space="0"/>
              <w:left w:val="single" w:color="auto" w:sz="4" w:space="0"/>
              <w:bottom w:val="single" w:color="auto" w:sz="4" w:space="0"/>
              <w:right w:val="single" w:color="auto" w:sz="4" w:space="0"/>
            </w:tcBorders>
            <w:vAlign w:val="center"/>
          </w:tcPr>
          <w:p w14:paraId="50FFFE9B">
            <w:pPr>
              <w:widowControl/>
              <w:spacing w:line="56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cs="仿宋_GB2312"/>
                <w:color w:val="000000" w:themeColor="text1"/>
                <w:kern w:val="0"/>
                <w:sz w:val="24"/>
                <w:highlight w:val="none"/>
                <w:lang w:eastAsia="zh-CN" w:bidi="ar"/>
                <w14:textFill>
                  <w14:solidFill>
                    <w14:schemeClr w14:val="tx1"/>
                  </w14:solidFill>
                </w14:textFill>
              </w:rPr>
              <w:t>债权类</w:t>
            </w:r>
            <w:r>
              <w:rPr>
                <w:rFonts w:hint="eastAsia" w:ascii="仿宋_GB2312" w:hAnsi="等线" w:eastAsia="仿宋_GB2312" w:cs="仿宋_GB2312"/>
                <w:color w:val="000000" w:themeColor="text1"/>
                <w:kern w:val="0"/>
                <w:sz w:val="24"/>
                <w:highlight w:val="none"/>
                <w:lang w:bidi="ar"/>
                <w14:textFill>
                  <w14:solidFill>
                    <w14:schemeClr w14:val="tx1"/>
                  </w14:solidFill>
                </w14:textFill>
              </w:rPr>
              <w:t>资产投资下限</w:t>
            </w:r>
          </w:p>
        </w:tc>
        <w:tc>
          <w:tcPr>
            <w:tcW w:w="6972" w:type="dxa"/>
            <w:tcBorders>
              <w:top w:val="single" w:color="auto" w:sz="4" w:space="0"/>
              <w:left w:val="single" w:color="auto" w:sz="4" w:space="0"/>
              <w:bottom w:val="single" w:color="auto" w:sz="4" w:space="0"/>
              <w:right w:val="single" w:color="auto" w:sz="4" w:space="0"/>
            </w:tcBorders>
            <w:vAlign w:val="center"/>
          </w:tcPr>
          <w:p w14:paraId="07D75608">
            <w:pPr>
              <w:widowControl/>
              <w:spacing w:line="560" w:lineRule="exact"/>
              <w:jc w:val="left"/>
              <w:textAlignment w:val="center"/>
              <w:rPr>
                <w:rFonts w:hint="eastAsia" w:ascii="仿宋_GB2312" w:hAnsi="仿宋_GB2312" w:eastAsia="仿宋_GB2312" w:cs="仿宋_GB2312"/>
                <w:bCs/>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bCs/>
                <w:color w:val="000000" w:themeColor="text1"/>
                <w:sz w:val="24"/>
                <w:highlight w:val="none"/>
                <w:lang w:val="en-US" w:eastAsia="zh-CN"/>
                <w14:textFill>
                  <w14:solidFill>
                    <w14:schemeClr w14:val="tx1"/>
                  </w14:solidFill>
                </w14:textFill>
              </w:rPr>
              <w:t>80%</w:t>
            </w:r>
          </w:p>
        </w:tc>
      </w:tr>
      <w:tr w14:paraId="27A1AC2B">
        <w:tblPrEx>
          <w:tblCellMar>
            <w:top w:w="0" w:type="dxa"/>
            <w:left w:w="108" w:type="dxa"/>
            <w:bottom w:w="0" w:type="dxa"/>
            <w:right w:w="108" w:type="dxa"/>
          </w:tblCellMar>
        </w:tblPrEx>
        <w:trPr>
          <w:trHeight w:val="555" w:hRule="atLeast"/>
        </w:trPr>
        <w:tc>
          <w:tcPr>
            <w:tcW w:w="2453" w:type="dxa"/>
            <w:tcBorders>
              <w:top w:val="single" w:color="auto" w:sz="4" w:space="0"/>
              <w:left w:val="single" w:color="auto" w:sz="4" w:space="0"/>
              <w:bottom w:val="single" w:color="auto" w:sz="4" w:space="0"/>
              <w:right w:val="single" w:color="auto" w:sz="4" w:space="0"/>
            </w:tcBorders>
            <w:vAlign w:val="center"/>
          </w:tcPr>
          <w:p w14:paraId="4AB1A2B9">
            <w:pPr>
              <w:widowControl/>
              <w:spacing w:line="56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权益类资产投资上限</w:t>
            </w:r>
          </w:p>
        </w:tc>
        <w:tc>
          <w:tcPr>
            <w:tcW w:w="6972" w:type="dxa"/>
            <w:tcBorders>
              <w:top w:val="single" w:color="auto" w:sz="4" w:space="0"/>
              <w:left w:val="single" w:color="auto" w:sz="4" w:space="0"/>
              <w:bottom w:val="single" w:color="auto" w:sz="4" w:space="0"/>
              <w:right w:val="single" w:color="auto" w:sz="4" w:space="0"/>
            </w:tcBorders>
            <w:vAlign w:val="center"/>
          </w:tcPr>
          <w:p w14:paraId="1BBC7358">
            <w:pPr>
              <w:widowControl/>
              <w:spacing w:line="560" w:lineRule="exact"/>
              <w:jc w:val="left"/>
              <w:textAlignment w:val="center"/>
              <w:rPr>
                <w:rFonts w:hint="eastAsia" w:ascii="仿宋_GB2312" w:hAnsi="仿宋_GB2312" w:eastAsia="仿宋_GB2312" w:cs="仿宋_GB2312"/>
                <w:bCs/>
                <w:color w:val="000000" w:themeColor="text1"/>
                <w:sz w:val="24"/>
                <w:highlight w:val="none"/>
                <w:lang w:val="en-US"/>
                <w14:textFill>
                  <w14:solidFill>
                    <w14:schemeClr w14:val="tx1"/>
                  </w14:solidFill>
                </w14:textFill>
              </w:rPr>
            </w:pPr>
            <w:r>
              <w:rPr>
                <w:rFonts w:hint="eastAsia" w:ascii="仿宋_GB2312" w:hAnsi="仿宋_GB2312" w:eastAsia="仿宋_GB2312" w:cs="仿宋_GB2312"/>
                <w:bCs w:val="0"/>
                <w:color w:val="auto"/>
                <w:kern w:val="2"/>
                <w:sz w:val="24"/>
                <w:szCs w:val="24"/>
                <w:highlight w:val="none"/>
                <w:u w:val="none"/>
                <w:lang w:val="en-US" w:eastAsia="zh-CN" w:bidi="ar"/>
              </w:rPr>
              <w:t>20%</w:t>
            </w:r>
          </w:p>
        </w:tc>
      </w:tr>
      <w:tr w14:paraId="094FD47F">
        <w:tblPrEx>
          <w:tblCellMar>
            <w:top w:w="0" w:type="dxa"/>
            <w:left w:w="108" w:type="dxa"/>
            <w:bottom w:w="0" w:type="dxa"/>
            <w:right w:w="108" w:type="dxa"/>
          </w:tblCellMar>
        </w:tblPrEx>
        <w:trPr>
          <w:trHeight w:val="555" w:hRule="atLeast"/>
        </w:trPr>
        <w:tc>
          <w:tcPr>
            <w:tcW w:w="2453" w:type="dxa"/>
            <w:tcBorders>
              <w:top w:val="single" w:color="auto" w:sz="4" w:space="0"/>
              <w:left w:val="single" w:color="auto" w:sz="4" w:space="0"/>
              <w:bottom w:val="single" w:color="auto" w:sz="4" w:space="0"/>
              <w:right w:val="single" w:color="auto" w:sz="4" w:space="0"/>
            </w:tcBorders>
            <w:vAlign w:val="center"/>
          </w:tcPr>
          <w:p w14:paraId="0056C61E">
            <w:pPr>
              <w:widowControl/>
              <w:spacing w:line="56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权益类资产投资下限</w:t>
            </w:r>
          </w:p>
        </w:tc>
        <w:tc>
          <w:tcPr>
            <w:tcW w:w="6972" w:type="dxa"/>
            <w:tcBorders>
              <w:top w:val="single" w:color="auto" w:sz="4" w:space="0"/>
              <w:left w:val="single" w:color="auto" w:sz="4" w:space="0"/>
              <w:bottom w:val="single" w:color="auto" w:sz="4" w:space="0"/>
              <w:right w:val="single" w:color="auto" w:sz="4" w:space="0"/>
            </w:tcBorders>
            <w:vAlign w:val="center"/>
          </w:tcPr>
          <w:p w14:paraId="1BFB0DDF">
            <w:pPr>
              <w:widowControl/>
              <w:spacing w:line="560" w:lineRule="exact"/>
              <w:jc w:val="left"/>
              <w:textAlignment w:val="center"/>
              <w:rPr>
                <w:rFonts w:hint="eastAsia" w:ascii="仿宋_GB2312" w:hAnsi="仿宋_GB2312" w:eastAsia="仿宋_GB2312" w:cs="仿宋_GB2312"/>
                <w:bCs/>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bCs/>
                <w:color w:val="000000" w:themeColor="text1"/>
                <w:sz w:val="24"/>
                <w:highlight w:val="none"/>
                <w:lang w:val="en-US" w:eastAsia="zh-CN"/>
                <w14:textFill>
                  <w14:solidFill>
                    <w14:schemeClr w14:val="tx1"/>
                  </w14:solidFill>
                </w14:textFill>
              </w:rPr>
              <w:t>0%</w:t>
            </w:r>
          </w:p>
        </w:tc>
      </w:tr>
      <w:tr w14:paraId="0DFFFBF1">
        <w:tblPrEx>
          <w:tblCellMar>
            <w:top w:w="0" w:type="dxa"/>
            <w:left w:w="108" w:type="dxa"/>
            <w:bottom w:w="0" w:type="dxa"/>
            <w:right w:w="108" w:type="dxa"/>
          </w:tblCellMar>
        </w:tblPrEx>
        <w:trPr>
          <w:trHeight w:val="555" w:hRule="atLeast"/>
        </w:trPr>
        <w:tc>
          <w:tcPr>
            <w:tcW w:w="2453" w:type="dxa"/>
            <w:tcBorders>
              <w:top w:val="single" w:color="auto" w:sz="4" w:space="0"/>
              <w:left w:val="single" w:color="auto" w:sz="4" w:space="0"/>
              <w:bottom w:val="single" w:color="auto" w:sz="4" w:space="0"/>
              <w:right w:val="single" w:color="auto" w:sz="4" w:space="0"/>
            </w:tcBorders>
            <w:vAlign w:val="center"/>
          </w:tcPr>
          <w:p w14:paraId="5697BBA4">
            <w:pPr>
              <w:widowControl/>
              <w:spacing w:line="56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商品及金融衍生品类资产投资上限</w:t>
            </w:r>
          </w:p>
        </w:tc>
        <w:tc>
          <w:tcPr>
            <w:tcW w:w="6972" w:type="dxa"/>
            <w:tcBorders>
              <w:top w:val="single" w:color="auto" w:sz="4" w:space="0"/>
              <w:left w:val="single" w:color="auto" w:sz="4" w:space="0"/>
              <w:bottom w:val="single" w:color="auto" w:sz="4" w:space="0"/>
              <w:right w:val="single" w:color="auto" w:sz="4" w:space="0"/>
            </w:tcBorders>
            <w:vAlign w:val="center"/>
          </w:tcPr>
          <w:p w14:paraId="16066290">
            <w:pPr>
              <w:widowControl/>
              <w:spacing w:line="560" w:lineRule="exact"/>
              <w:jc w:val="left"/>
              <w:textAlignment w:val="center"/>
              <w:rPr>
                <w:rFonts w:hint="eastAsia" w:ascii="仿宋_GB2312" w:hAnsi="仿宋_GB2312" w:eastAsia="仿宋_GB2312" w:cs="仿宋_GB2312"/>
                <w:bCs/>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bCs/>
                <w:color w:val="000000" w:themeColor="text1"/>
                <w:sz w:val="24"/>
                <w:highlight w:val="none"/>
                <w:lang w:val="en-US" w:eastAsia="zh-CN"/>
                <w14:textFill>
                  <w14:solidFill>
                    <w14:schemeClr w14:val="tx1"/>
                  </w14:solidFill>
                </w14:textFill>
              </w:rPr>
              <w:t>20%</w:t>
            </w:r>
          </w:p>
        </w:tc>
      </w:tr>
      <w:tr w14:paraId="1519CB50">
        <w:tblPrEx>
          <w:tblCellMar>
            <w:top w:w="0" w:type="dxa"/>
            <w:left w:w="108" w:type="dxa"/>
            <w:bottom w:w="0" w:type="dxa"/>
            <w:right w:w="108" w:type="dxa"/>
          </w:tblCellMar>
        </w:tblPrEx>
        <w:trPr>
          <w:trHeight w:val="555" w:hRule="atLeast"/>
        </w:trPr>
        <w:tc>
          <w:tcPr>
            <w:tcW w:w="2453" w:type="dxa"/>
            <w:tcBorders>
              <w:top w:val="single" w:color="auto" w:sz="4" w:space="0"/>
              <w:left w:val="single" w:color="auto" w:sz="4" w:space="0"/>
              <w:bottom w:val="single" w:color="auto" w:sz="4" w:space="0"/>
              <w:right w:val="single" w:color="auto" w:sz="4" w:space="0"/>
            </w:tcBorders>
            <w:vAlign w:val="center"/>
          </w:tcPr>
          <w:p w14:paraId="307106EC">
            <w:pPr>
              <w:widowControl/>
              <w:spacing w:line="56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商品及金融衍生品类资产投资下限</w:t>
            </w:r>
          </w:p>
        </w:tc>
        <w:tc>
          <w:tcPr>
            <w:tcW w:w="6972" w:type="dxa"/>
            <w:tcBorders>
              <w:top w:val="single" w:color="auto" w:sz="4" w:space="0"/>
              <w:left w:val="single" w:color="auto" w:sz="4" w:space="0"/>
              <w:bottom w:val="single" w:color="auto" w:sz="4" w:space="0"/>
              <w:right w:val="single" w:color="auto" w:sz="4" w:space="0"/>
            </w:tcBorders>
            <w:vAlign w:val="center"/>
          </w:tcPr>
          <w:p w14:paraId="7B235250">
            <w:pPr>
              <w:widowControl/>
              <w:spacing w:line="560" w:lineRule="exact"/>
              <w:jc w:val="left"/>
              <w:textAlignment w:val="center"/>
              <w:rPr>
                <w:rFonts w:hint="eastAsia" w:ascii="仿宋_GB2312" w:hAnsi="仿宋_GB2312" w:eastAsia="仿宋_GB2312" w:cs="仿宋_GB2312"/>
                <w:bCs/>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bCs/>
                <w:color w:val="000000" w:themeColor="text1"/>
                <w:sz w:val="24"/>
                <w:highlight w:val="none"/>
                <w:lang w:val="en-US" w:eastAsia="zh-CN"/>
                <w14:textFill>
                  <w14:solidFill>
                    <w14:schemeClr w14:val="tx1"/>
                  </w14:solidFill>
                </w14:textFill>
              </w:rPr>
              <w:t>0%</w:t>
            </w:r>
          </w:p>
        </w:tc>
      </w:tr>
      <w:tr w14:paraId="31C86B3B">
        <w:tblPrEx>
          <w:tblCellMar>
            <w:top w:w="0" w:type="dxa"/>
            <w:left w:w="108" w:type="dxa"/>
            <w:bottom w:w="0" w:type="dxa"/>
            <w:right w:w="108" w:type="dxa"/>
          </w:tblCellMar>
        </w:tblPrEx>
        <w:trPr>
          <w:trHeight w:val="270" w:hRule="atLeast"/>
        </w:trPr>
        <w:tc>
          <w:tcPr>
            <w:tcW w:w="9425" w:type="dxa"/>
            <w:gridSpan w:val="2"/>
            <w:tcBorders>
              <w:top w:val="single" w:color="auto" w:sz="4" w:space="0"/>
              <w:left w:val="single" w:color="auto" w:sz="4" w:space="0"/>
              <w:bottom w:val="single" w:color="auto" w:sz="4" w:space="0"/>
              <w:right w:val="single" w:color="auto" w:sz="4" w:space="0"/>
            </w:tcBorders>
            <w:vAlign w:val="center"/>
          </w:tcPr>
          <w:p w14:paraId="19998678">
            <w:pPr>
              <w:widowControl/>
              <w:spacing w:line="560" w:lineRule="exact"/>
              <w:jc w:val="center"/>
              <w:textAlignment w:val="center"/>
              <w:rPr>
                <w:rFonts w:hint="eastAsia" w:ascii="楷体_GB2312" w:hAnsi="等线" w:eastAsia="楷体_GB2312" w:cs="楷体_GB2312"/>
                <w:bCs/>
                <w:color w:val="000000" w:themeColor="text1"/>
                <w:sz w:val="24"/>
                <w:highlight w:val="none"/>
                <w14:textFill>
                  <w14:solidFill>
                    <w14:schemeClr w14:val="tx1"/>
                  </w14:solidFill>
                </w14:textFill>
              </w:rPr>
            </w:pPr>
            <w:r>
              <w:rPr>
                <w:rFonts w:hint="eastAsia" w:ascii="楷体_GB2312" w:hAnsi="等线" w:eastAsia="楷体_GB2312" w:cs="楷体_GB2312"/>
                <w:b/>
                <w:color w:val="000000" w:themeColor="text1"/>
                <w:kern w:val="0"/>
                <w:sz w:val="24"/>
                <w:highlight w:val="none"/>
                <w:lang w:bidi="ar"/>
                <w14:textFill>
                  <w14:solidFill>
                    <w14:schemeClr w14:val="tx1"/>
                  </w14:solidFill>
                </w14:textFill>
              </w:rPr>
              <w:t>（八）其他约定</w:t>
            </w:r>
          </w:p>
        </w:tc>
      </w:tr>
      <w:tr w14:paraId="57E9EFF0">
        <w:tblPrEx>
          <w:tblCellMar>
            <w:top w:w="0" w:type="dxa"/>
            <w:left w:w="108" w:type="dxa"/>
            <w:bottom w:w="0" w:type="dxa"/>
            <w:right w:w="108" w:type="dxa"/>
          </w:tblCellMar>
        </w:tblPrEx>
        <w:trPr>
          <w:trHeight w:val="1010" w:hRule="atLeast"/>
        </w:trPr>
        <w:tc>
          <w:tcPr>
            <w:tcW w:w="2453" w:type="dxa"/>
            <w:tcBorders>
              <w:top w:val="single" w:color="auto" w:sz="4" w:space="0"/>
              <w:left w:val="single" w:color="auto" w:sz="4" w:space="0"/>
              <w:bottom w:val="single" w:color="auto" w:sz="4" w:space="0"/>
              <w:right w:val="single" w:color="auto" w:sz="4" w:space="0"/>
            </w:tcBorders>
            <w:vAlign w:val="center"/>
          </w:tcPr>
          <w:p w14:paraId="00408DCE">
            <w:pPr>
              <w:snapToGrid w:val="0"/>
              <w:ind w:left="-163" w:leftChars="-74" w:hanging="15" w:firstLineChars="0"/>
              <w:jc w:val="center"/>
              <w:rPr>
                <w:rFonts w:hint="eastAsia" w:ascii="仿宋_GB2312" w:hAnsi="等线" w:eastAsia="仿宋_GB2312" w:cs="仿宋_GB2312"/>
                <w:color w:val="000000" w:themeColor="text1"/>
                <w:kern w:val="0"/>
                <w:sz w:val="24"/>
                <w:highlight w:val="none"/>
                <w:lang w:bidi="ar"/>
                <w14:textFill>
                  <w14:solidFill>
                    <w14:schemeClr w14:val="tx1"/>
                  </w14:solidFill>
                </w14:textFill>
              </w:rPr>
            </w:pPr>
            <w:r>
              <w:rPr>
                <w:rFonts w:hint="eastAsia" w:ascii="宋体" w:hAnsi="宋体"/>
                <w:color w:val="auto"/>
                <w:kern w:val="0"/>
                <w:szCs w:val="24"/>
                <w:highlight w:val="none"/>
                <w:u w:val="none"/>
              </w:rPr>
              <w:t>信息披露</w:t>
            </w:r>
          </w:p>
        </w:tc>
        <w:tc>
          <w:tcPr>
            <w:tcW w:w="6972" w:type="dxa"/>
            <w:tcBorders>
              <w:top w:val="single" w:color="auto" w:sz="4" w:space="0"/>
              <w:left w:val="single" w:color="auto" w:sz="4" w:space="0"/>
              <w:bottom w:val="single" w:color="auto" w:sz="4" w:space="0"/>
              <w:right w:val="single" w:color="auto" w:sz="4" w:space="0"/>
            </w:tcBorders>
            <w:vAlign w:val="center"/>
          </w:tcPr>
          <w:p w14:paraId="0BA7918F">
            <w:pPr>
              <w:snapToGrid w:val="0"/>
              <w:rPr>
                <w:rFonts w:hint="eastAsia" w:ascii="宋体" w:hAnsi="宋体"/>
                <w:b/>
                <w:color w:val="auto"/>
                <w:szCs w:val="24"/>
                <w:highlight w:val="none"/>
              </w:rPr>
            </w:pPr>
            <w:r>
              <w:rPr>
                <w:rFonts w:hint="eastAsia" w:ascii="宋体" w:hAnsi="宋体"/>
                <w:b/>
                <w:color w:val="auto"/>
                <w:szCs w:val="24"/>
                <w:highlight w:val="none"/>
              </w:rPr>
              <w:t>本产品成立后，管理人将通过《产品说明书》之“信息披露”约定的方式进行信息披露。 详细内容见本《产品说明书》之“信息披露”。</w:t>
            </w:r>
          </w:p>
          <w:p w14:paraId="2A5D4C56">
            <w:pPr>
              <w:snapToGrid w:val="0"/>
              <w:rPr>
                <w:rFonts w:hint="eastAsia" w:ascii="宋体" w:hAnsi="宋体"/>
                <w:b/>
                <w:bCs/>
                <w:iCs/>
                <w:color w:val="auto"/>
                <w:szCs w:val="24"/>
                <w:highlight w:val="none"/>
                <w:u w:val="none"/>
              </w:rPr>
            </w:pPr>
            <w:r>
              <w:rPr>
                <w:rFonts w:hint="eastAsia" w:asciiTheme="minorEastAsia" w:hAnsiTheme="minorEastAsia"/>
                <w:color w:val="auto"/>
                <w:szCs w:val="24"/>
                <w:highlight w:val="none"/>
                <w:u w:val="none"/>
              </w:rPr>
              <w:t>本产品成立、运行、到期、净值等信息将通过</w:t>
            </w:r>
            <w:r>
              <w:rPr>
                <w:rFonts w:hint="eastAsia" w:asciiTheme="minorEastAsia" w:hAnsiTheme="minorEastAsia"/>
                <w:color w:val="auto"/>
                <w:szCs w:val="24"/>
                <w:highlight w:val="none"/>
                <w:u w:val="none"/>
                <w:lang w:eastAsia="zh-CN"/>
              </w:rPr>
              <w:t>产品</w:t>
            </w:r>
            <w:r>
              <w:rPr>
                <w:rFonts w:hint="eastAsia" w:asciiTheme="minorEastAsia" w:hAnsiTheme="minorEastAsia"/>
                <w:color w:val="auto"/>
                <w:szCs w:val="24"/>
                <w:highlight w:val="none"/>
                <w:u w:val="none"/>
              </w:rPr>
              <w:t>管理人</w:t>
            </w:r>
            <w:r>
              <w:rPr>
                <w:rFonts w:asciiTheme="minorEastAsia" w:hAnsiTheme="minorEastAsia"/>
                <w:color w:val="auto"/>
                <w:szCs w:val="24"/>
                <w:highlight w:val="none"/>
                <w:u w:val="none"/>
              </w:rPr>
              <w:t>官方网站</w:t>
            </w:r>
            <w:r>
              <w:rPr>
                <w:rFonts w:hint="eastAsia" w:ascii="仿宋_GB2312" w:hAnsi="宋体" w:cs="宋体"/>
                <w:color w:val="auto"/>
                <w:kern w:val="0"/>
                <w:szCs w:val="24"/>
                <w:highlight w:val="none"/>
                <w:u w:val="none"/>
              </w:rPr>
              <w:t>【</w:t>
            </w:r>
            <w:r>
              <w:rPr>
                <w:rFonts w:ascii="仿宋_GB2312" w:hAnsi="宋体" w:cs="宋体"/>
                <w:color w:val="auto"/>
                <w:kern w:val="0"/>
                <w:szCs w:val="24"/>
                <w:highlight w:val="none"/>
                <w:u w:val="none"/>
              </w:rPr>
              <w:t>www.czbank-wm.com</w:t>
            </w:r>
            <w:r>
              <w:rPr>
                <w:rFonts w:hint="eastAsia" w:ascii="仿宋_GB2312" w:hAnsi="宋体" w:cs="宋体"/>
                <w:color w:val="auto"/>
                <w:kern w:val="0"/>
                <w:szCs w:val="24"/>
                <w:highlight w:val="none"/>
                <w:u w:val="none"/>
              </w:rPr>
              <w:t>】、销售机构官方网站、个人手机银行或其他约定的方式等</w:t>
            </w:r>
            <w:r>
              <w:rPr>
                <w:rFonts w:hint="eastAsia" w:cs="宋体" w:asciiTheme="minorEastAsia" w:hAnsiTheme="minorEastAsia"/>
                <w:color w:val="auto"/>
                <w:kern w:val="0"/>
                <w:szCs w:val="24"/>
                <w:highlight w:val="none"/>
                <w:u w:val="none"/>
              </w:rPr>
              <w:t>一种或多种渠道进行信息披露，</w:t>
            </w:r>
            <w:r>
              <w:rPr>
                <w:rFonts w:hint="eastAsia" w:asciiTheme="minorEastAsia" w:hAnsiTheme="minorEastAsia"/>
                <w:color w:val="auto"/>
                <w:szCs w:val="24"/>
                <w:highlight w:val="none"/>
                <w:u w:val="none"/>
              </w:rPr>
              <w:t>请投资者持续关注并及时查看。</w:t>
            </w:r>
          </w:p>
        </w:tc>
      </w:tr>
      <w:tr w14:paraId="54FA536C">
        <w:tblPrEx>
          <w:tblCellMar>
            <w:top w:w="0" w:type="dxa"/>
            <w:left w:w="108" w:type="dxa"/>
            <w:bottom w:w="0" w:type="dxa"/>
            <w:right w:w="108" w:type="dxa"/>
          </w:tblCellMar>
        </w:tblPrEx>
        <w:trPr>
          <w:trHeight w:val="1010" w:hRule="atLeast"/>
        </w:trPr>
        <w:tc>
          <w:tcPr>
            <w:tcW w:w="2453" w:type="dxa"/>
            <w:tcBorders>
              <w:top w:val="single" w:color="auto" w:sz="4" w:space="0"/>
              <w:left w:val="single" w:color="auto" w:sz="4" w:space="0"/>
              <w:bottom w:val="single" w:color="auto" w:sz="4" w:space="0"/>
              <w:right w:val="single" w:color="auto" w:sz="4" w:space="0"/>
            </w:tcBorders>
            <w:vAlign w:val="center"/>
          </w:tcPr>
          <w:p w14:paraId="70C694C4">
            <w:pPr>
              <w:widowControl/>
              <w:spacing w:line="56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其他约定</w:t>
            </w:r>
          </w:p>
        </w:tc>
        <w:tc>
          <w:tcPr>
            <w:tcW w:w="6972" w:type="dxa"/>
            <w:tcBorders>
              <w:top w:val="single" w:color="auto" w:sz="4" w:space="0"/>
              <w:left w:val="single" w:color="auto" w:sz="4" w:space="0"/>
              <w:bottom w:val="single" w:color="auto" w:sz="4" w:space="0"/>
              <w:right w:val="single" w:color="auto" w:sz="4" w:space="0"/>
            </w:tcBorders>
            <w:vAlign w:val="center"/>
          </w:tcPr>
          <w:p w14:paraId="1157A8DA">
            <w:pPr>
              <w:snapToGrid w:val="0"/>
              <w:jc w:val="left"/>
              <w:rPr>
                <w:rFonts w:ascii="宋体" w:hAnsi="宋体"/>
                <w:b/>
                <w:bCs/>
                <w:iCs/>
                <w:color w:val="auto"/>
                <w:szCs w:val="24"/>
                <w:highlight w:val="none"/>
                <w:u w:val="none"/>
              </w:rPr>
            </w:pPr>
            <w:r>
              <w:rPr>
                <w:rFonts w:ascii="宋体" w:hAnsi="宋体"/>
                <w:b/>
                <w:bCs/>
                <w:iCs/>
                <w:color w:val="auto"/>
                <w:szCs w:val="24"/>
                <w:highlight w:val="none"/>
                <w:u w:val="none"/>
              </w:rPr>
              <w:t>1.</w:t>
            </w:r>
            <w:r>
              <w:rPr>
                <w:rFonts w:hint="eastAsia" w:ascii="宋体" w:hAnsi="宋体"/>
                <w:b/>
                <w:bCs/>
                <w:iCs/>
                <w:color w:val="auto"/>
                <w:szCs w:val="24"/>
                <w:highlight w:val="none"/>
                <w:u w:val="none"/>
              </w:rPr>
              <w:t>募集期内认购资金是否计息以销售机构为准，但利息不计入认购本金份额。</w:t>
            </w:r>
          </w:p>
          <w:p w14:paraId="04D05417">
            <w:pPr>
              <w:widowControl/>
              <w:snapToGrid w:val="0"/>
              <w:spacing w:line="240" w:lineRule="auto"/>
              <w:jc w:val="left"/>
              <w:textAlignment w:val="auto"/>
              <w:rPr>
                <w:rFonts w:hint="eastAsia" w:ascii="宋体" w:hAnsi="宋体"/>
                <w:b/>
                <w:bCs/>
                <w:iCs/>
                <w:color w:val="auto"/>
                <w:szCs w:val="24"/>
                <w:highlight w:val="none"/>
                <w:u w:val="none"/>
              </w:rPr>
            </w:pPr>
            <w:r>
              <w:rPr>
                <w:rFonts w:hint="eastAsia" w:ascii="宋体" w:hAnsi="宋体"/>
                <w:b/>
                <w:bCs/>
                <w:iCs/>
                <w:color w:val="auto"/>
                <w:szCs w:val="24"/>
                <w:highlight w:val="none"/>
                <w:u w:val="none"/>
              </w:rPr>
              <w:t>2.本产品到期日（或提前/延期终止日）至资金到账日期间，投资者理财资金如因清算安排实际产生利息的，相关利息归投资者所有。</w:t>
            </w:r>
          </w:p>
          <w:p w14:paraId="46832DD0">
            <w:pPr>
              <w:widowControl/>
              <w:snapToGrid w:val="0"/>
              <w:spacing w:line="240" w:lineRule="auto"/>
              <w:jc w:val="left"/>
              <w:textAlignment w:val="auto"/>
              <w:rPr>
                <w:rFonts w:hint="eastAsia" w:ascii="仿宋_GB2312" w:hAnsi="等线" w:eastAsia="仿宋_GB2312" w:cs="仿宋_GB2312"/>
                <w:bCs/>
                <w:color w:val="000000" w:themeColor="text1"/>
                <w:sz w:val="24"/>
                <w:highlight w:val="none"/>
                <w14:textFill>
                  <w14:solidFill>
                    <w14:schemeClr w14:val="tx1"/>
                  </w14:solidFill>
                </w14:textFill>
              </w:rPr>
            </w:pPr>
            <w:r>
              <w:rPr>
                <w:rFonts w:hint="eastAsia" w:ascii="宋体" w:hAnsi="宋体"/>
                <w:b/>
                <w:bCs/>
                <w:iCs/>
                <w:color w:val="auto"/>
                <w:szCs w:val="24"/>
                <w:highlight w:val="none"/>
                <w:u w:val="none"/>
              </w:rPr>
              <w:t>3.理财产品份额转让</w:t>
            </w:r>
            <w:r>
              <w:rPr>
                <w:rFonts w:ascii="宋体" w:hAnsi="宋体"/>
                <w:b/>
                <w:bCs/>
                <w:iCs/>
                <w:color w:val="auto"/>
                <w:szCs w:val="24"/>
                <w:highlight w:val="none"/>
                <w:u w:val="none"/>
              </w:rPr>
              <w:t>、</w:t>
            </w:r>
            <w:r>
              <w:rPr>
                <w:rFonts w:hint="eastAsia" w:ascii="宋体" w:hAnsi="宋体"/>
                <w:b/>
                <w:bCs/>
                <w:iCs/>
                <w:color w:val="auto"/>
                <w:szCs w:val="24"/>
                <w:highlight w:val="none"/>
                <w:u w:val="none"/>
              </w:rPr>
              <w:t>质押将依照销售机构</w:t>
            </w:r>
            <w:r>
              <w:rPr>
                <w:rFonts w:hint="eastAsia" w:ascii="宋体" w:hAnsi="宋体"/>
                <w:b/>
                <w:bCs/>
                <w:iCs/>
                <w:color w:val="auto"/>
                <w:szCs w:val="24"/>
                <w:highlight w:val="none"/>
                <w:u w:val="none"/>
                <w:lang w:eastAsia="zh-CN"/>
              </w:rPr>
              <w:t>与管理人</w:t>
            </w:r>
            <w:r>
              <w:rPr>
                <w:rFonts w:hint="eastAsia" w:ascii="宋体" w:hAnsi="宋体"/>
                <w:b/>
                <w:bCs/>
                <w:iCs/>
                <w:color w:val="auto"/>
                <w:szCs w:val="24"/>
                <w:highlight w:val="none"/>
                <w:u w:val="none"/>
              </w:rPr>
              <w:t>的业务政策执行。</w:t>
            </w:r>
          </w:p>
        </w:tc>
      </w:tr>
    </w:tbl>
    <w:p w14:paraId="623602EB">
      <w:pPr>
        <w:widowControl/>
        <w:snapToGrid w:val="0"/>
        <w:jc w:val="center"/>
        <w:rPr>
          <w:rFonts w:ascii="方正小标宋简体" w:hAnsi="宋体" w:eastAsia="方正小标宋简体" w:cs="宋体"/>
          <w:bCs/>
          <w:color w:val="auto"/>
          <w:kern w:val="0"/>
          <w:sz w:val="36"/>
          <w:szCs w:val="36"/>
          <w:highlight w:val="none"/>
        </w:rPr>
      </w:pPr>
    </w:p>
    <w:p w14:paraId="10A83763">
      <w:pPr>
        <w:widowControl/>
        <w:snapToGrid w:val="0"/>
        <w:jc w:val="center"/>
        <w:rPr>
          <w:rFonts w:ascii="方正小标宋简体" w:hAnsi="宋体" w:eastAsia="方正小标宋简体" w:cs="宋体"/>
          <w:bCs/>
          <w:color w:val="auto"/>
          <w:kern w:val="0"/>
          <w:sz w:val="36"/>
          <w:szCs w:val="36"/>
          <w:highlight w:val="none"/>
        </w:rPr>
      </w:pPr>
    </w:p>
    <w:p w14:paraId="6CE36453">
      <w:pPr>
        <w:widowControl/>
        <w:snapToGrid w:val="0"/>
        <w:jc w:val="center"/>
        <w:rPr>
          <w:rFonts w:ascii="方正小标宋简体" w:hAnsi="宋体" w:eastAsia="方正小标宋简体" w:cs="宋体"/>
          <w:bCs/>
          <w:color w:val="auto"/>
          <w:kern w:val="0"/>
          <w:sz w:val="36"/>
          <w:szCs w:val="36"/>
          <w:highlight w:val="none"/>
        </w:rPr>
      </w:pPr>
    </w:p>
    <w:p w14:paraId="009936A5">
      <w:pPr>
        <w:widowControl/>
        <w:snapToGrid w:val="0"/>
        <w:jc w:val="center"/>
        <w:rPr>
          <w:rFonts w:ascii="方正小标宋简体" w:hAnsi="宋体" w:eastAsia="方正小标宋简体" w:cs="宋体"/>
          <w:bCs/>
          <w:color w:val="auto"/>
          <w:kern w:val="0"/>
          <w:sz w:val="36"/>
          <w:szCs w:val="36"/>
          <w:highlight w:val="none"/>
        </w:rPr>
      </w:pPr>
    </w:p>
    <w:p w14:paraId="3704EDB1">
      <w:pPr>
        <w:widowControl/>
        <w:snapToGrid w:val="0"/>
        <w:jc w:val="center"/>
        <w:rPr>
          <w:rFonts w:ascii="方正小标宋简体" w:hAnsi="宋体" w:eastAsia="方正小标宋简体" w:cs="宋体"/>
          <w:bCs/>
          <w:color w:val="auto"/>
          <w:kern w:val="0"/>
          <w:sz w:val="36"/>
          <w:szCs w:val="36"/>
          <w:highlight w:val="none"/>
        </w:rPr>
      </w:pPr>
    </w:p>
    <w:p w14:paraId="7DB46C26">
      <w:pPr>
        <w:rPr>
          <w:rFonts w:ascii="方正小标宋简体" w:hAnsi="宋体" w:eastAsia="方正小标宋简体" w:cs="宋体"/>
          <w:bCs/>
          <w:color w:val="auto"/>
          <w:kern w:val="0"/>
          <w:sz w:val="36"/>
          <w:szCs w:val="36"/>
          <w:highlight w:val="none"/>
        </w:rPr>
      </w:pPr>
      <w:r>
        <w:rPr>
          <w:rFonts w:ascii="方正小标宋简体" w:hAnsi="宋体" w:eastAsia="方正小标宋简体" w:cs="宋体"/>
          <w:bCs/>
          <w:color w:val="auto"/>
          <w:kern w:val="0"/>
          <w:sz w:val="36"/>
          <w:szCs w:val="36"/>
          <w:highlight w:val="none"/>
        </w:rPr>
        <w:br w:type="page"/>
      </w:r>
    </w:p>
    <w:p w14:paraId="03E93492">
      <w:pPr>
        <w:pStyle w:val="2"/>
        <w:rPr>
          <w:rFonts w:ascii="黑体" w:hAnsi="宋体" w:eastAsia="黑体" w:cs="宋体"/>
          <w:bCs/>
          <w:color w:val="auto"/>
          <w:kern w:val="0"/>
          <w:sz w:val="28"/>
          <w:szCs w:val="28"/>
          <w:highlight w:val="none"/>
        </w:rPr>
      </w:pPr>
      <w:r>
        <w:rPr>
          <w:rFonts w:hint="eastAsia" w:ascii="黑体" w:hAnsi="宋体" w:eastAsia="黑体" w:cs="宋体"/>
          <w:bCs/>
          <w:color w:val="auto"/>
          <w:kern w:val="0"/>
          <w:sz w:val="28"/>
          <w:szCs w:val="28"/>
          <w:highlight w:val="none"/>
        </w:rPr>
        <w:t>重要提示</w:t>
      </w:r>
    </w:p>
    <w:p w14:paraId="26B8868B">
      <w:pPr>
        <w:widowControl/>
        <w:tabs>
          <w:tab w:val="left" w:pos="709"/>
        </w:tabs>
        <w:snapToGrid w:val="0"/>
        <w:spacing w:line="360" w:lineRule="auto"/>
        <w:rPr>
          <w:rFonts w:ascii="仿宋_GB2312" w:hAnsi="宋体" w:cs="宋体"/>
          <w:b/>
          <w:bCs/>
          <w:color w:val="auto"/>
          <w:kern w:val="0"/>
          <w:szCs w:val="24"/>
          <w:highlight w:val="none"/>
        </w:rPr>
      </w:pPr>
      <w:r>
        <w:rPr>
          <w:rFonts w:hint="eastAsia" w:ascii="仿宋_GB2312" w:hAnsi="宋体" w:cs="宋体"/>
          <w:b/>
          <w:bCs/>
          <w:color w:val="auto"/>
          <w:kern w:val="0"/>
          <w:szCs w:val="32"/>
          <w:highlight w:val="none"/>
        </w:rPr>
        <w:t>●</w:t>
      </w:r>
      <w:r>
        <w:rPr>
          <w:rFonts w:hint="eastAsia" w:ascii="仿宋_GB2312" w:hAnsi="宋体" w:cs="宋体"/>
          <w:b/>
          <w:bCs/>
          <w:color w:val="auto"/>
          <w:kern w:val="0"/>
          <w:szCs w:val="24"/>
          <w:highlight w:val="none"/>
        </w:rPr>
        <w:t>理财非存款、产品有风险、投资须谨慎。</w:t>
      </w:r>
    </w:p>
    <w:p w14:paraId="6491CB7C">
      <w:pPr>
        <w:widowControl/>
        <w:tabs>
          <w:tab w:val="left" w:pos="709"/>
        </w:tabs>
        <w:snapToGrid w:val="0"/>
        <w:spacing w:line="360" w:lineRule="auto"/>
        <w:rPr>
          <w:rFonts w:ascii="仿宋_GB2312" w:hAnsi="宋体" w:cs="宋体"/>
          <w:b/>
          <w:bCs/>
          <w:color w:val="auto"/>
          <w:kern w:val="0"/>
          <w:szCs w:val="24"/>
          <w:highlight w:val="none"/>
        </w:rPr>
      </w:pPr>
      <w:r>
        <w:rPr>
          <w:rFonts w:hint="eastAsia" w:ascii="仿宋_GB2312" w:hAnsi="宋体" w:cs="宋体"/>
          <w:b/>
          <w:bCs/>
          <w:color w:val="auto"/>
          <w:kern w:val="0"/>
          <w:szCs w:val="24"/>
          <w:highlight w:val="none"/>
        </w:rPr>
        <w:t>●浙银理财有限责任公司（以下称“浙银</w:t>
      </w:r>
      <w:r>
        <w:rPr>
          <w:rFonts w:ascii="仿宋_GB2312" w:hAnsi="宋体" w:cs="宋体"/>
          <w:b/>
          <w:bCs/>
          <w:color w:val="auto"/>
          <w:kern w:val="0"/>
          <w:szCs w:val="24"/>
          <w:highlight w:val="none"/>
        </w:rPr>
        <w:t>理财</w:t>
      </w:r>
      <w:r>
        <w:rPr>
          <w:rFonts w:hint="eastAsia" w:ascii="仿宋_GB2312" w:hAnsi="宋体" w:cs="宋体"/>
          <w:b/>
          <w:bCs/>
          <w:color w:val="auto"/>
          <w:kern w:val="0"/>
          <w:szCs w:val="24"/>
          <w:highlight w:val="none"/>
        </w:rPr>
        <w:t>”）郑重提示：在购买理财产品前，请投资者应确保自己完全明白该项投资的性质和所涉及的风险，详细了解和审慎评估该理财产品的资金投资方向及风险类型等基本情况，在慎重考虑后自行决定购买与自身风险承受能力和资产管理需求匹配的理财产品，并承受由此产生的收益与风险。如影响投资者风险承受能力的因素发生变化，请及时完成风险承受能力评估</w:t>
      </w:r>
      <w:r>
        <w:rPr>
          <w:rFonts w:hint="eastAsia"/>
          <w:b/>
          <w:color w:val="auto"/>
          <w:highlight w:val="none"/>
        </w:rPr>
        <w:t>。</w:t>
      </w:r>
    </w:p>
    <w:p w14:paraId="5FB14E36">
      <w:pPr>
        <w:pStyle w:val="28"/>
        <w:spacing w:line="360" w:lineRule="auto"/>
        <w:ind w:firstLine="0" w:firstLineChars="0"/>
        <w:rPr>
          <w:rFonts w:ascii="仿宋_GB2312" w:hAnsi="宋体" w:cs="宋体"/>
          <w:b/>
          <w:bCs/>
          <w:color w:val="auto"/>
          <w:kern w:val="0"/>
          <w:szCs w:val="24"/>
          <w:highlight w:val="none"/>
        </w:rPr>
      </w:pPr>
      <w:r>
        <w:rPr>
          <w:rFonts w:hint="eastAsia" w:ascii="仿宋_GB2312" w:hAnsi="宋体" w:cs="宋体"/>
          <w:b/>
          <w:bCs/>
          <w:color w:val="auto"/>
          <w:kern w:val="0"/>
          <w:szCs w:val="24"/>
          <w:highlight w:val="none"/>
        </w:rPr>
        <w:t>●</w:t>
      </w:r>
      <w:r>
        <w:rPr>
          <w:rFonts w:hint="eastAsia" w:ascii="仿宋_GB2312" w:hAnsi="宋体" w:cs="宋体"/>
          <w:bCs/>
          <w:color w:val="auto"/>
          <w:kern w:val="0"/>
          <w:szCs w:val="24"/>
          <w:highlight w:val="none"/>
        </w:rPr>
        <w:t>本理财产品说明书与《风险揭示书》《投资协议书》《投资者权益须知》《（代理）销售协议书》等共同构成本理财产品完整</w:t>
      </w:r>
      <w:r>
        <w:rPr>
          <w:rFonts w:ascii="仿宋_GB2312" w:hAnsi="宋体" w:cs="宋体"/>
          <w:bCs/>
          <w:color w:val="auto"/>
          <w:kern w:val="0"/>
          <w:szCs w:val="24"/>
          <w:highlight w:val="none"/>
        </w:rPr>
        <w:t>的</w:t>
      </w:r>
      <w:r>
        <w:rPr>
          <w:rFonts w:hint="eastAsia" w:ascii="仿宋_GB2312" w:hAnsi="宋体" w:cs="宋体"/>
          <w:bCs/>
          <w:color w:val="auto"/>
          <w:kern w:val="0"/>
          <w:szCs w:val="24"/>
          <w:highlight w:val="none"/>
        </w:rPr>
        <w:t>、</w:t>
      </w:r>
      <w:r>
        <w:rPr>
          <w:rFonts w:ascii="仿宋_GB2312" w:hAnsi="宋体" w:cs="宋体"/>
          <w:bCs/>
          <w:color w:val="auto"/>
          <w:kern w:val="0"/>
          <w:szCs w:val="24"/>
          <w:highlight w:val="none"/>
        </w:rPr>
        <w:t>不可</w:t>
      </w:r>
      <w:r>
        <w:rPr>
          <w:rFonts w:hint="eastAsia" w:ascii="仿宋_GB2312" w:hAnsi="宋体" w:cs="宋体"/>
          <w:bCs/>
          <w:color w:val="auto"/>
          <w:kern w:val="0"/>
          <w:szCs w:val="24"/>
          <w:highlight w:val="none"/>
        </w:rPr>
        <w:t>分割</w:t>
      </w:r>
      <w:r>
        <w:rPr>
          <w:rFonts w:ascii="仿宋_GB2312" w:hAnsi="宋体" w:cs="宋体"/>
          <w:bCs/>
          <w:color w:val="auto"/>
          <w:kern w:val="0"/>
          <w:szCs w:val="24"/>
          <w:highlight w:val="none"/>
        </w:rPr>
        <w:t>的</w:t>
      </w:r>
      <w:r>
        <w:rPr>
          <w:rFonts w:hint="eastAsia" w:ascii="仿宋_GB2312" w:hAnsi="宋体" w:cs="宋体"/>
          <w:bCs/>
          <w:color w:val="auto"/>
          <w:kern w:val="0"/>
          <w:szCs w:val="24"/>
          <w:highlight w:val="none"/>
        </w:rPr>
        <w:t>销售文件。</w:t>
      </w:r>
      <w:r>
        <w:rPr>
          <w:rFonts w:hint="eastAsia" w:ascii="仿宋_GB2312" w:hAnsi="宋体" w:cs="宋体"/>
          <w:b/>
          <w:bCs/>
          <w:color w:val="auto"/>
          <w:kern w:val="0"/>
          <w:szCs w:val="24"/>
          <w:highlight w:val="none"/>
        </w:rPr>
        <w:t>为了维护投资者的合法权益，请在投资前仔细阅读本说明书及其他销售文件，了解理财产品具体情况。</w:t>
      </w:r>
    </w:p>
    <w:p w14:paraId="2FE9A914">
      <w:pPr>
        <w:pStyle w:val="28"/>
        <w:spacing w:line="360" w:lineRule="auto"/>
        <w:ind w:firstLine="0" w:firstLineChars="0"/>
        <w:rPr>
          <w:rFonts w:ascii="仿宋_GB2312" w:hAnsi="宋体" w:cs="宋体"/>
          <w:b/>
          <w:bCs/>
          <w:color w:val="auto"/>
          <w:kern w:val="0"/>
          <w:szCs w:val="24"/>
          <w:highlight w:val="none"/>
        </w:rPr>
      </w:pPr>
      <w:r>
        <w:rPr>
          <w:rFonts w:hint="eastAsia" w:ascii="仿宋_GB2312" w:hAnsi="宋体" w:cs="宋体"/>
          <w:b/>
          <w:bCs/>
          <w:color w:val="auto"/>
          <w:kern w:val="0"/>
          <w:szCs w:val="24"/>
          <w:highlight w:val="none"/>
        </w:rPr>
        <w:t>●</w:t>
      </w:r>
      <w:r>
        <w:rPr>
          <w:rFonts w:hint="eastAsia" w:ascii="仿宋_GB2312" w:hAnsi="宋体" w:cs="宋体"/>
          <w:bCs/>
          <w:color w:val="auto"/>
          <w:kern w:val="0"/>
          <w:szCs w:val="24"/>
          <w:highlight w:val="none"/>
        </w:rPr>
        <w:t>本理财产品为</w:t>
      </w:r>
      <w:r>
        <w:rPr>
          <w:rFonts w:hint="eastAsia" w:ascii="仿宋_GB2312" w:hAnsi="宋体" w:cs="宋体"/>
          <w:b/>
          <w:bCs/>
          <w:color w:val="auto"/>
          <w:kern w:val="0"/>
          <w:szCs w:val="24"/>
          <w:highlight w:val="none"/>
        </w:rPr>
        <w:t>非保本浮动收益型理财产品，与银行存款存在显著区别，不受</w:t>
      </w:r>
      <w:r>
        <w:rPr>
          <w:rFonts w:hint="eastAsia" w:ascii="仿宋_GB2312" w:hAnsi="宋体" w:cs="宋体"/>
          <w:b/>
          <w:bCs/>
          <w:color w:val="auto"/>
          <w:kern w:val="0"/>
          <w:szCs w:val="32"/>
          <w:highlight w:val="none"/>
        </w:rPr>
        <w:t>存款保险及其他保障机制的保障。</w:t>
      </w:r>
      <w:r>
        <w:rPr>
          <w:rFonts w:hint="eastAsia" w:ascii="仿宋_GB2312" w:hAnsi="宋体" w:cs="宋体"/>
          <w:b/>
          <w:bCs/>
          <w:color w:val="auto"/>
          <w:kern w:val="0"/>
          <w:szCs w:val="24"/>
          <w:highlight w:val="none"/>
        </w:rPr>
        <w:t>本理财产品不保证投资者理财本金安全及最低收益，投资者投资/持有本理财产品可能因市场变化、突发事件等因素遭受收益乃至本金损失</w:t>
      </w:r>
      <w:r>
        <w:rPr>
          <w:rFonts w:hint="eastAsia" w:ascii="仿宋_GB2312" w:hAnsi="宋体" w:cs="宋体"/>
          <w:b/>
          <w:bCs/>
          <w:color w:val="auto"/>
          <w:kern w:val="0"/>
          <w:szCs w:val="32"/>
          <w:highlight w:val="none"/>
        </w:rPr>
        <w:t>，</w:t>
      </w:r>
      <w:r>
        <w:rPr>
          <w:rFonts w:hint="eastAsia" w:ascii="宋体" w:hAnsi="宋体" w:cs="宋体"/>
          <w:b/>
          <w:bCs/>
          <w:color w:val="auto"/>
          <w:kern w:val="0"/>
          <w:szCs w:val="24"/>
          <w:highlight w:val="none"/>
        </w:rPr>
        <w:t>请</w:t>
      </w:r>
      <w:r>
        <w:rPr>
          <w:rFonts w:hint="eastAsia" w:ascii="仿宋_GB2312" w:hAnsi="宋体" w:cs="宋体"/>
          <w:b/>
          <w:bCs/>
          <w:color w:val="auto"/>
          <w:kern w:val="0"/>
          <w:szCs w:val="24"/>
          <w:highlight w:val="none"/>
        </w:rPr>
        <w:t>投资者充分知晓、理解投资风险，谨慎投资。</w:t>
      </w:r>
    </w:p>
    <w:p w14:paraId="26BB8C18">
      <w:pPr>
        <w:pStyle w:val="28"/>
        <w:spacing w:line="360" w:lineRule="auto"/>
        <w:ind w:firstLine="0" w:firstLineChars="0"/>
        <w:rPr>
          <w:rFonts w:ascii="仿宋_GB2312" w:hAnsi="宋体" w:cs="宋体"/>
          <w:b/>
          <w:bCs/>
          <w:color w:val="auto"/>
          <w:kern w:val="0"/>
          <w:szCs w:val="24"/>
          <w:highlight w:val="none"/>
        </w:rPr>
      </w:pPr>
      <w:r>
        <w:rPr>
          <w:rFonts w:hint="eastAsia" w:ascii="仿宋_GB2312" w:hAnsi="宋体" w:cs="宋体"/>
          <w:b/>
          <w:bCs/>
          <w:color w:val="auto"/>
          <w:kern w:val="0"/>
          <w:szCs w:val="24"/>
          <w:highlight w:val="none"/>
        </w:rPr>
        <w:t>●</w:t>
      </w:r>
      <w:r>
        <w:rPr>
          <w:rFonts w:hint="eastAsia" w:ascii="仿宋_GB2312" w:hAnsi="宋体" w:cs="宋体"/>
          <w:bCs/>
          <w:color w:val="auto"/>
          <w:kern w:val="0"/>
          <w:szCs w:val="24"/>
          <w:highlight w:val="none"/>
        </w:rPr>
        <w:t>本理财产品涉及的主要风险包括政策风险、信用风险、市场风险、流动性风险、经营管理风险、交易对手风险、操作风险、代销风险、募集期延长/缩短风险、产品不成立风险、提前终止风险、延期分配风险、信息传递风险、关联关系及关联交易风险、再投资风险、估值风险、托管及清算风险、税务风险、不同理财产品份额类别存在差异的风险、其他风险等，</w:t>
      </w:r>
      <w:r>
        <w:rPr>
          <w:rFonts w:hint="eastAsia" w:ascii="仿宋_GB2312" w:hAnsi="宋体" w:cs="宋体"/>
          <w:b/>
          <w:bCs/>
          <w:color w:val="auto"/>
          <w:kern w:val="0"/>
          <w:szCs w:val="24"/>
          <w:highlight w:val="none"/>
        </w:rPr>
        <w:t>请投资者仔细阅读《风险揭示书》。</w:t>
      </w:r>
    </w:p>
    <w:p w14:paraId="79FB5EE2">
      <w:pPr>
        <w:pStyle w:val="28"/>
        <w:spacing w:line="360" w:lineRule="auto"/>
        <w:ind w:firstLine="0" w:firstLineChars="0"/>
        <w:rPr>
          <w:rFonts w:ascii="仿宋_GB2312" w:hAnsi="宋体" w:cs="宋体"/>
          <w:b/>
          <w:bCs/>
          <w:color w:val="auto"/>
          <w:kern w:val="0"/>
          <w:szCs w:val="24"/>
          <w:highlight w:val="none"/>
        </w:rPr>
      </w:pPr>
      <w:r>
        <w:rPr>
          <w:rFonts w:hint="eastAsia" w:ascii="仿宋_GB2312" w:hAnsi="宋体" w:cs="宋体"/>
          <w:b/>
          <w:bCs/>
          <w:color w:val="auto"/>
          <w:kern w:val="0"/>
          <w:szCs w:val="24"/>
          <w:highlight w:val="none"/>
        </w:rPr>
        <w:t>●本理财产品销售文件中的任何“业绩比较基准”“业绩比较基准区间”以及其他类似表述均不代表投资者可能获得的实际收益，亦不构成管理人对本理财产品的任何收益承诺，不具有法律效力。</w:t>
      </w:r>
    </w:p>
    <w:p w14:paraId="7040800C">
      <w:pPr>
        <w:pStyle w:val="28"/>
        <w:spacing w:line="360" w:lineRule="auto"/>
        <w:ind w:firstLine="0" w:firstLineChars="0"/>
        <w:rPr>
          <w:rFonts w:ascii="仿宋_GB2312" w:hAnsi="宋体" w:cs="宋体"/>
          <w:b/>
          <w:bCs/>
          <w:color w:val="auto"/>
          <w:kern w:val="0"/>
          <w:szCs w:val="24"/>
          <w:highlight w:val="none"/>
        </w:rPr>
      </w:pPr>
      <w:r>
        <w:rPr>
          <w:rFonts w:hint="eastAsia" w:ascii="仿宋_GB2312" w:hAnsi="宋体" w:cs="宋体"/>
          <w:b/>
          <w:bCs/>
          <w:color w:val="auto"/>
          <w:kern w:val="0"/>
          <w:szCs w:val="24"/>
          <w:highlight w:val="none"/>
        </w:rPr>
        <w:t>●本理财</w:t>
      </w:r>
      <w:r>
        <w:rPr>
          <w:rFonts w:ascii="仿宋_GB2312" w:hAnsi="宋体" w:cs="宋体"/>
          <w:b/>
          <w:bCs/>
          <w:color w:val="auto"/>
          <w:kern w:val="0"/>
          <w:szCs w:val="24"/>
          <w:highlight w:val="none"/>
        </w:rPr>
        <w:t>产品的投资运作情况体现为产品净值变化，</w:t>
      </w:r>
      <w:r>
        <w:rPr>
          <w:rFonts w:hint="eastAsia" w:ascii="仿宋_GB2312" w:hAnsi="宋体" w:cs="宋体"/>
          <w:b/>
          <w:bCs/>
          <w:color w:val="auto"/>
          <w:kern w:val="0"/>
          <w:szCs w:val="24"/>
          <w:highlight w:val="none"/>
        </w:rPr>
        <w:t>投资者最终理财收益以实际到账为准。本理财产品过往业绩不代表其未来表现，不等于投资者未来可获得的实际收益。</w:t>
      </w:r>
    </w:p>
    <w:p w14:paraId="020639E4">
      <w:pPr>
        <w:pStyle w:val="28"/>
        <w:spacing w:line="360" w:lineRule="auto"/>
        <w:ind w:firstLine="0" w:firstLineChars="0"/>
        <w:rPr>
          <w:rFonts w:ascii="仿宋_GB2312" w:hAnsi="宋体" w:cs="宋体"/>
          <w:b/>
          <w:color w:val="auto"/>
          <w:kern w:val="0"/>
          <w:szCs w:val="24"/>
          <w:highlight w:val="none"/>
        </w:rPr>
      </w:pPr>
      <w:r>
        <w:rPr>
          <w:rFonts w:hint="eastAsia" w:ascii="仿宋_GB2312" w:hAnsi="宋体" w:cs="宋体"/>
          <w:b/>
          <w:bCs/>
          <w:color w:val="auto"/>
          <w:kern w:val="0"/>
          <w:szCs w:val="24"/>
          <w:highlight w:val="none"/>
        </w:rPr>
        <w:t>●本理财产品仅向依据中华人民共和国法律法规及监管规定可以购买本类理财产品的投资者发售。</w:t>
      </w:r>
      <w:r>
        <w:rPr>
          <w:rFonts w:ascii="仿宋_GB2312" w:hAnsi="宋体" w:cs="宋体"/>
          <w:b/>
          <w:color w:val="auto"/>
          <w:kern w:val="0"/>
          <w:szCs w:val="24"/>
          <w:highlight w:val="none"/>
        </w:rPr>
        <w:t>投资者通过销售机构与浙银理财签订理财产品销售文件后，销售机构或浙银理财在划款时，不再通过任何方式与投资者进行最后确认，直接划款。</w:t>
      </w:r>
      <w:r>
        <w:rPr>
          <w:rFonts w:hint="eastAsia"/>
          <w:b/>
          <w:color w:val="auto"/>
          <w:highlight w:val="none"/>
        </w:rPr>
        <w:t>投</w:t>
      </w:r>
      <w:r>
        <w:rPr>
          <w:rFonts w:ascii="仿宋_GB2312" w:hAnsi="宋体" w:cs="宋体"/>
          <w:b/>
          <w:color w:val="auto"/>
          <w:kern w:val="0"/>
          <w:szCs w:val="24"/>
          <w:highlight w:val="none"/>
        </w:rPr>
        <w:t>资者通过销售机构电子渠道购买本理财产品，成功提交认购/申购申请后视同为投资者已完全知悉并接受本理财产品销售文件载明的风险揭示、重要提示以及其他约定，与浙银理财已完成理财产品销售</w:t>
      </w:r>
      <w:r>
        <w:rPr>
          <w:rFonts w:hint="eastAsia" w:ascii="仿宋_GB2312" w:hAnsi="宋体" w:cs="宋体"/>
          <w:b/>
          <w:color w:val="auto"/>
          <w:kern w:val="0"/>
          <w:szCs w:val="24"/>
          <w:highlight w:val="none"/>
        </w:rPr>
        <w:t>文件</w:t>
      </w:r>
      <w:r>
        <w:rPr>
          <w:rFonts w:ascii="仿宋_GB2312" w:hAnsi="宋体" w:cs="宋体"/>
          <w:b/>
          <w:color w:val="auto"/>
          <w:kern w:val="0"/>
          <w:szCs w:val="24"/>
          <w:highlight w:val="none"/>
        </w:rPr>
        <w:t>的签订。</w:t>
      </w:r>
    </w:p>
    <w:p w14:paraId="4CB1045B">
      <w:pPr>
        <w:pStyle w:val="28"/>
        <w:spacing w:line="360" w:lineRule="auto"/>
        <w:ind w:firstLine="0" w:firstLineChars="0"/>
        <w:rPr>
          <w:rFonts w:ascii="仿宋_GB2312" w:hAnsi="宋体" w:cs="宋体"/>
          <w:b/>
          <w:bCs/>
          <w:color w:val="auto"/>
          <w:kern w:val="0"/>
          <w:szCs w:val="24"/>
          <w:highlight w:val="none"/>
        </w:rPr>
      </w:pPr>
      <w:r>
        <w:rPr>
          <w:rFonts w:hint="eastAsia" w:ascii="仿宋_GB2312" w:hAnsi="宋体" w:cs="宋体"/>
          <w:b/>
          <w:bCs/>
          <w:color w:val="auto"/>
          <w:kern w:val="0"/>
          <w:szCs w:val="24"/>
          <w:highlight w:val="none"/>
        </w:rPr>
        <w:t>●</w:t>
      </w:r>
      <w:r>
        <w:rPr>
          <w:rFonts w:hint="eastAsia" w:ascii="仿宋_GB2312" w:hAnsi="宋体" w:cs="宋体"/>
          <w:bCs/>
          <w:color w:val="auto"/>
          <w:kern w:val="0"/>
          <w:szCs w:val="24"/>
          <w:highlight w:val="none"/>
        </w:rPr>
        <w:t>投资本理财产品后，投资者应随时关注本理财产品的信息披露情况，及时获取相关信息。相关信息以销售文件约定的信息披露方式进行披露。</w:t>
      </w:r>
    </w:p>
    <w:p w14:paraId="0F66061C">
      <w:pPr>
        <w:tabs>
          <w:tab w:val="left" w:pos="709"/>
        </w:tabs>
        <w:snapToGrid w:val="0"/>
        <w:spacing w:line="360" w:lineRule="auto"/>
        <w:rPr>
          <w:rFonts w:ascii="仿宋_GB2312" w:hAnsi="宋体" w:cs="宋体"/>
          <w:b/>
          <w:bCs/>
          <w:color w:val="auto"/>
          <w:kern w:val="0"/>
          <w:szCs w:val="24"/>
          <w:highlight w:val="none"/>
        </w:rPr>
      </w:pPr>
      <w:r>
        <w:rPr>
          <w:rFonts w:hint="eastAsia" w:ascii="仿宋_GB2312" w:hAnsi="宋体" w:cs="宋体"/>
          <w:b/>
          <w:bCs/>
          <w:color w:val="auto"/>
          <w:kern w:val="0"/>
          <w:szCs w:val="24"/>
          <w:highlight w:val="none"/>
        </w:rPr>
        <w:t>●</w:t>
      </w:r>
      <w:r>
        <w:rPr>
          <w:rFonts w:hint="eastAsia" w:ascii="仿宋_GB2312" w:hAnsi="宋体" w:cs="宋体"/>
          <w:bCs/>
          <w:color w:val="auto"/>
          <w:kern w:val="0"/>
          <w:szCs w:val="24"/>
          <w:highlight w:val="none"/>
        </w:rPr>
        <w:t>投资者承诺其用于购买本理财产品的资金来源合法合规，并且其系为合法之目的投资本理财产品，而非为洗钱等违法犯罪目的；投资者应确保用于投资本理财产品的资金不来源于贷款、发行债券等筹集的非自有资金。（受托管理的资产管理产品除外）</w:t>
      </w:r>
    </w:p>
    <w:p w14:paraId="3EAF5521">
      <w:pPr>
        <w:tabs>
          <w:tab w:val="left" w:pos="709"/>
        </w:tabs>
        <w:snapToGrid w:val="0"/>
        <w:spacing w:line="360" w:lineRule="auto"/>
        <w:rPr>
          <w:rFonts w:ascii="仿宋_GB2312" w:hAnsi="宋体" w:cs="宋体"/>
          <w:bCs/>
          <w:color w:val="auto"/>
          <w:kern w:val="0"/>
          <w:szCs w:val="24"/>
          <w:highlight w:val="none"/>
        </w:rPr>
      </w:pPr>
      <w:r>
        <w:rPr>
          <w:rFonts w:hint="eastAsia" w:ascii="仿宋_GB2312" w:hAnsi="宋体" w:cs="宋体"/>
          <w:b/>
          <w:bCs/>
          <w:color w:val="auto"/>
          <w:kern w:val="0"/>
          <w:szCs w:val="24"/>
          <w:highlight w:val="none"/>
        </w:rPr>
        <w:t>●</w:t>
      </w:r>
      <w:r>
        <w:rPr>
          <w:rFonts w:ascii="仿宋_GB2312" w:hAnsi="宋体" w:cs="宋体"/>
          <w:b/>
          <w:color w:val="auto"/>
          <w:kern w:val="0"/>
          <w:szCs w:val="24"/>
          <w:highlight w:val="none"/>
        </w:rPr>
        <w:t>在本理财产品存续期内，</w:t>
      </w:r>
      <w:r>
        <w:rPr>
          <w:rFonts w:ascii="仿宋_GB2312" w:hAnsi="宋体" w:cs="宋体"/>
          <w:b/>
          <w:color w:val="auto"/>
          <w:kern w:val="0"/>
          <w:szCs w:val="32"/>
          <w:highlight w:val="none"/>
        </w:rPr>
        <w:t>如因维持本理财产品正常运营的需要且在不损害投资者利益的前提下，或因监管政策、法律法规发生变化</w:t>
      </w:r>
      <w:r>
        <w:rPr>
          <w:rFonts w:ascii="仿宋_GB2312" w:hAnsi="宋体" w:cs="宋体"/>
          <w:b/>
          <w:color w:val="auto"/>
          <w:kern w:val="0"/>
          <w:szCs w:val="24"/>
          <w:highlight w:val="none"/>
        </w:rPr>
        <w:t>，浙银理财有权单方对本理财产品销售文件条款进行修订，并按本理财产品说明书约定的披露方式向投资者进行信息披露。浙银理财按照前述规则发布该信息披露即视为该修订通知已送达投资者并对投资者具有法律约束力。</w:t>
      </w:r>
    </w:p>
    <w:p w14:paraId="07EDC8B3">
      <w:pPr>
        <w:tabs>
          <w:tab w:val="left" w:pos="709"/>
        </w:tabs>
        <w:snapToGrid w:val="0"/>
        <w:spacing w:line="360" w:lineRule="auto"/>
        <w:rPr>
          <w:color w:val="auto"/>
          <w:highlight w:val="none"/>
        </w:rPr>
      </w:pPr>
      <w:r>
        <w:rPr>
          <w:rFonts w:hint="eastAsia" w:ascii="仿宋_GB2312" w:hAnsi="宋体" w:cs="宋体"/>
          <w:bCs/>
          <w:color w:val="auto"/>
          <w:kern w:val="0"/>
          <w:szCs w:val="32"/>
          <w:highlight w:val="none"/>
        </w:rPr>
        <w:t>●</w:t>
      </w:r>
      <w:r>
        <w:rPr>
          <w:rFonts w:hint="eastAsia" w:ascii="仿宋_GB2312" w:cs="宋体" w:hAnsiTheme="minorEastAsia"/>
          <w:bCs/>
          <w:color w:val="auto"/>
          <w:kern w:val="0"/>
          <w:szCs w:val="32"/>
          <w:highlight w:val="none"/>
        </w:rPr>
        <w:t>如对本理财产品、服务有任何疑问、意见或建议，敬请联系您的销售服务机构，具体联系方式以《产品说明书》等销售文件的披露为准；或反馈至浙银理财服务电话：0571-57192881。</w:t>
      </w:r>
    </w:p>
    <w:p w14:paraId="1F82D420">
      <w:pPr>
        <w:rPr>
          <w:color w:val="auto"/>
          <w:highlight w:val="none"/>
        </w:rPr>
      </w:pPr>
      <w:r>
        <w:rPr>
          <w:color w:val="auto"/>
          <w:highlight w:val="none"/>
        </w:rPr>
        <w:br w:type="page"/>
      </w:r>
    </w:p>
    <w:p w14:paraId="2AE30E5E">
      <w:pPr>
        <w:pStyle w:val="2"/>
        <w:rPr>
          <w:color w:val="auto"/>
          <w:highlight w:val="none"/>
        </w:rPr>
      </w:pPr>
      <w:r>
        <w:rPr>
          <w:rFonts w:hint="eastAsia"/>
          <w:color w:val="auto"/>
          <w:highlight w:val="none"/>
        </w:rPr>
        <w:t>释义</w:t>
      </w:r>
    </w:p>
    <w:p w14:paraId="0705EFFB">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本说明书中，除非另有明确说明，否则下列词语或简称具有如下含义：</w:t>
      </w:r>
    </w:p>
    <w:p w14:paraId="0B865AF8">
      <w:pPr>
        <w:pStyle w:val="3"/>
        <w:ind w:firstLine="482"/>
        <w:rPr>
          <w:rFonts w:ascii="仿宋_GB2312" w:hAnsi="宋体" w:cs="宋体"/>
          <w:bCs/>
          <w:color w:val="auto"/>
          <w:kern w:val="0"/>
          <w:szCs w:val="24"/>
          <w:highlight w:val="none"/>
        </w:rPr>
      </w:pPr>
      <w:r>
        <w:rPr>
          <w:rFonts w:hint="eastAsia" w:ascii="仿宋_GB2312" w:hAnsi="宋体" w:cs="宋体"/>
          <w:bCs/>
          <w:color w:val="auto"/>
          <w:kern w:val="0"/>
          <w:szCs w:val="24"/>
          <w:highlight w:val="none"/>
        </w:rPr>
        <w:t>产品参与主体用语</w:t>
      </w:r>
    </w:p>
    <w:p w14:paraId="4C6DA1E5">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1.</w:t>
      </w:r>
      <w:r>
        <w:rPr>
          <w:rFonts w:ascii="仿宋_GB2312" w:hAnsi="宋体" w:cs="宋体"/>
          <w:bCs/>
          <w:color w:val="auto"/>
          <w:kern w:val="0"/>
          <w:szCs w:val="24"/>
          <w:highlight w:val="none"/>
          <w:u w:val="none"/>
        </w:rPr>
        <w:t>管理人/产品管理人/理财产品管理人</w:t>
      </w:r>
      <w:r>
        <w:rPr>
          <w:rFonts w:hint="eastAsia" w:ascii="仿宋_GB2312" w:hAnsi="宋体" w:cs="宋体"/>
          <w:bCs/>
          <w:color w:val="auto"/>
          <w:kern w:val="0"/>
          <w:szCs w:val="24"/>
          <w:highlight w:val="none"/>
          <w:u w:val="none"/>
          <w:lang w:val="en-US" w:eastAsia="zh-CN"/>
        </w:rPr>
        <w:t>/发行机构</w:t>
      </w:r>
      <w:r>
        <w:rPr>
          <w:rFonts w:ascii="仿宋_GB2312" w:hAnsi="宋体" w:cs="宋体"/>
          <w:bCs/>
          <w:color w:val="auto"/>
          <w:kern w:val="0"/>
          <w:szCs w:val="24"/>
          <w:highlight w:val="none"/>
          <w:u w:val="none"/>
        </w:rPr>
        <w:t>：指浙银理财有限责任公司（简称“浙银理财”）。</w:t>
      </w:r>
    </w:p>
    <w:p w14:paraId="1F7775DB">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ascii="仿宋_GB2312" w:hAnsi="宋体" w:cs="宋体"/>
          <w:bCs/>
          <w:color w:val="auto"/>
          <w:kern w:val="0"/>
          <w:szCs w:val="24"/>
          <w:highlight w:val="none"/>
          <w:u w:val="none"/>
        </w:rPr>
        <w:t>2.</w:t>
      </w:r>
      <w:r>
        <w:rPr>
          <w:rFonts w:hint="eastAsia" w:ascii="仿宋_GB2312" w:hAnsi="宋体" w:cs="宋体"/>
          <w:bCs/>
          <w:color w:val="auto"/>
          <w:kern w:val="0"/>
          <w:szCs w:val="24"/>
          <w:highlight w:val="none"/>
          <w:u w:val="none"/>
        </w:rPr>
        <w:t>销售机构/理财产品销售机构：指符合</w:t>
      </w:r>
      <w:r>
        <w:rPr>
          <w:rFonts w:ascii="仿宋_GB2312" w:hAnsi="宋体" w:cs="宋体"/>
          <w:bCs/>
          <w:color w:val="auto"/>
          <w:kern w:val="0"/>
          <w:szCs w:val="24"/>
          <w:highlight w:val="none"/>
          <w:u w:val="none"/>
        </w:rPr>
        <w:t>监管</w:t>
      </w:r>
      <w:r>
        <w:rPr>
          <w:rFonts w:hint="eastAsia" w:ascii="仿宋_GB2312" w:hAnsi="宋体" w:cs="宋体"/>
          <w:bCs/>
          <w:color w:val="auto"/>
          <w:kern w:val="0"/>
          <w:szCs w:val="24"/>
          <w:highlight w:val="none"/>
          <w:u w:val="none"/>
        </w:rPr>
        <w:t>规定</w:t>
      </w:r>
      <w:r>
        <w:rPr>
          <w:rFonts w:ascii="仿宋_GB2312" w:hAnsi="宋体" w:cs="宋体"/>
          <w:bCs/>
          <w:color w:val="auto"/>
          <w:kern w:val="0"/>
          <w:szCs w:val="24"/>
          <w:highlight w:val="none"/>
          <w:u w:val="none"/>
        </w:rPr>
        <w:t>具备理财产品销售资格</w:t>
      </w:r>
      <w:r>
        <w:rPr>
          <w:rFonts w:hint="eastAsia" w:ascii="仿宋_GB2312" w:hAnsi="宋体" w:cs="宋体"/>
          <w:bCs/>
          <w:color w:val="auto"/>
          <w:kern w:val="0"/>
          <w:szCs w:val="24"/>
          <w:highlight w:val="none"/>
          <w:u w:val="none"/>
        </w:rPr>
        <w:t>的</w:t>
      </w:r>
      <w:r>
        <w:rPr>
          <w:rFonts w:ascii="仿宋_GB2312" w:hAnsi="宋体" w:cs="宋体"/>
          <w:bCs/>
          <w:color w:val="auto"/>
          <w:kern w:val="0"/>
          <w:szCs w:val="24"/>
          <w:highlight w:val="none"/>
          <w:u w:val="none"/>
        </w:rPr>
        <w:t>机构</w:t>
      </w:r>
      <w:r>
        <w:rPr>
          <w:rFonts w:hint="eastAsia" w:ascii="仿宋_GB2312" w:hAnsi="宋体" w:cs="宋体"/>
          <w:bCs/>
          <w:color w:val="auto"/>
          <w:kern w:val="0"/>
          <w:szCs w:val="24"/>
          <w:highlight w:val="none"/>
          <w:u w:val="none"/>
        </w:rPr>
        <w:t>，</w:t>
      </w:r>
      <w:r>
        <w:rPr>
          <w:rFonts w:ascii="仿宋_GB2312" w:hAnsi="宋体" w:cs="宋体"/>
          <w:bCs/>
          <w:color w:val="auto"/>
          <w:kern w:val="0"/>
          <w:szCs w:val="24"/>
          <w:highlight w:val="none"/>
          <w:u w:val="none"/>
        </w:rPr>
        <w:t>销售机构在其渠道开展向投资者</w:t>
      </w:r>
      <w:r>
        <w:rPr>
          <w:rFonts w:hint="eastAsia" w:ascii="仿宋_GB2312" w:hAnsi="宋体" w:cs="宋体"/>
          <w:bCs/>
          <w:color w:val="auto"/>
          <w:kern w:val="0"/>
          <w:szCs w:val="24"/>
          <w:highlight w:val="none"/>
          <w:u w:val="none"/>
        </w:rPr>
        <w:t>进行</w:t>
      </w:r>
      <w:r>
        <w:rPr>
          <w:rFonts w:ascii="仿宋_GB2312" w:hAnsi="宋体" w:cs="宋体"/>
          <w:bCs/>
          <w:color w:val="auto"/>
          <w:kern w:val="0"/>
          <w:szCs w:val="24"/>
          <w:highlight w:val="none"/>
          <w:u w:val="none"/>
        </w:rPr>
        <w:t>宣传推介</w:t>
      </w:r>
      <w:r>
        <w:rPr>
          <w:rFonts w:hint="eastAsia" w:ascii="仿宋_GB2312" w:hAnsi="宋体" w:cs="宋体"/>
          <w:bCs/>
          <w:color w:val="auto"/>
          <w:kern w:val="0"/>
          <w:szCs w:val="24"/>
          <w:highlight w:val="none"/>
          <w:u w:val="none"/>
        </w:rPr>
        <w:t>，为</w:t>
      </w:r>
      <w:r>
        <w:rPr>
          <w:rFonts w:ascii="仿宋_GB2312" w:hAnsi="宋体" w:cs="宋体"/>
          <w:bCs/>
          <w:color w:val="auto"/>
          <w:kern w:val="0"/>
          <w:szCs w:val="24"/>
          <w:highlight w:val="none"/>
          <w:u w:val="none"/>
        </w:rPr>
        <w:t>投资者</w:t>
      </w:r>
      <w:r>
        <w:rPr>
          <w:rFonts w:hint="eastAsia" w:ascii="仿宋_GB2312" w:hAnsi="宋体" w:cs="宋体"/>
          <w:bCs/>
          <w:color w:val="auto"/>
          <w:kern w:val="0"/>
          <w:szCs w:val="24"/>
          <w:highlight w:val="none"/>
          <w:u w:val="none"/>
        </w:rPr>
        <w:t>办理理财产品认购、申购和赎回，以及监管许可的其他销售活动。理财</w:t>
      </w:r>
      <w:r>
        <w:rPr>
          <w:rFonts w:ascii="仿宋_GB2312" w:hAnsi="宋体" w:cs="宋体"/>
          <w:bCs/>
          <w:color w:val="auto"/>
          <w:kern w:val="0"/>
          <w:szCs w:val="24"/>
          <w:highlight w:val="none"/>
          <w:u w:val="none"/>
        </w:rPr>
        <w:t>产品</w:t>
      </w:r>
      <w:r>
        <w:rPr>
          <w:rFonts w:hint="eastAsia" w:ascii="仿宋_GB2312" w:hAnsi="宋体" w:cs="宋体"/>
          <w:bCs/>
          <w:color w:val="auto"/>
          <w:kern w:val="0"/>
          <w:szCs w:val="24"/>
          <w:highlight w:val="none"/>
          <w:u w:val="none"/>
        </w:rPr>
        <w:t>销售可分为直销和代理</w:t>
      </w:r>
      <w:r>
        <w:rPr>
          <w:rFonts w:ascii="仿宋_GB2312" w:hAnsi="宋体" w:cs="宋体"/>
          <w:bCs/>
          <w:color w:val="auto"/>
          <w:kern w:val="0"/>
          <w:szCs w:val="24"/>
          <w:highlight w:val="none"/>
          <w:u w:val="none"/>
        </w:rPr>
        <w:t>销售</w:t>
      </w:r>
      <w:r>
        <w:rPr>
          <w:rFonts w:hint="eastAsia" w:ascii="仿宋_GB2312" w:hAnsi="宋体" w:cs="宋体"/>
          <w:bCs/>
          <w:color w:val="auto"/>
          <w:kern w:val="0"/>
          <w:szCs w:val="24"/>
          <w:highlight w:val="none"/>
          <w:u w:val="none"/>
        </w:rPr>
        <w:t>，直销机构指销售本公司发行理财产品的理财公司，代销机构指接受理财公司委托销售发行理财产品的代理销售机构。销售机构在其渠道开展向投资者宣传推介、销售产品管理人依法发行的资产管理产品的活动。</w:t>
      </w:r>
    </w:p>
    <w:p w14:paraId="1AE441C8">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ascii="仿宋_GB2312" w:hAnsi="宋体" w:cs="宋体"/>
          <w:bCs/>
          <w:color w:val="auto"/>
          <w:kern w:val="0"/>
          <w:szCs w:val="24"/>
          <w:highlight w:val="none"/>
          <w:u w:val="none"/>
        </w:rPr>
        <w:t>3.</w:t>
      </w:r>
      <w:r>
        <w:rPr>
          <w:rFonts w:hint="eastAsia" w:ascii="仿宋_GB2312" w:hAnsi="宋体" w:cs="宋体"/>
          <w:bCs/>
          <w:color w:val="auto"/>
          <w:kern w:val="0"/>
          <w:szCs w:val="24"/>
          <w:highlight w:val="none"/>
          <w:u w:val="none"/>
        </w:rPr>
        <w:t>托管人</w:t>
      </w:r>
      <w:r>
        <w:rPr>
          <w:rFonts w:ascii="仿宋_GB2312" w:hAnsi="宋体" w:cs="宋体"/>
          <w:bCs/>
          <w:color w:val="auto"/>
          <w:kern w:val="0"/>
          <w:szCs w:val="24"/>
          <w:highlight w:val="none"/>
          <w:u w:val="none"/>
        </w:rPr>
        <w:t>/</w:t>
      </w:r>
      <w:r>
        <w:rPr>
          <w:rFonts w:hint="eastAsia" w:ascii="仿宋_GB2312" w:hAnsi="宋体" w:cs="宋体"/>
          <w:bCs/>
          <w:color w:val="auto"/>
          <w:kern w:val="0"/>
          <w:szCs w:val="24"/>
          <w:highlight w:val="none"/>
          <w:u w:val="none"/>
        </w:rPr>
        <w:t>产品托管人</w:t>
      </w:r>
      <w:r>
        <w:rPr>
          <w:rFonts w:ascii="仿宋_GB2312" w:hAnsi="宋体" w:cs="宋体"/>
          <w:bCs/>
          <w:color w:val="auto"/>
          <w:kern w:val="0"/>
          <w:szCs w:val="24"/>
          <w:highlight w:val="none"/>
          <w:u w:val="none"/>
        </w:rPr>
        <w:t>/</w:t>
      </w:r>
      <w:r>
        <w:rPr>
          <w:rFonts w:hint="eastAsia" w:ascii="仿宋_GB2312" w:hAnsi="宋体" w:cs="宋体"/>
          <w:bCs/>
          <w:color w:val="auto"/>
          <w:kern w:val="0"/>
          <w:szCs w:val="24"/>
          <w:highlight w:val="none"/>
          <w:u w:val="none"/>
        </w:rPr>
        <w:t>理财产品托管人</w:t>
      </w:r>
      <w:r>
        <w:rPr>
          <w:rFonts w:hint="eastAsia" w:ascii="仿宋_GB2312" w:hAnsi="宋体" w:cs="宋体"/>
          <w:bCs/>
          <w:color w:val="auto"/>
          <w:kern w:val="0"/>
          <w:szCs w:val="24"/>
          <w:highlight w:val="none"/>
          <w:u w:val="none"/>
          <w:lang w:val="en-US" w:eastAsia="zh-CN"/>
        </w:rPr>
        <w:t>/托管机构</w:t>
      </w:r>
      <w:r>
        <w:rPr>
          <w:rFonts w:hint="eastAsia" w:ascii="仿宋_GB2312" w:hAnsi="宋体" w:cs="宋体"/>
          <w:bCs/>
          <w:color w:val="auto"/>
          <w:kern w:val="0"/>
          <w:szCs w:val="24"/>
          <w:highlight w:val="none"/>
          <w:u w:val="none"/>
        </w:rPr>
        <w:t>：</w:t>
      </w:r>
      <w:r>
        <w:rPr>
          <w:rFonts w:ascii="仿宋_GB2312" w:hAnsi="宋体" w:cs="宋体"/>
          <w:bCs/>
          <w:color w:val="auto"/>
          <w:kern w:val="0"/>
          <w:szCs w:val="24"/>
          <w:highlight w:val="none"/>
          <w:u w:val="none"/>
        </w:rPr>
        <w:t>指</w:t>
      </w:r>
      <w:r>
        <w:rPr>
          <w:rFonts w:hint="eastAsia" w:ascii="仿宋_GB2312" w:hAnsi="宋体" w:cs="宋体"/>
          <w:bCs/>
          <w:color w:val="auto"/>
          <w:kern w:val="0"/>
          <w:szCs w:val="24"/>
          <w:highlight w:val="none"/>
          <w:u w:val="none"/>
        </w:rPr>
        <w:t>根据管理人委托对理财产品财产进行托管的机构。本理财</w:t>
      </w:r>
      <w:r>
        <w:rPr>
          <w:rFonts w:ascii="仿宋_GB2312" w:hAnsi="宋体" w:cs="宋体"/>
          <w:bCs/>
          <w:color w:val="auto"/>
          <w:kern w:val="0"/>
          <w:szCs w:val="24"/>
          <w:highlight w:val="none"/>
          <w:u w:val="none"/>
        </w:rPr>
        <w:t>产品托管人</w:t>
      </w:r>
      <w:r>
        <w:rPr>
          <w:rFonts w:hint="eastAsia" w:ascii="仿宋_GB2312" w:hAnsi="宋体" w:cs="宋体"/>
          <w:bCs/>
          <w:color w:val="auto"/>
          <w:kern w:val="0"/>
          <w:szCs w:val="24"/>
          <w:highlight w:val="none"/>
        </w:rPr>
        <w:t>指</w:t>
      </w:r>
      <w:r>
        <w:rPr>
          <w:rFonts w:hint="eastAsia" w:ascii="仿宋_GB2312" w:hAnsi="宋体" w:cs="宋体"/>
          <w:bCs/>
          <w:color w:val="auto"/>
          <w:kern w:val="0"/>
          <w:szCs w:val="24"/>
          <w:highlight w:val="none"/>
          <w:lang w:val="en-US" w:eastAsia="zh-CN"/>
        </w:rPr>
        <w:t>浙商银行股份有限公司</w:t>
      </w:r>
      <w:r>
        <w:rPr>
          <w:rFonts w:hint="eastAsia" w:ascii="仿宋_GB2312" w:hAnsi="宋体" w:cs="宋体"/>
          <w:bCs/>
          <w:color w:val="auto"/>
          <w:kern w:val="0"/>
          <w:szCs w:val="24"/>
          <w:highlight w:val="none"/>
        </w:rPr>
        <w:t>（简称</w:t>
      </w:r>
      <w:r>
        <w:rPr>
          <w:rFonts w:hint="eastAsia" w:ascii="仿宋_GB2312" w:hAnsi="宋体" w:cs="宋体"/>
          <w:bCs/>
          <w:color w:val="auto"/>
          <w:kern w:val="0"/>
          <w:szCs w:val="24"/>
          <w:highlight w:val="none"/>
          <w:lang w:val="en-US" w:eastAsia="zh-CN"/>
        </w:rPr>
        <w:t>浙商银行</w:t>
      </w:r>
      <w:r>
        <w:rPr>
          <w:rFonts w:hint="eastAsia" w:ascii="仿宋_GB2312" w:hAnsi="宋体" w:cs="宋体"/>
          <w:bCs/>
          <w:color w:val="auto"/>
          <w:kern w:val="0"/>
          <w:szCs w:val="24"/>
          <w:highlight w:val="none"/>
        </w:rPr>
        <w:t>）。</w:t>
      </w:r>
      <w:r>
        <w:rPr>
          <w:rFonts w:hint="eastAsia" w:ascii="仿宋_GB2312" w:hAnsi="宋体" w:cs="宋体"/>
          <w:bCs/>
          <w:color w:val="auto"/>
          <w:kern w:val="0"/>
          <w:szCs w:val="24"/>
          <w:highlight w:val="none"/>
          <w:lang w:val="en-US" w:eastAsia="zh-CN"/>
        </w:rPr>
        <w:t>浙商银行</w:t>
      </w:r>
      <w:r>
        <w:rPr>
          <w:rFonts w:hint="eastAsia" w:ascii="仿宋_GB2312" w:hAnsi="宋体" w:cs="宋体"/>
          <w:bCs/>
          <w:color w:val="auto"/>
          <w:kern w:val="0"/>
          <w:szCs w:val="24"/>
          <w:highlight w:val="none"/>
          <w:u w:val="none"/>
        </w:rPr>
        <w:t>具备理财产品托管资格。</w:t>
      </w:r>
    </w:p>
    <w:p w14:paraId="34B66D2E">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4.投资者：指符合相关法律法规、监管规定要求的，可以购买理财产品份额的自然人、法人及</w:t>
      </w:r>
      <w:r>
        <w:rPr>
          <w:rFonts w:ascii="仿宋_GB2312" w:hAnsi="宋体" w:cs="宋体"/>
          <w:bCs/>
          <w:color w:val="auto"/>
          <w:kern w:val="0"/>
          <w:szCs w:val="24"/>
          <w:highlight w:val="none"/>
          <w:u w:val="none"/>
        </w:rPr>
        <w:t>依法成立的</w:t>
      </w:r>
      <w:r>
        <w:rPr>
          <w:rFonts w:hint="eastAsia" w:ascii="仿宋_GB2312" w:hAnsi="宋体" w:cs="宋体"/>
          <w:bCs/>
          <w:color w:val="auto"/>
          <w:kern w:val="0"/>
          <w:szCs w:val="24"/>
          <w:highlight w:val="none"/>
          <w:u w:val="none"/>
        </w:rPr>
        <w:t>其他</w:t>
      </w:r>
      <w:r>
        <w:rPr>
          <w:rFonts w:ascii="仿宋_GB2312" w:hAnsi="宋体" w:cs="宋体"/>
          <w:bCs/>
          <w:color w:val="auto"/>
          <w:kern w:val="0"/>
          <w:szCs w:val="24"/>
          <w:highlight w:val="none"/>
          <w:u w:val="none"/>
        </w:rPr>
        <w:t>组织</w:t>
      </w:r>
      <w:r>
        <w:rPr>
          <w:rFonts w:hint="eastAsia" w:ascii="仿宋_GB2312" w:hAnsi="宋体" w:cs="宋体"/>
          <w:bCs/>
          <w:color w:val="auto"/>
          <w:kern w:val="0"/>
          <w:szCs w:val="24"/>
          <w:highlight w:val="none"/>
          <w:u w:val="none"/>
        </w:rPr>
        <w:t xml:space="preserve">。 </w:t>
      </w:r>
    </w:p>
    <w:p w14:paraId="6FEF33FF">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5.合格投资者：合格投资者是指具备相应风险识别能力和风险承受能力，投资于单只理财产品不低于一定金额且符合下列条件的自然人、法人或者依法成立的其他组织：</w:t>
      </w:r>
    </w:p>
    <w:p w14:paraId="027A2F60">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lang w:eastAsia="zh-CN"/>
        </w:rPr>
        <w:t>（</w:t>
      </w:r>
      <w:r>
        <w:rPr>
          <w:rFonts w:hint="eastAsia" w:ascii="仿宋_GB2312" w:hAnsi="宋体" w:cs="宋体"/>
          <w:bCs/>
          <w:color w:val="auto"/>
          <w:kern w:val="0"/>
          <w:szCs w:val="24"/>
          <w:highlight w:val="none"/>
          <w:u w:val="none"/>
          <w:lang w:val="en-US" w:eastAsia="zh-CN"/>
        </w:rPr>
        <w:t>1</w:t>
      </w:r>
      <w:r>
        <w:rPr>
          <w:rFonts w:hint="eastAsia" w:ascii="仿宋_GB2312" w:hAnsi="宋体" w:cs="宋体"/>
          <w:bCs/>
          <w:color w:val="auto"/>
          <w:kern w:val="0"/>
          <w:szCs w:val="24"/>
          <w:highlight w:val="none"/>
          <w:u w:val="none"/>
          <w:lang w:eastAsia="zh-CN"/>
        </w:rPr>
        <w:t>）</w:t>
      </w:r>
      <w:r>
        <w:rPr>
          <w:rFonts w:hint="eastAsia" w:ascii="仿宋_GB2312" w:hAnsi="宋体" w:cs="宋体"/>
          <w:bCs/>
          <w:color w:val="auto"/>
          <w:kern w:val="0"/>
          <w:szCs w:val="24"/>
          <w:highlight w:val="none"/>
          <w:u w:val="none"/>
        </w:rPr>
        <w:t>具有2年以上投资经历，且满足家庭金融净资产不低于300万元人民币，或者家庭金融资产不低于500万元人民币，或者近3年本人年均收入不低于40万元人民币；</w:t>
      </w:r>
    </w:p>
    <w:p w14:paraId="48ED5FE2">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lang w:eastAsia="zh-CN"/>
        </w:rPr>
        <w:t>（</w:t>
      </w:r>
      <w:r>
        <w:rPr>
          <w:rFonts w:hint="eastAsia" w:ascii="仿宋_GB2312" w:hAnsi="宋体" w:cs="宋体"/>
          <w:bCs/>
          <w:color w:val="auto"/>
          <w:kern w:val="0"/>
          <w:szCs w:val="24"/>
          <w:highlight w:val="none"/>
          <w:u w:val="none"/>
          <w:lang w:val="en-US" w:eastAsia="zh-CN"/>
        </w:rPr>
        <w:t>2</w:t>
      </w:r>
      <w:r>
        <w:rPr>
          <w:rFonts w:hint="eastAsia" w:ascii="仿宋_GB2312" w:hAnsi="宋体" w:cs="宋体"/>
          <w:bCs/>
          <w:color w:val="auto"/>
          <w:kern w:val="0"/>
          <w:szCs w:val="24"/>
          <w:highlight w:val="none"/>
          <w:u w:val="none"/>
          <w:lang w:eastAsia="zh-CN"/>
        </w:rPr>
        <w:t>）</w:t>
      </w:r>
      <w:r>
        <w:rPr>
          <w:rFonts w:hint="eastAsia" w:ascii="仿宋_GB2312" w:hAnsi="宋体" w:cs="宋体"/>
          <w:bCs/>
          <w:color w:val="auto"/>
          <w:kern w:val="0"/>
          <w:szCs w:val="24"/>
          <w:highlight w:val="none"/>
          <w:u w:val="none"/>
        </w:rPr>
        <w:t>最近1年末净资产不低于1000万元人民币的法人或者依法成立的其他组织；</w:t>
      </w:r>
    </w:p>
    <w:p w14:paraId="0CDBF431">
      <w:pPr>
        <w:tabs>
          <w:tab w:val="left" w:pos="709"/>
        </w:tabs>
        <w:snapToGrid w:val="0"/>
        <w:spacing w:line="360" w:lineRule="auto"/>
        <w:ind w:firstLine="480" w:firstLineChars="200"/>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lang w:eastAsia="zh-CN"/>
        </w:rPr>
        <w:t>（</w:t>
      </w:r>
      <w:r>
        <w:rPr>
          <w:rFonts w:hint="eastAsia" w:ascii="仿宋_GB2312" w:hAnsi="宋体" w:cs="宋体"/>
          <w:bCs/>
          <w:color w:val="auto"/>
          <w:kern w:val="0"/>
          <w:szCs w:val="24"/>
          <w:highlight w:val="none"/>
          <w:u w:val="none"/>
          <w:lang w:val="en-US" w:eastAsia="zh-CN"/>
        </w:rPr>
        <w:t>3</w:t>
      </w:r>
      <w:r>
        <w:rPr>
          <w:rFonts w:hint="eastAsia" w:ascii="仿宋_GB2312" w:hAnsi="宋体" w:cs="宋体"/>
          <w:bCs/>
          <w:color w:val="auto"/>
          <w:kern w:val="0"/>
          <w:szCs w:val="24"/>
          <w:highlight w:val="none"/>
          <w:u w:val="none"/>
          <w:lang w:eastAsia="zh-CN"/>
        </w:rPr>
        <w:t>）</w:t>
      </w:r>
      <w:r>
        <w:rPr>
          <w:rFonts w:hint="eastAsia" w:ascii="仿宋_GB2312" w:hAnsi="宋体" w:cs="宋体"/>
          <w:bCs/>
          <w:color w:val="auto"/>
          <w:kern w:val="0"/>
          <w:szCs w:val="24"/>
          <w:highlight w:val="none"/>
          <w:u w:val="none"/>
        </w:rPr>
        <w:t>国务院银行业监督管理机构规定的其他情形。</w:t>
      </w:r>
    </w:p>
    <w:p w14:paraId="18842685">
      <w:pPr>
        <w:tabs>
          <w:tab w:val="left" w:pos="709"/>
        </w:tabs>
        <w:snapToGrid w:val="0"/>
        <w:spacing w:line="360" w:lineRule="auto"/>
        <w:ind w:firstLine="480" w:firstLineChars="200"/>
        <w:rPr>
          <w:rFonts w:hint="eastAsia" w:ascii="仿宋_GB2312" w:hAnsi="宋体" w:cs="宋体"/>
          <w:bCs/>
          <w:color w:val="auto"/>
          <w:kern w:val="0"/>
          <w:szCs w:val="24"/>
          <w:highlight w:val="none"/>
          <w:u w:val="none"/>
          <w:lang w:val="en-US" w:eastAsia="zh-CN"/>
        </w:rPr>
      </w:pPr>
      <w:r>
        <w:rPr>
          <w:rFonts w:hint="eastAsia" w:ascii="仿宋_GB2312" w:hAnsi="宋体" w:cs="宋体"/>
          <w:bCs/>
          <w:color w:val="auto"/>
          <w:kern w:val="0"/>
          <w:szCs w:val="24"/>
          <w:highlight w:val="none"/>
          <w:u w:val="none"/>
          <w:lang w:val="en-US" w:eastAsia="zh-CN"/>
        </w:rPr>
        <w:t>6.专业投资者：符合下列条件之一的是专业投资者：</w:t>
      </w:r>
    </w:p>
    <w:p w14:paraId="4340E195">
      <w:pPr>
        <w:tabs>
          <w:tab w:val="left" w:pos="709"/>
        </w:tabs>
        <w:snapToGrid w:val="0"/>
        <w:spacing w:line="360" w:lineRule="auto"/>
        <w:ind w:firstLine="480" w:firstLineChars="200"/>
        <w:rPr>
          <w:rFonts w:hint="eastAsia" w:ascii="仿宋_GB2312" w:hAnsi="宋体" w:cs="宋体"/>
          <w:bCs/>
          <w:color w:val="auto"/>
          <w:kern w:val="0"/>
          <w:szCs w:val="24"/>
          <w:highlight w:val="none"/>
          <w:u w:val="none"/>
          <w:lang w:val="en-US" w:eastAsia="zh-CN"/>
        </w:rPr>
      </w:pPr>
      <w:r>
        <w:rPr>
          <w:rFonts w:hint="eastAsia" w:ascii="仿宋_GB2312" w:hAnsi="宋体" w:cs="宋体"/>
          <w:bCs/>
          <w:color w:val="auto"/>
          <w:kern w:val="0"/>
          <w:szCs w:val="24"/>
          <w:highlight w:val="none"/>
          <w:u w:val="none"/>
          <w:lang w:val="en-US" w:eastAsia="zh-CN"/>
        </w:rPr>
        <w:t>（1）银行业金融机构、保险业金融机构、金融控股公司、证券基金期货经营机构、私募基金管理人；</w:t>
      </w:r>
    </w:p>
    <w:p w14:paraId="6932C6E4">
      <w:pPr>
        <w:tabs>
          <w:tab w:val="left" w:pos="709"/>
        </w:tabs>
        <w:snapToGrid w:val="0"/>
        <w:spacing w:line="360" w:lineRule="auto"/>
        <w:ind w:firstLine="480" w:firstLineChars="200"/>
        <w:rPr>
          <w:rFonts w:hint="eastAsia" w:ascii="仿宋_GB2312" w:hAnsi="宋体" w:cs="宋体"/>
          <w:bCs/>
          <w:color w:val="auto"/>
          <w:kern w:val="0"/>
          <w:szCs w:val="24"/>
          <w:highlight w:val="none"/>
          <w:u w:val="none"/>
          <w:lang w:val="en-US" w:eastAsia="zh-CN"/>
        </w:rPr>
      </w:pPr>
      <w:r>
        <w:rPr>
          <w:rFonts w:hint="eastAsia" w:ascii="仿宋_GB2312" w:hAnsi="宋体" w:cs="宋体"/>
          <w:bCs/>
          <w:color w:val="auto"/>
          <w:kern w:val="0"/>
          <w:szCs w:val="24"/>
          <w:highlight w:val="none"/>
          <w:u w:val="none"/>
          <w:lang w:val="en-US" w:eastAsia="zh-CN"/>
        </w:rPr>
        <w:t>（2）上述机构面向投资者发行的金融产品，信托公司管理的资产服务信托、公益慈善信托；</w:t>
      </w:r>
    </w:p>
    <w:p w14:paraId="26A50EB3">
      <w:pPr>
        <w:tabs>
          <w:tab w:val="left" w:pos="709"/>
        </w:tabs>
        <w:snapToGrid w:val="0"/>
        <w:spacing w:line="360" w:lineRule="auto"/>
        <w:ind w:firstLine="480" w:firstLineChars="200"/>
        <w:rPr>
          <w:rFonts w:hint="eastAsia" w:ascii="仿宋_GB2312" w:hAnsi="宋体" w:cs="宋体"/>
          <w:bCs/>
          <w:color w:val="auto"/>
          <w:kern w:val="0"/>
          <w:szCs w:val="24"/>
          <w:highlight w:val="none"/>
          <w:u w:val="none"/>
          <w:lang w:val="en-US" w:eastAsia="zh-CN"/>
        </w:rPr>
      </w:pPr>
      <w:r>
        <w:rPr>
          <w:rFonts w:hint="eastAsia" w:ascii="仿宋_GB2312" w:hAnsi="宋体" w:cs="宋体"/>
          <w:bCs/>
          <w:color w:val="auto"/>
          <w:kern w:val="0"/>
          <w:szCs w:val="24"/>
          <w:highlight w:val="none"/>
          <w:u w:val="none"/>
          <w:lang w:val="en-US" w:eastAsia="zh-CN"/>
        </w:rPr>
        <w:t>（3）社会保障基金、企业年金、职业年金等养老基金，慈善基金等社会公益基金，合格境外机构投资者（QFII）、人民币合格境外机构投资者（RQFII）。</w:t>
      </w:r>
    </w:p>
    <w:p w14:paraId="4713935C">
      <w:pPr>
        <w:tabs>
          <w:tab w:val="left" w:pos="709"/>
        </w:tabs>
        <w:snapToGrid w:val="0"/>
        <w:spacing w:line="360" w:lineRule="auto"/>
        <w:ind w:firstLine="480" w:firstLineChars="200"/>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lang w:val="en-US" w:eastAsia="zh-CN"/>
        </w:rPr>
        <w:t>7.普通投资者：专业投资者之外的投资者为普通投资者。</w:t>
      </w:r>
    </w:p>
    <w:p w14:paraId="1B9F9218">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lang w:val="en-US" w:eastAsia="zh-CN"/>
        </w:rPr>
        <w:t>8</w:t>
      </w:r>
      <w:r>
        <w:rPr>
          <w:rFonts w:hint="eastAsia" w:ascii="仿宋_GB2312" w:hAnsi="宋体" w:cs="宋体"/>
          <w:bCs/>
          <w:color w:val="auto"/>
          <w:kern w:val="0"/>
          <w:szCs w:val="24"/>
          <w:highlight w:val="none"/>
          <w:u w:val="none"/>
        </w:rPr>
        <w:t>.全国银行业理财信息登记系统：指供商业银行及商业银行理财公司进行理财产品电子化报告和信息登记的电子信息系统。</w:t>
      </w:r>
    </w:p>
    <w:p w14:paraId="0DBD32B4">
      <w:pPr>
        <w:pStyle w:val="3"/>
        <w:ind w:firstLine="482"/>
        <w:rPr>
          <w:rFonts w:ascii="仿宋_GB2312" w:hAnsi="宋体" w:cs="宋体"/>
          <w:bCs/>
          <w:color w:val="auto"/>
          <w:kern w:val="0"/>
          <w:szCs w:val="24"/>
          <w:highlight w:val="none"/>
        </w:rPr>
      </w:pPr>
      <w:r>
        <w:rPr>
          <w:rFonts w:hint="eastAsia" w:ascii="仿宋_GB2312" w:hAnsi="宋体" w:cs="宋体"/>
          <w:bCs/>
          <w:color w:val="auto"/>
          <w:kern w:val="0"/>
          <w:szCs w:val="24"/>
          <w:highlight w:val="none"/>
        </w:rPr>
        <w:t xml:space="preserve">法律文件用语 </w:t>
      </w:r>
    </w:p>
    <w:p w14:paraId="05C50550">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1.理财产品销售文件/销售文件：指产品管理人向投资者提供的，用于描述产品特征，约定权利义务的文件。具体指浙银理财</w:t>
      </w:r>
      <w:r>
        <w:rPr>
          <w:rFonts w:hint="eastAsia" w:ascii="仿宋_GB2312" w:hAnsi="宋体" w:cs="宋体"/>
          <w:bCs/>
          <w:color w:val="auto"/>
          <w:kern w:val="0"/>
          <w:szCs w:val="24"/>
          <w:highlight w:val="none"/>
          <w:lang w:eastAsia="zh-CN"/>
        </w:rPr>
        <w:t>琮简富春286号</w:t>
      </w:r>
      <w:r>
        <w:rPr>
          <w:rFonts w:hint="eastAsia" w:ascii="仿宋_GB2312" w:hAnsi="宋体" w:cs="宋体"/>
          <w:bCs/>
          <w:color w:val="auto"/>
          <w:kern w:val="0"/>
          <w:szCs w:val="24"/>
          <w:highlight w:val="none"/>
          <w:u w:val="none"/>
        </w:rPr>
        <w:t>理财产品全套销售文件，包括《投资协议书》、《产品说明书》、《（代理）销售协议书》、《风险揭示书》、《投资者权益须知》以及对该文件的有效修改或补充。上述文件共同构成一份完整且不可分割的理财产品销售文件。经产品管理人委托，代理销售机构可以编制《（代理）销售协议书》、《风险揭示书》、《投资者权益须知》。</w:t>
      </w:r>
    </w:p>
    <w:p w14:paraId="4D3936EC">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2.《投资协议书》：指管理人统一编制的《浙银理财理财产品投资协议书》，以及对该文件的有效修改或补充。</w:t>
      </w:r>
    </w:p>
    <w:p w14:paraId="5915B6AC">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3.《产品说明书》：指管理人统一编制的《浙银理财</w:t>
      </w:r>
      <w:r>
        <w:rPr>
          <w:rFonts w:hint="eastAsia" w:ascii="仿宋_GB2312" w:hAnsi="宋体" w:cs="宋体"/>
          <w:bCs/>
          <w:color w:val="auto"/>
          <w:kern w:val="0"/>
          <w:szCs w:val="24"/>
          <w:highlight w:val="none"/>
          <w:lang w:eastAsia="zh-CN"/>
        </w:rPr>
        <w:t>琮简富春286号</w:t>
      </w:r>
      <w:r>
        <w:rPr>
          <w:rFonts w:hint="eastAsia" w:ascii="仿宋_GB2312" w:hAnsi="宋体" w:cs="宋体"/>
          <w:bCs/>
          <w:color w:val="auto"/>
          <w:kern w:val="0"/>
          <w:szCs w:val="24"/>
          <w:highlight w:val="none"/>
          <w:u w:val="none"/>
        </w:rPr>
        <w:t>理财产品说明书》，以及对该文件的有效修改或补充。</w:t>
      </w:r>
    </w:p>
    <w:p w14:paraId="09AAF19E">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4.《（代理）销售协议书》：指管理人统一编制的《浙银理财理财产品（代理）销售协议书》或代理销售机构接受产品管理人委托自行编制的《理财产品（代理）销售协议书》（文件名称以代理销售机构实际编制为准），以及对该文件的有效修改或补充。</w:t>
      </w:r>
    </w:p>
    <w:p w14:paraId="51BC2C4F">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5.《风险揭示书》：指管理人统一编制的《浙银理财</w:t>
      </w:r>
      <w:r>
        <w:rPr>
          <w:rFonts w:hint="eastAsia" w:ascii="仿宋_GB2312" w:hAnsi="宋体" w:cs="宋体"/>
          <w:bCs/>
          <w:color w:val="auto"/>
          <w:kern w:val="0"/>
          <w:szCs w:val="24"/>
          <w:highlight w:val="none"/>
          <w:lang w:eastAsia="zh-CN"/>
        </w:rPr>
        <w:t>琮简富春286号</w:t>
      </w:r>
      <w:r>
        <w:rPr>
          <w:rFonts w:hint="eastAsia" w:ascii="仿宋_GB2312" w:hAnsi="宋体" w:cs="宋体"/>
          <w:bCs/>
          <w:color w:val="auto"/>
          <w:kern w:val="0"/>
          <w:szCs w:val="24"/>
          <w:highlight w:val="none"/>
          <w:u w:val="none"/>
        </w:rPr>
        <w:t>理财产品风险揭示书》或代理销售机构接受产品管理人委托自行编制的《浙银理财</w:t>
      </w:r>
      <w:r>
        <w:rPr>
          <w:rFonts w:hint="eastAsia" w:ascii="仿宋_GB2312" w:hAnsi="宋体" w:cs="宋体"/>
          <w:bCs/>
          <w:color w:val="auto"/>
          <w:kern w:val="0"/>
          <w:szCs w:val="24"/>
          <w:highlight w:val="none"/>
          <w:lang w:eastAsia="zh-CN"/>
        </w:rPr>
        <w:t>琮简富春286号</w:t>
      </w:r>
      <w:r>
        <w:rPr>
          <w:rFonts w:hint="eastAsia" w:ascii="仿宋_GB2312" w:hAnsi="宋体" w:cs="宋体"/>
          <w:bCs/>
          <w:color w:val="auto"/>
          <w:kern w:val="0"/>
          <w:szCs w:val="24"/>
          <w:highlight w:val="none"/>
          <w:u w:val="none"/>
        </w:rPr>
        <w:t>理财产品风险揭示书》（文件名称以代理销售机构实际编制为准），以及对该文件的有效修改或补充。</w:t>
      </w:r>
    </w:p>
    <w:p w14:paraId="4544475C">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u w:val="none"/>
        </w:rPr>
        <w:t>6.《投资者权益须知》：指管理人统一编制的《理财产品投资者权益须知》或代理销售机构接受产品管理人委托自行编制的《理财产品投资者权益须知》（文件名称以代理销售机构实际编制为准），以及对该文件的有效修改或补充。</w:t>
      </w:r>
    </w:p>
    <w:p w14:paraId="6887C7BC">
      <w:pPr>
        <w:pStyle w:val="3"/>
        <w:ind w:firstLine="482"/>
        <w:rPr>
          <w:rFonts w:ascii="仿宋_GB2312" w:hAnsi="宋体" w:cs="宋体"/>
          <w:bCs/>
          <w:color w:val="auto"/>
          <w:kern w:val="0"/>
          <w:szCs w:val="24"/>
          <w:highlight w:val="none"/>
        </w:rPr>
      </w:pPr>
      <w:r>
        <w:rPr>
          <w:rFonts w:hint="eastAsia" w:ascii="仿宋_GB2312" w:hAnsi="宋体" w:cs="宋体"/>
          <w:bCs/>
          <w:color w:val="auto"/>
          <w:kern w:val="0"/>
          <w:szCs w:val="24"/>
          <w:highlight w:val="none"/>
        </w:rPr>
        <w:t xml:space="preserve">理财产品用语 </w:t>
      </w:r>
    </w:p>
    <w:p w14:paraId="1C87A267">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1.理财产品登记编码</w:t>
      </w:r>
      <w:r>
        <w:rPr>
          <w:rFonts w:hint="eastAsia" w:ascii="仿宋_GB2312" w:hAnsi="宋体" w:cs="宋体"/>
          <w:bCs/>
          <w:color w:val="auto"/>
          <w:kern w:val="0"/>
          <w:szCs w:val="24"/>
          <w:highlight w:val="none"/>
          <w:u w:val="none"/>
          <w:lang w:val="en-US" w:eastAsia="zh-CN"/>
        </w:rPr>
        <w:t>/产品登记编码</w:t>
      </w:r>
      <w:r>
        <w:rPr>
          <w:rFonts w:hint="eastAsia" w:ascii="仿宋_GB2312" w:hAnsi="宋体" w:cs="宋体"/>
          <w:bCs/>
          <w:color w:val="auto"/>
          <w:kern w:val="0"/>
          <w:szCs w:val="24"/>
          <w:highlight w:val="none"/>
          <w:u w:val="none"/>
        </w:rPr>
        <w:t>：指本款理财产品在全国银行业理财信息登记系统对理财产品进行信息登记后，由全国银行业理财信息登记系统发放的唯一性的理财产品编码。投资者可依据登记编码在中国理财网（www.chinawealth.com.cn）查询产品信息。</w:t>
      </w:r>
    </w:p>
    <w:p w14:paraId="2F496BAF">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2.理财产品代码/产品代码：指产品管理人在全国银行业理财信息登记系统中为理财产品设置的内部识别码。</w:t>
      </w:r>
    </w:p>
    <w:p w14:paraId="5FF547D0">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3.理财产品销售代码/销售代码</w:t>
      </w:r>
      <w:r>
        <w:rPr>
          <w:rFonts w:hint="eastAsia" w:ascii="仿宋_GB2312" w:hAnsi="宋体" w:cs="宋体"/>
          <w:bCs/>
          <w:color w:val="auto"/>
          <w:kern w:val="0"/>
          <w:szCs w:val="24"/>
          <w:highlight w:val="none"/>
          <w:u w:val="none"/>
          <w:lang w:val="en-US" w:eastAsia="zh-CN"/>
        </w:rPr>
        <w:t>/份额代码</w:t>
      </w:r>
      <w:r>
        <w:rPr>
          <w:rFonts w:hint="eastAsia" w:ascii="仿宋_GB2312" w:hAnsi="宋体" w:cs="宋体"/>
          <w:bCs/>
          <w:color w:val="auto"/>
          <w:kern w:val="0"/>
          <w:szCs w:val="24"/>
          <w:highlight w:val="none"/>
          <w:u w:val="none"/>
        </w:rPr>
        <w:t>：指本款理财产品若设置不同产品份额类别，为在理财产品销售管理过程中区分不同产品份额类别，管理人在同一理财产品代码项下，为每类份额类别设置的唯一性内部识别码。</w:t>
      </w:r>
    </w:p>
    <w:p w14:paraId="6577E184">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4.理财产品风险等级：理财产品风险等级为产品管理人和销售机构经过审慎评估后确定的产品风险等级。若本产品通过代理销售机构销售的，理财产品风险等级以代理销售机构最终披露的风险等级结果为准。产品管理人和代理销售机构对理财产品的风险等级评估结果不一致时，代理销售机构应采用对应较高风险的评级结果。</w:t>
      </w:r>
      <w:r>
        <w:rPr>
          <w:rFonts w:hint="eastAsia" w:ascii="宋体" w:hAnsi="宋体"/>
          <w:b/>
          <w:bCs/>
          <w:color w:val="auto"/>
          <w:szCs w:val="24"/>
          <w:highlight w:val="none"/>
        </w:rPr>
        <w:t>产品管理人在符合监管政策的前提下可对产品风险评级进行动态管理，如产品风险等级发生调整，将提前通过本《产品说明书》“信息披露”约定的方式通知投资者。</w:t>
      </w:r>
    </w:p>
    <w:p w14:paraId="0E46CD0E">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5.投资者风险承受能力评估：指销售机构对理财投资者的风险承受能力进行评价的过程。</w:t>
      </w:r>
    </w:p>
    <w:p w14:paraId="74D37F4D">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6.理财产品份额：指投资者持有本理财产品的单位数额。投资者基于其所持有的理财产品单位数额享有理财产品利益、承担理财产品风险。理财产品份额四舍五入保留2位小数。</w:t>
      </w:r>
    </w:p>
    <w:p w14:paraId="63FBF848">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7.理财产品资产净值/理财资产净值/产品资产净值：理财产品资产净值=理财产品资产总值-理财产品负债总值。</w:t>
      </w:r>
    </w:p>
    <w:p w14:paraId="157741FF">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理财产品资产总值是指理财产品拥有的各类有价证券、银行存款、应收款项及其他资产的价值总和。</w:t>
      </w:r>
    </w:p>
    <w:p w14:paraId="11DAA9C7">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理财产品负债总值是指理财产品运作及融资时形成的负债价值总和，包括融资资金本息、</w:t>
      </w:r>
      <w:r>
        <w:rPr>
          <w:rFonts w:hint="eastAsia" w:ascii="仿宋_GB2312" w:hAnsi="宋体" w:cs="宋体"/>
          <w:bCs/>
          <w:color w:val="auto"/>
          <w:kern w:val="0"/>
          <w:sz w:val="22"/>
          <w:highlight w:val="none"/>
        </w:rPr>
        <w:t>应付各项费用</w:t>
      </w:r>
      <w:r>
        <w:rPr>
          <w:rFonts w:hint="eastAsia" w:ascii="仿宋_GB2312" w:hAnsi="宋体" w:cs="宋体"/>
          <w:bCs/>
          <w:color w:val="auto"/>
          <w:kern w:val="0"/>
          <w:szCs w:val="24"/>
          <w:highlight w:val="none"/>
        </w:rPr>
        <w:t>（包括</w:t>
      </w:r>
      <w:r>
        <w:rPr>
          <w:rFonts w:hint="eastAsia" w:ascii="仿宋_GB2312" w:hAnsi="宋体" w:cs="宋体"/>
          <w:bCs/>
          <w:color w:val="auto"/>
          <w:kern w:val="0"/>
          <w:szCs w:val="24"/>
          <w:highlight w:val="none"/>
          <w:lang w:eastAsia="zh-CN"/>
        </w:rPr>
        <w:t>托管费</w:t>
      </w:r>
      <w:r>
        <w:rPr>
          <w:rFonts w:hint="eastAsia" w:ascii="仿宋_GB2312" w:hAnsi="宋体" w:cs="宋体"/>
          <w:bCs/>
          <w:color w:val="auto"/>
          <w:kern w:val="0"/>
          <w:szCs w:val="24"/>
          <w:highlight w:val="none"/>
        </w:rPr>
        <w:t>、认购费、</w:t>
      </w:r>
      <w:r>
        <w:rPr>
          <w:rFonts w:hint="eastAsia" w:ascii="仿宋_GB2312" w:hAnsi="宋体" w:cs="宋体"/>
          <w:bCs/>
          <w:color w:val="auto"/>
          <w:kern w:val="0"/>
          <w:szCs w:val="24"/>
          <w:highlight w:val="none"/>
          <w:lang w:eastAsia="zh-CN"/>
        </w:rPr>
        <w:t>固定管理费</w:t>
      </w:r>
      <w:r>
        <w:rPr>
          <w:rFonts w:hint="eastAsia" w:ascii="仿宋_GB2312" w:hAnsi="宋体" w:cs="宋体"/>
          <w:bCs/>
          <w:color w:val="auto"/>
          <w:kern w:val="0"/>
          <w:szCs w:val="24"/>
          <w:highlight w:val="none"/>
        </w:rPr>
        <w:t>、</w:t>
      </w:r>
      <w:r>
        <w:rPr>
          <w:rFonts w:hint="eastAsia" w:ascii="仿宋_GB2312" w:hAnsi="宋体" w:cs="宋体"/>
          <w:bCs/>
          <w:color w:val="auto"/>
          <w:kern w:val="0"/>
          <w:szCs w:val="24"/>
          <w:highlight w:val="none"/>
          <w:lang w:eastAsia="zh-CN"/>
        </w:rPr>
        <w:t>浮动管理费</w:t>
      </w:r>
      <w:r>
        <w:rPr>
          <w:rFonts w:hint="eastAsia" w:ascii="仿宋_GB2312" w:hAnsi="宋体" w:cs="宋体"/>
          <w:bCs/>
          <w:color w:val="auto"/>
          <w:kern w:val="0"/>
          <w:szCs w:val="24"/>
          <w:highlight w:val="none"/>
        </w:rPr>
        <w:t>、其他费用等）、应付税金及其他应付款项等。</w:t>
      </w:r>
    </w:p>
    <w:p w14:paraId="309DCF6A">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8.理财产品份额净值/理财份额净值/产品份额净值：指理财产品份额的单位净值，即每1份理财产品份额以人民币计价的价格。理财产品份额净值=理财资产净值/产品总份额。投资者按该份额净值进行理财产品申购、赎回时分配。理财产品份额净值四舍五入保留【</w:t>
      </w:r>
      <w:r>
        <w:rPr>
          <w:rFonts w:hint="eastAsia" w:ascii="仿宋_GB2312" w:hAnsi="宋体" w:cs="宋体"/>
          <w:bCs/>
          <w:color w:val="auto"/>
          <w:kern w:val="0"/>
          <w:szCs w:val="24"/>
          <w:highlight w:val="none"/>
          <w:lang w:val="en-US" w:eastAsia="zh-CN"/>
        </w:rPr>
        <w:t>6</w:t>
      </w:r>
      <w:r>
        <w:rPr>
          <w:rFonts w:hint="eastAsia" w:ascii="仿宋_GB2312" w:hAnsi="宋体" w:cs="宋体"/>
          <w:bCs/>
          <w:color w:val="auto"/>
          <w:kern w:val="0"/>
          <w:szCs w:val="24"/>
          <w:highlight w:val="none"/>
        </w:rPr>
        <w:t>位】小数。</w:t>
      </w:r>
    </w:p>
    <w:p w14:paraId="308214F1">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理财产品份额净值可以展示为</w:t>
      </w:r>
      <w:r>
        <w:rPr>
          <w:rFonts w:ascii="仿宋_GB2312" w:hAnsi="宋体" w:cs="宋体"/>
          <w:b/>
          <w:color w:val="auto"/>
          <w:kern w:val="0"/>
          <w:szCs w:val="24"/>
          <w:highlight w:val="none"/>
        </w:rPr>
        <w:t>当前理财产品份额净值</w:t>
      </w:r>
      <w:r>
        <w:rPr>
          <w:rFonts w:hint="eastAsia" w:ascii="仿宋_GB2312" w:hAnsi="宋体" w:cs="宋体"/>
          <w:bCs/>
          <w:color w:val="auto"/>
          <w:kern w:val="0"/>
          <w:szCs w:val="24"/>
          <w:highlight w:val="none"/>
        </w:rPr>
        <w:t>和</w:t>
      </w:r>
      <w:r>
        <w:rPr>
          <w:rFonts w:ascii="仿宋_GB2312" w:hAnsi="宋体" w:cs="宋体"/>
          <w:b/>
          <w:color w:val="auto"/>
          <w:kern w:val="0"/>
          <w:szCs w:val="24"/>
          <w:highlight w:val="none"/>
        </w:rPr>
        <w:t>累计理财产品份额净值</w:t>
      </w:r>
      <w:r>
        <w:rPr>
          <w:rFonts w:hint="eastAsia" w:ascii="仿宋_GB2312" w:hAnsi="宋体" w:cs="宋体"/>
          <w:bCs/>
          <w:color w:val="auto"/>
          <w:kern w:val="0"/>
          <w:szCs w:val="24"/>
          <w:highlight w:val="none"/>
        </w:rPr>
        <w:t>。</w:t>
      </w:r>
    </w:p>
    <w:p w14:paraId="0B556216">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当前理财产品份额净值，指产品当前的份额净值。</w:t>
      </w:r>
    </w:p>
    <w:p w14:paraId="31DF5BDD">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累计理财产品份额净值，指产品当前份额净值及产品成立到现在单位理财产品份额分红之和。</w:t>
      </w:r>
    </w:p>
    <w:p w14:paraId="09EF0454">
      <w:pPr>
        <w:tabs>
          <w:tab w:val="left" w:pos="709"/>
        </w:tabs>
        <w:snapToGrid w:val="0"/>
        <w:spacing w:line="360" w:lineRule="auto"/>
        <w:ind w:firstLine="482" w:firstLineChars="200"/>
        <w:rPr>
          <w:rFonts w:ascii="仿宋_GB2312" w:hAnsi="宋体" w:cs="宋体"/>
          <w:b/>
          <w:color w:val="auto"/>
          <w:kern w:val="0"/>
          <w:szCs w:val="24"/>
          <w:highlight w:val="none"/>
        </w:rPr>
      </w:pPr>
      <w:r>
        <w:rPr>
          <w:rFonts w:ascii="仿宋_GB2312" w:hAnsi="宋体" w:cs="宋体"/>
          <w:b/>
          <w:color w:val="auto"/>
          <w:kern w:val="0"/>
          <w:szCs w:val="24"/>
          <w:highlight w:val="none"/>
        </w:rPr>
        <w:t>（注：若无特别说明，理财产品份额净值通常指当前理财产品份额净值）</w:t>
      </w:r>
    </w:p>
    <w:p w14:paraId="631F4DDE">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9.理财产品估值：指计算评估理财产品资产和理财产品负债的价值，以确定理财产品份额净值的过程。</w:t>
      </w:r>
    </w:p>
    <w:p w14:paraId="769282D2">
      <w:pPr>
        <w:tabs>
          <w:tab w:val="left" w:pos="709"/>
        </w:tabs>
        <w:snapToGrid w:val="0"/>
        <w:spacing w:line="360" w:lineRule="auto"/>
        <w:ind w:firstLine="480" w:firstLineChars="200"/>
        <w:rPr>
          <w:rFonts w:ascii="仿宋_GB2312" w:hAnsi="宋体" w:cs="宋体"/>
          <w:b/>
          <w:color w:val="auto"/>
          <w:kern w:val="0"/>
          <w:szCs w:val="24"/>
          <w:highlight w:val="none"/>
        </w:rPr>
      </w:pPr>
      <w:r>
        <w:rPr>
          <w:rFonts w:hint="eastAsia" w:ascii="仿宋_GB2312" w:hAnsi="宋体" w:cs="宋体"/>
          <w:bCs/>
          <w:color w:val="auto"/>
          <w:kern w:val="0"/>
          <w:szCs w:val="24"/>
          <w:highlight w:val="none"/>
        </w:rPr>
        <w:t>10.业绩比较基准：指管理人基于过往投资经验及对产品存续期投资市场波动的预判而对本产品所设定的投资目标。</w:t>
      </w:r>
      <w:r>
        <w:rPr>
          <w:rFonts w:ascii="仿宋_GB2312" w:hAnsi="宋体" w:cs="宋体"/>
          <w:b/>
          <w:color w:val="auto"/>
          <w:kern w:val="0"/>
          <w:szCs w:val="24"/>
          <w:highlight w:val="none"/>
        </w:rPr>
        <w:t>业绩比较基准不代表理财产品未来表现，不等于理财产品实际收益，不作为产品收益的业绩保证，投资须谨慎。</w:t>
      </w:r>
    </w:p>
    <w:p w14:paraId="5DB644EE">
      <w:pPr>
        <w:tabs>
          <w:tab w:val="left" w:pos="709"/>
        </w:tabs>
        <w:snapToGrid w:val="0"/>
        <w:spacing w:line="360" w:lineRule="auto"/>
        <w:ind w:firstLine="480" w:firstLineChars="200"/>
        <w:rPr>
          <w:rFonts w:ascii="仿宋_GB2312" w:hAnsi="宋体" w:cs="宋体"/>
          <w:b/>
          <w:color w:val="auto"/>
          <w:kern w:val="0"/>
          <w:szCs w:val="24"/>
          <w:highlight w:val="none"/>
        </w:rPr>
      </w:pPr>
      <w:r>
        <w:rPr>
          <w:rFonts w:hint="eastAsia" w:ascii="仿宋_GB2312" w:hAnsi="宋体" w:cs="宋体"/>
          <w:bCs/>
          <w:color w:val="auto"/>
          <w:kern w:val="0"/>
          <w:szCs w:val="24"/>
          <w:highlight w:val="none"/>
        </w:rPr>
        <w:t>11.</w:t>
      </w:r>
      <w:r>
        <w:rPr>
          <w:rFonts w:hint="eastAsia" w:ascii="仿宋_GB2312" w:hAnsi="宋体" w:cs="宋体"/>
          <w:bCs/>
          <w:color w:val="auto"/>
          <w:kern w:val="0"/>
          <w:szCs w:val="24"/>
          <w:highlight w:val="none"/>
          <w:lang w:eastAsia="zh-CN"/>
        </w:rPr>
        <w:t>浮动管理费</w:t>
      </w:r>
      <w:r>
        <w:rPr>
          <w:rFonts w:hint="eastAsia" w:ascii="仿宋_GB2312" w:hAnsi="宋体" w:cs="宋体"/>
          <w:bCs/>
          <w:color w:val="auto"/>
          <w:kern w:val="0"/>
          <w:szCs w:val="24"/>
          <w:highlight w:val="none"/>
        </w:rPr>
        <w:t>计提基准：指管理人收取</w:t>
      </w:r>
      <w:r>
        <w:rPr>
          <w:rFonts w:hint="eastAsia" w:ascii="仿宋_GB2312" w:hAnsi="宋体" w:cs="宋体"/>
          <w:bCs/>
          <w:color w:val="auto"/>
          <w:kern w:val="0"/>
          <w:szCs w:val="24"/>
          <w:highlight w:val="none"/>
          <w:lang w:eastAsia="zh-CN"/>
        </w:rPr>
        <w:t>浮动管理费</w:t>
      </w:r>
      <w:r>
        <w:rPr>
          <w:rFonts w:hint="eastAsia" w:ascii="仿宋_GB2312" w:hAnsi="宋体" w:cs="宋体"/>
          <w:bCs/>
          <w:color w:val="auto"/>
          <w:kern w:val="0"/>
          <w:szCs w:val="24"/>
          <w:highlight w:val="none"/>
        </w:rPr>
        <w:t>的参照相关数值标准。</w:t>
      </w:r>
      <w:r>
        <w:rPr>
          <w:rFonts w:hint="eastAsia" w:ascii="仿宋_GB2312" w:hAnsi="宋体" w:cs="宋体"/>
          <w:b/>
          <w:color w:val="auto"/>
          <w:kern w:val="0"/>
          <w:szCs w:val="24"/>
          <w:highlight w:val="none"/>
          <w:lang w:eastAsia="zh-CN"/>
        </w:rPr>
        <w:t>浮动管理费</w:t>
      </w:r>
      <w:r>
        <w:rPr>
          <w:rFonts w:hint="eastAsia" w:ascii="仿宋_GB2312" w:hAnsi="宋体" w:cs="宋体"/>
          <w:b/>
          <w:color w:val="auto"/>
          <w:kern w:val="0"/>
          <w:szCs w:val="24"/>
          <w:highlight w:val="none"/>
        </w:rPr>
        <w:t>计提基准</w:t>
      </w:r>
      <w:r>
        <w:rPr>
          <w:rFonts w:ascii="仿宋_GB2312" w:hAnsi="宋体" w:cs="宋体"/>
          <w:b/>
          <w:color w:val="auto"/>
          <w:kern w:val="0"/>
          <w:szCs w:val="24"/>
          <w:highlight w:val="none"/>
        </w:rPr>
        <w:t>不代表理财产品未来表现，不等于理财产品实际收益，不作为产品收益的业绩保证，投资须谨慎。</w:t>
      </w:r>
    </w:p>
    <w:p w14:paraId="7FBF60A7">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12.理财产品利益/理财利益</w:t>
      </w:r>
      <w:r>
        <w:rPr>
          <w:rFonts w:hint="eastAsia" w:ascii="仿宋_GB2312" w:hAnsi="宋体" w:cs="宋体"/>
          <w:bCs/>
          <w:color w:val="auto"/>
          <w:kern w:val="0"/>
          <w:szCs w:val="24"/>
          <w:highlight w:val="none"/>
          <w:u w:val="none"/>
          <w:lang w:val="en-US" w:eastAsia="zh-CN"/>
        </w:rPr>
        <w:t>/理财产品收益/理财收益</w:t>
      </w:r>
      <w:r>
        <w:rPr>
          <w:rFonts w:hint="eastAsia" w:ascii="仿宋_GB2312" w:hAnsi="宋体" w:cs="宋体"/>
          <w:bCs/>
          <w:color w:val="auto"/>
          <w:kern w:val="0"/>
          <w:szCs w:val="24"/>
          <w:highlight w:val="none"/>
          <w:u w:val="none"/>
        </w:rPr>
        <w:t>：指投资者因持有理财产品份额，按照销售文件约定取得或有权取得的理财产品管理人分配的理财产品资产。</w:t>
      </w:r>
    </w:p>
    <w:p w14:paraId="31FE7729">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13.</w:t>
      </w:r>
      <w:r>
        <w:rPr>
          <w:rFonts w:hint="eastAsia" w:ascii="仿宋_GB2312" w:hAnsi="宋体" w:cs="宋体"/>
          <w:bCs/>
          <w:color w:val="auto"/>
          <w:kern w:val="0"/>
          <w:szCs w:val="24"/>
          <w:highlight w:val="none"/>
          <w:u w:val="none"/>
          <w:lang w:eastAsia="zh-CN"/>
        </w:rPr>
        <w:t>收益</w:t>
      </w:r>
      <w:r>
        <w:rPr>
          <w:rFonts w:hint="eastAsia" w:ascii="仿宋_GB2312" w:hAnsi="宋体" w:cs="宋体"/>
          <w:bCs/>
          <w:color w:val="auto"/>
          <w:kern w:val="0"/>
          <w:szCs w:val="24"/>
          <w:highlight w:val="none"/>
          <w:u w:val="none"/>
        </w:rPr>
        <w:t>分配：指产品管理人向投资者进行理财产品</w:t>
      </w:r>
      <w:r>
        <w:rPr>
          <w:rFonts w:hint="eastAsia" w:ascii="仿宋_GB2312" w:hAnsi="宋体" w:cs="宋体"/>
          <w:bCs/>
          <w:color w:val="auto"/>
          <w:kern w:val="0"/>
          <w:szCs w:val="24"/>
          <w:highlight w:val="none"/>
          <w:u w:val="none"/>
          <w:lang w:eastAsia="zh-CN"/>
        </w:rPr>
        <w:t>收益</w:t>
      </w:r>
      <w:r>
        <w:rPr>
          <w:rFonts w:hint="eastAsia" w:ascii="仿宋_GB2312" w:hAnsi="宋体" w:cs="宋体"/>
          <w:bCs/>
          <w:color w:val="auto"/>
          <w:kern w:val="0"/>
          <w:szCs w:val="24"/>
          <w:highlight w:val="none"/>
          <w:u w:val="none"/>
        </w:rPr>
        <w:t xml:space="preserve">分配。 </w:t>
      </w:r>
    </w:p>
    <w:p w14:paraId="40A76997">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14.期间分配：指在理财产品终止日（不含当日）前的理财产品</w:t>
      </w:r>
      <w:r>
        <w:rPr>
          <w:rFonts w:hint="eastAsia" w:ascii="仿宋_GB2312" w:hAnsi="宋体" w:cs="宋体"/>
          <w:bCs/>
          <w:color w:val="auto"/>
          <w:kern w:val="0"/>
          <w:szCs w:val="24"/>
          <w:highlight w:val="none"/>
          <w:u w:val="none"/>
          <w:lang w:eastAsia="zh-CN"/>
        </w:rPr>
        <w:t>收益</w:t>
      </w:r>
      <w:r>
        <w:rPr>
          <w:rFonts w:hint="eastAsia" w:ascii="仿宋_GB2312" w:hAnsi="宋体" w:cs="宋体"/>
          <w:bCs/>
          <w:color w:val="auto"/>
          <w:kern w:val="0"/>
          <w:szCs w:val="24"/>
          <w:highlight w:val="none"/>
          <w:u w:val="none"/>
        </w:rPr>
        <w:t xml:space="preserve">分配。 </w:t>
      </w:r>
    </w:p>
    <w:p w14:paraId="2DACFB9C">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15.终止分配：指在理财产品终止日当日及之后的理财产品</w:t>
      </w:r>
      <w:r>
        <w:rPr>
          <w:rFonts w:hint="eastAsia" w:ascii="仿宋_GB2312" w:hAnsi="宋体" w:cs="宋体"/>
          <w:bCs/>
          <w:color w:val="auto"/>
          <w:kern w:val="0"/>
          <w:szCs w:val="24"/>
          <w:highlight w:val="none"/>
          <w:u w:val="none"/>
          <w:lang w:eastAsia="zh-CN"/>
        </w:rPr>
        <w:t>收益</w:t>
      </w:r>
      <w:r>
        <w:rPr>
          <w:rFonts w:hint="eastAsia" w:ascii="仿宋_GB2312" w:hAnsi="宋体" w:cs="宋体"/>
          <w:bCs/>
          <w:color w:val="auto"/>
          <w:kern w:val="0"/>
          <w:szCs w:val="24"/>
          <w:highlight w:val="none"/>
          <w:u w:val="none"/>
        </w:rPr>
        <w:t>分配。</w:t>
      </w:r>
    </w:p>
    <w:p w14:paraId="69A3019A">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 xml:space="preserve">16.认购：指投资者根据本协议约定在认购期/募集期内申请购买本产品理财产品份额的行为。 </w:t>
      </w:r>
    </w:p>
    <w:p w14:paraId="0007CCD3">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17.申购：指理财产品成立后，在理财产品申购期内，投资者申请购买理财产品份额的行为。</w:t>
      </w:r>
    </w:p>
    <w:p w14:paraId="2F8AC77A">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首次申购，指未进行认购的投资者，在理财产品成立后申请购买理财产品份额的行为。投资者全额赎回不再持有理财产品份额后再次申购的，视同首次申购处理。</w:t>
      </w:r>
    </w:p>
    <w:p w14:paraId="181D2F40">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追加申购，指已经完成认购或首次申购的投资者，在理财产品成立后申请购买理财产品份额的行为。</w:t>
      </w:r>
    </w:p>
    <w:p w14:paraId="1CDC813F">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18.赎回：指理财产品成立后，在理财产品赎回期内，投资者申请赎回理财产品份额的行为，即投资者申请将理财产品份额兑换为现金。</w:t>
      </w:r>
    </w:p>
    <w:p w14:paraId="091F91B1">
      <w:pPr>
        <w:pStyle w:val="3"/>
        <w:ind w:firstLine="482"/>
        <w:rPr>
          <w:rFonts w:ascii="仿宋_GB2312" w:hAnsi="宋体" w:cs="宋体"/>
          <w:bCs/>
          <w:color w:val="auto"/>
          <w:kern w:val="0"/>
          <w:szCs w:val="24"/>
          <w:highlight w:val="none"/>
        </w:rPr>
      </w:pPr>
      <w:r>
        <w:rPr>
          <w:rFonts w:hint="eastAsia" w:ascii="仿宋_GB2312" w:hAnsi="宋体" w:cs="宋体"/>
          <w:bCs/>
          <w:color w:val="auto"/>
          <w:kern w:val="0"/>
          <w:szCs w:val="24"/>
          <w:highlight w:val="none"/>
        </w:rPr>
        <w:t xml:space="preserve">期间与日期 </w:t>
      </w:r>
    </w:p>
    <w:p w14:paraId="39998227">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1.日：指自然日。</w:t>
      </w:r>
    </w:p>
    <w:p w14:paraId="6C06A596">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 xml:space="preserve">2.交易日：指证券交易所的正常开盘交易日。 </w:t>
      </w:r>
    </w:p>
    <w:p w14:paraId="165610AB">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 xml:space="preserve">3.工作日：指国家法定工作日。 </w:t>
      </w:r>
    </w:p>
    <w:p w14:paraId="43B719D0">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4.成立日：指达到《产品说明书》约定的成立条件后本产品开始运作的日期。</w:t>
      </w:r>
    </w:p>
    <w:p w14:paraId="2E3394C5">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5.到期日/终止日：指本产品终止的日期，包括理财产品正常到期之日、提前终止之日及延期终止之日。根据《产品说明书》的约定，管理人有权在发生终止事件时终止该理财产品。如管理人终止理财产品，将通过约定方式向投资者进行信息披露。</w:t>
      </w:r>
    </w:p>
    <w:p w14:paraId="241D034F">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6.</w:t>
      </w:r>
      <w:r>
        <w:rPr>
          <w:rFonts w:hint="eastAsia" w:ascii="仿宋_GB2312" w:hAnsi="宋体" w:cs="宋体"/>
          <w:bCs/>
          <w:color w:val="auto"/>
          <w:kern w:val="0"/>
          <w:szCs w:val="24"/>
          <w:highlight w:val="none"/>
          <w:u w:val="none"/>
          <w:lang w:eastAsia="zh-CN"/>
        </w:rPr>
        <w:t>收益</w:t>
      </w:r>
      <w:r>
        <w:rPr>
          <w:rFonts w:hint="eastAsia" w:ascii="仿宋_GB2312" w:hAnsi="宋体" w:cs="宋体"/>
          <w:bCs/>
          <w:color w:val="auto"/>
          <w:kern w:val="0"/>
          <w:szCs w:val="24"/>
          <w:highlight w:val="none"/>
          <w:u w:val="none"/>
        </w:rPr>
        <w:t>分配基准日</w:t>
      </w:r>
      <w:r>
        <w:rPr>
          <w:rFonts w:hint="eastAsia" w:ascii="仿宋_GB2312" w:hAnsi="宋体" w:cs="宋体"/>
          <w:bCs/>
          <w:color w:val="auto"/>
          <w:kern w:val="0"/>
          <w:szCs w:val="24"/>
          <w:highlight w:val="none"/>
          <w:u w:val="none"/>
          <w:lang w:val="en-US" w:eastAsia="zh-CN"/>
        </w:rPr>
        <w:t>/</w:t>
      </w:r>
      <w:r>
        <w:rPr>
          <w:rFonts w:hint="eastAsia" w:ascii="仿宋_GB2312" w:hAnsi="宋体" w:cs="宋体"/>
          <w:bCs/>
          <w:color w:val="auto"/>
          <w:kern w:val="0"/>
          <w:szCs w:val="24"/>
          <w:highlight w:val="none"/>
          <w:u w:val="none"/>
        </w:rPr>
        <w:t>分配基准日：指本产品管理人以该日日终产品份额净值计算并确定可供分配的投资期间理财</w:t>
      </w:r>
      <w:r>
        <w:rPr>
          <w:rFonts w:hint="eastAsia" w:ascii="仿宋_GB2312" w:hAnsi="宋体" w:cs="宋体"/>
          <w:bCs/>
          <w:color w:val="auto"/>
          <w:kern w:val="0"/>
          <w:szCs w:val="24"/>
          <w:highlight w:val="none"/>
          <w:u w:val="none"/>
          <w:lang w:eastAsia="zh-CN"/>
        </w:rPr>
        <w:t>收益</w:t>
      </w:r>
      <w:r>
        <w:rPr>
          <w:rFonts w:hint="eastAsia" w:ascii="仿宋_GB2312" w:hAnsi="宋体" w:cs="宋体"/>
          <w:bCs/>
          <w:color w:val="auto"/>
          <w:kern w:val="0"/>
          <w:szCs w:val="24"/>
          <w:highlight w:val="none"/>
          <w:u w:val="none"/>
        </w:rPr>
        <w:t>的日期。</w:t>
      </w:r>
    </w:p>
    <w:p w14:paraId="1540A016">
      <w:pPr>
        <w:tabs>
          <w:tab w:val="left" w:pos="709"/>
        </w:tabs>
        <w:snapToGrid w:val="0"/>
        <w:spacing w:line="360" w:lineRule="auto"/>
        <w:ind w:firstLine="480" w:firstLineChars="200"/>
        <w:rPr>
          <w:rFonts w:hint="eastAsia" w:ascii="仿宋_GB2312" w:hAnsi="宋体" w:eastAsia="仿宋_GB2312" w:cs="宋体"/>
          <w:bCs/>
          <w:color w:val="auto"/>
          <w:kern w:val="0"/>
          <w:szCs w:val="24"/>
          <w:highlight w:val="none"/>
          <w:u w:val="none"/>
          <w:lang w:eastAsia="zh-CN"/>
        </w:rPr>
      </w:pPr>
      <w:r>
        <w:rPr>
          <w:rFonts w:hint="eastAsia" w:ascii="仿宋_GB2312" w:hAnsi="宋体" w:cs="宋体"/>
          <w:bCs/>
          <w:color w:val="auto"/>
          <w:kern w:val="0"/>
          <w:szCs w:val="24"/>
          <w:highlight w:val="none"/>
          <w:u w:val="none"/>
          <w:lang w:val="en-US" w:eastAsia="zh-CN"/>
        </w:rPr>
        <w:t>7.</w:t>
      </w:r>
      <w:r>
        <w:rPr>
          <w:rFonts w:hint="eastAsia" w:ascii="仿宋_GB2312" w:hAnsi="宋体" w:cs="宋体"/>
          <w:bCs/>
          <w:color w:val="auto"/>
          <w:kern w:val="0"/>
          <w:szCs w:val="24"/>
          <w:highlight w:val="none"/>
          <w:u w:val="none"/>
        </w:rPr>
        <w:t>除权日</w:t>
      </w:r>
      <w:r>
        <w:rPr>
          <w:rFonts w:hint="eastAsia" w:ascii="仿宋_GB2312" w:hAnsi="宋体" w:cs="宋体"/>
          <w:bCs/>
          <w:color w:val="auto"/>
          <w:kern w:val="0"/>
          <w:szCs w:val="24"/>
          <w:highlight w:val="none"/>
          <w:u w:val="none"/>
          <w:lang w:eastAsia="zh-CN"/>
        </w:rPr>
        <w:t>：指本产品的份额净值扣除收益分配金额的日期。</w:t>
      </w:r>
    </w:p>
    <w:p w14:paraId="02B7B1C4">
      <w:pPr>
        <w:tabs>
          <w:tab w:val="left" w:pos="709"/>
        </w:tabs>
        <w:snapToGrid w:val="0"/>
        <w:spacing w:line="360" w:lineRule="auto"/>
        <w:ind w:firstLine="480" w:firstLineChars="200"/>
        <w:rPr>
          <w:rFonts w:hint="eastAsia" w:ascii="仿宋_GB2312" w:hAnsi="宋体" w:eastAsia="仿宋_GB2312" w:cs="宋体"/>
          <w:bCs/>
          <w:color w:val="auto"/>
          <w:kern w:val="0"/>
          <w:szCs w:val="24"/>
          <w:highlight w:val="none"/>
          <w:u w:val="none"/>
          <w:lang w:eastAsia="zh-CN"/>
        </w:rPr>
      </w:pPr>
      <w:r>
        <w:rPr>
          <w:rFonts w:hint="eastAsia" w:ascii="仿宋_GB2312" w:hAnsi="宋体" w:cs="宋体"/>
          <w:bCs/>
          <w:color w:val="auto"/>
          <w:kern w:val="0"/>
          <w:szCs w:val="24"/>
          <w:highlight w:val="none"/>
          <w:u w:val="none"/>
          <w:lang w:val="en-US" w:eastAsia="zh-CN"/>
        </w:rPr>
        <w:t>8.</w:t>
      </w:r>
      <w:r>
        <w:rPr>
          <w:rFonts w:hint="eastAsia" w:ascii="仿宋_GB2312" w:hAnsi="宋体" w:cs="宋体"/>
          <w:bCs/>
          <w:color w:val="auto"/>
          <w:kern w:val="0"/>
          <w:szCs w:val="24"/>
          <w:highlight w:val="none"/>
          <w:u w:val="none"/>
          <w:lang w:eastAsia="zh-CN"/>
        </w:rPr>
        <w:t>权益登记日：指本产品理财产品收益分配时，权益登记日登记在册的理财产品份额持有人为分配对象。</w:t>
      </w:r>
    </w:p>
    <w:p w14:paraId="084991C4">
      <w:pPr>
        <w:tabs>
          <w:tab w:val="left" w:pos="709"/>
        </w:tabs>
        <w:snapToGrid w:val="0"/>
        <w:spacing w:line="360" w:lineRule="auto"/>
        <w:ind w:firstLine="480" w:firstLineChars="200"/>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lang w:val="en-US" w:eastAsia="zh-CN"/>
        </w:rPr>
        <w:t>9</w:t>
      </w:r>
      <w:r>
        <w:rPr>
          <w:rFonts w:hint="eastAsia" w:ascii="仿宋_GB2312" w:hAnsi="宋体" w:cs="宋体"/>
          <w:bCs/>
          <w:color w:val="auto"/>
          <w:kern w:val="0"/>
          <w:szCs w:val="24"/>
          <w:highlight w:val="none"/>
          <w:u w:val="none"/>
        </w:rPr>
        <w:t>.分配日：指产品管理人向投资者进行理财产品</w:t>
      </w:r>
      <w:r>
        <w:rPr>
          <w:rFonts w:hint="eastAsia" w:ascii="仿宋_GB2312" w:hAnsi="宋体" w:cs="宋体"/>
          <w:bCs/>
          <w:color w:val="auto"/>
          <w:kern w:val="0"/>
          <w:szCs w:val="24"/>
          <w:highlight w:val="none"/>
          <w:u w:val="none"/>
          <w:lang w:eastAsia="zh-CN"/>
        </w:rPr>
        <w:t>收益</w:t>
      </w:r>
      <w:r>
        <w:rPr>
          <w:rFonts w:hint="eastAsia" w:ascii="仿宋_GB2312" w:hAnsi="宋体" w:cs="宋体"/>
          <w:bCs/>
          <w:color w:val="auto"/>
          <w:kern w:val="0"/>
          <w:szCs w:val="24"/>
          <w:highlight w:val="none"/>
          <w:u w:val="none"/>
        </w:rPr>
        <w:t>分配的日期。</w:t>
      </w:r>
    </w:p>
    <w:p w14:paraId="249A7CB1">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lang w:val="en-US" w:eastAsia="zh-CN"/>
        </w:rPr>
        <w:t>10</w:t>
      </w:r>
      <w:r>
        <w:rPr>
          <w:rFonts w:hint="eastAsia" w:ascii="仿宋_GB2312" w:hAnsi="宋体" w:cs="宋体"/>
          <w:bCs/>
          <w:color w:val="auto"/>
          <w:kern w:val="0"/>
          <w:szCs w:val="24"/>
          <w:highlight w:val="none"/>
        </w:rPr>
        <w:t>.募集期/认购期：指理财产品成立前，理财产品管理人接受理财产品认购的时间。但在该期间内如认购人提交认购申请的认购份额提前达到《产品说明书》所载的发行规模上限的，管理人有权选择认购期提前结束并停止接受认购申请。该情形下，产品成立日维持《产品说明书》的约定，保持不变。</w:t>
      </w:r>
    </w:p>
    <w:p w14:paraId="0409C0B7">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lang w:val="en-US" w:eastAsia="zh-CN"/>
        </w:rPr>
        <w:t>11</w:t>
      </w:r>
      <w:r>
        <w:rPr>
          <w:rFonts w:hint="eastAsia" w:ascii="仿宋_GB2312" w:hAnsi="宋体" w:cs="宋体"/>
          <w:bCs/>
          <w:color w:val="auto"/>
          <w:kern w:val="0"/>
          <w:szCs w:val="24"/>
          <w:highlight w:val="none"/>
        </w:rPr>
        <w:t>.持有期：指自产品成立日/申购确认日起，投资者持有该产品份额的期间。</w:t>
      </w:r>
    </w:p>
    <w:p w14:paraId="547B54C5">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w:t>
      </w:r>
      <w:r>
        <w:rPr>
          <w:rFonts w:hint="eastAsia" w:ascii="仿宋_GB2312" w:hAnsi="宋体" w:cs="宋体"/>
          <w:bCs/>
          <w:color w:val="auto"/>
          <w:kern w:val="0"/>
          <w:szCs w:val="24"/>
          <w:highlight w:val="none"/>
          <w:lang w:val="en-US" w:eastAsia="zh-CN"/>
        </w:rPr>
        <w:t>2</w:t>
      </w:r>
      <w:r>
        <w:rPr>
          <w:rFonts w:hint="eastAsia" w:ascii="仿宋_GB2312" w:hAnsi="宋体" w:cs="宋体"/>
          <w:bCs/>
          <w:color w:val="auto"/>
          <w:kern w:val="0"/>
          <w:szCs w:val="24"/>
          <w:highlight w:val="none"/>
        </w:rPr>
        <w:t>.产品存续期：指自理财产品成立日起，至理财产品终止日的期间。</w:t>
      </w:r>
    </w:p>
    <w:p w14:paraId="1F3DB257">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w:t>
      </w:r>
      <w:r>
        <w:rPr>
          <w:rFonts w:hint="eastAsia" w:ascii="仿宋_GB2312" w:hAnsi="宋体" w:cs="宋体"/>
          <w:bCs/>
          <w:color w:val="auto"/>
          <w:kern w:val="0"/>
          <w:szCs w:val="24"/>
          <w:highlight w:val="none"/>
          <w:lang w:val="en-US" w:eastAsia="zh-CN"/>
        </w:rPr>
        <w:t>3</w:t>
      </w:r>
      <w:r>
        <w:rPr>
          <w:rFonts w:hint="eastAsia" w:ascii="仿宋_GB2312" w:hAnsi="宋体" w:cs="宋体"/>
          <w:bCs/>
          <w:color w:val="auto"/>
          <w:kern w:val="0"/>
          <w:szCs w:val="24"/>
          <w:highlight w:val="none"/>
        </w:rPr>
        <w:t>.清算期：指自本理财产品终止日至投资者理财利益到账日之间的期间。</w:t>
      </w:r>
    </w:p>
    <w:p w14:paraId="590894DB">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w:t>
      </w:r>
      <w:r>
        <w:rPr>
          <w:rFonts w:hint="eastAsia" w:ascii="仿宋_GB2312" w:hAnsi="宋体" w:cs="宋体"/>
          <w:bCs/>
          <w:color w:val="auto"/>
          <w:kern w:val="0"/>
          <w:szCs w:val="24"/>
          <w:highlight w:val="none"/>
          <w:lang w:val="en-US" w:eastAsia="zh-CN"/>
        </w:rPr>
        <w:t>4</w:t>
      </w:r>
      <w:r>
        <w:rPr>
          <w:rFonts w:hint="eastAsia" w:ascii="仿宋_GB2312" w:hAnsi="宋体" w:cs="宋体"/>
          <w:bCs/>
          <w:color w:val="auto"/>
          <w:kern w:val="0"/>
          <w:szCs w:val="24"/>
          <w:highlight w:val="none"/>
        </w:rPr>
        <w:t>.申购/赎回日：指投资者提交申购、赎回申请的日期。</w:t>
      </w:r>
    </w:p>
    <w:p w14:paraId="71AABB72">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w:t>
      </w:r>
      <w:r>
        <w:rPr>
          <w:rFonts w:hint="eastAsia" w:ascii="仿宋_GB2312" w:hAnsi="宋体" w:cs="宋体"/>
          <w:bCs/>
          <w:color w:val="auto"/>
          <w:kern w:val="0"/>
          <w:szCs w:val="24"/>
          <w:highlight w:val="none"/>
          <w:lang w:val="en-US" w:eastAsia="zh-CN"/>
        </w:rPr>
        <w:t>5</w:t>
      </w:r>
      <w:r>
        <w:rPr>
          <w:rFonts w:hint="eastAsia" w:ascii="仿宋_GB2312" w:hAnsi="宋体" w:cs="宋体"/>
          <w:bCs/>
          <w:color w:val="auto"/>
          <w:kern w:val="0"/>
          <w:szCs w:val="24"/>
          <w:highlight w:val="none"/>
        </w:rPr>
        <w:t>.申购/赎回确认日：指投资者提交申购、赎回申请后，管理人对申购、赎回申请进行确认的日期。</w:t>
      </w:r>
    </w:p>
    <w:p w14:paraId="37B26D60">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w:t>
      </w:r>
      <w:r>
        <w:rPr>
          <w:rFonts w:hint="eastAsia" w:ascii="仿宋_GB2312" w:hAnsi="宋体" w:cs="宋体"/>
          <w:bCs/>
          <w:color w:val="auto"/>
          <w:kern w:val="0"/>
          <w:szCs w:val="24"/>
          <w:highlight w:val="none"/>
          <w:lang w:val="en-US" w:eastAsia="zh-CN"/>
        </w:rPr>
        <w:t>6</w:t>
      </w:r>
      <w:r>
        <w:rPr>
          <w:rFonts w:hint="eastAsia" w:ascii="仿宋_GB2312" w:hAnsi="宋体" w:cs="宋体"/>
          <w:bCs/>
          <w:color w:val="auto"/>
          <w:kern w:val="0"/>
          <w:szCs w:val="24"/>
          <w:highlight w:val="none"/>
        </w:rPr>
        <w:t>.T日：指某一事件或行为发生的当日。</w:t>
      </w:r>
    </w:p>
    <w:p w14:paraId="395B1A2D">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w:t>
      </w:r>
      <w:r>
        <w:rPr>
          <w:rFonts w:hint="eastAsia" w:ascii="仿宋_GB2312" w:hAnsi="宋体" w:cs="宋体"/>
          <w:bCs/>
          <w:color w:val="auto"/>
          <w:kern w:val="0"/>
          <w:szCs w:val="24"/>
          <w:highlight w:val="none"/>
          <w:lang w:val="en-US" w:eastAsia="zh-CN"/>
        </w:rPr>
        <w:t>7</w:t>
      </w:r>
      <w:r>
        <w:rPr>
          <w:rFonts w:hint="eastAsia" w:ascii="仿宋_GB2312" w:hAnsi="宋体" w:cs="宋体"/>
          <w:bCs/>
          <w:color w:val="auto"/>
          <w:kern w:val="0"/>
          <w:szCs w:val="24"/>
          <w:highlight w:val="none"/>
        </w:rPr>
        <w:t>.T+n日：指T日后（不包括T日）的第n个</w:t>
      </w:r>
      <w:r>
        <w:rPr>
          <w:rFonts w:hint="eastAsia" w:ascii="仿宋_GB2312" w:hAnsi="宋体" w:cs="宋体"/>
          <w:bCs/>
          <w:kern w:val="0"/>
          <w:szCs w:val="24"/>
          <w:highlight w:val="none"/>
          <w:lang w:eastAsia="zh-CN"/>
        </w:rPr>
        <w:t>工作日</w:t>
      </w:r>
      <w:r>
        <w:rPr>
          <w:rFonts w:hint="eastAsia" w:ascii="仿宋_GB2312" w:hAnsi="宋体" w:cs="宋体"/>
          <w:bCs/>
          <w:color w:val="auto"/>
          <w:kern w:val="0"/>
          <w:szCs w:val="24"/>
          <w:highlight w:val="none"/>
        </w:rPr>
        <w:t>。</w:t>
      </w:r>
    </w:p>
    <w:p w14:paraId="155FFF7A">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w:t>
      </w:r>
      <w:r>
        <w:rPr>
          <w:rFonts w:hint="eastAsia" w:ascii="仿宋_GB2312" w:hAnsi="宋体" w:cs="宋体"/>
          <w:bCs/>
          <w:color w:val="auto"/>
          <w:kern w:val="0"/>
          <w:szCs w:val="24"/>
          <w:highlight w:val="none"/>
          <w:lang w:val="en-US" w:eastAsia="zh-CN"/>
        </w:rPr>
        <w:t>8</w:t>
      </w:r>
      <w:r>
        <w:rPr>
          <w:rFonts w:hint="eastAsia" w:ascii="仿宋_GB2312" w:hAnsi="宋体" w:cs="宋体"/>
          <w:bCs/>
          <w:color w:val="auto"/>
          <w:kern w:val="0"/>
          <w:szCs w:val="24"/>
          <w:highlight w:val="none"/>
        </w:rPr>
        <w:t>.T-n日：指T前（不包括T日）的第n个</w:t>
      </w:r>
      <w:r>
        <w:rPr>
          <w:rFonts w:hint="eastAsia" w:ascii="仿宋_GB2312" w:hAnsi="宋体" w:cs="宋体"/>
          <w:bCs/>
          <w:kern w:val="0"/>
          <w:szCs w:val="24"/>
          <w:highlight w:val="none"/>
          <w:lang w:eastAsia="zh-CN"/>
        </w:rPr>
        <w:t>工作日</w:t>
      </w:r>
      <w:r>
        <w:rPr>
          <w:rFonts w:hint="eastAsia" w:ascii="仿宋_GB2312" w:hAnsi="宋体" w:cs="宋体"/>
          <w:bCs/>
          <w:color w:val="auto"/>
          <w:kern w:val="0"/>
          <w:szCs w:val="24"/>
          <w:highlight w:val="none"/>
        </w:rPr>
        <w:t>。</w:t>
      </w:r>
    </w:p>
    <w:p w14:paraId="4EB9E066">
      <w:pPr>
        <w:pStyle w:val="3"/>
        <w:ind w:firstLine="482"/>
        <w:rPr>
          <w:rFonts w:ascii="仿宋_GB2312" w:hAnsi="宋体" w:cs="宋体"/>
          <w:bCs/>
          <w:color w:val="auto"/>
          <w:kern w:val="0"/>
          <w:szCs w:val="24"/>
          <w:highlight w:val="none"/>
        </w:rPr>
      </w:pPr>
      <w:r>
        <w:rPr>
          <w:rFonts w:hint="eastAsia" w:ascii="仿宋_GB2312" w:hAnsi="宋体" w:cs="宋体"/>
          <w:bCs/>
          <w:color w:val="auto"/>
          <w:kern w:val="0"/>
          <w:szCs w:val="24"/>
          <w:highlight w:val="none"/>
        </w:rPr>
        <w:t>费用</w:t>
      </w:r>
    </w:p>
    <w:p w14:paraId="39DE22D7">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1.认购费：指投资者认购产品时需缴纳的费用。</w:t>
      </w:r>
    </w:p>
    <w:p w14:paraId="30C2B98C">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2.申购费：指投资者申购产品时需缴纳的费用。</w:t>
      </w:r>
    </w:p>
    <w:p w14:paraId="7FDDF9D8">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3.赎回费：指投资者赎回产品时需缴纳的费用。</w:t>
      </w:r>
    </w:p>
    <w:p w14:paraId="6E0B81C6">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4.销售服务费：指因理财产品销售行为产生，销售机构所收取的费用。</w:t>
      </w:r>
    </w:p>
    <w:p w14:paraId="4271544E">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5.</w:t>
      </w:r>
      <w:r>
        <w:rPr>
          <w:rFonts w:hint="eastAsia" w:ascii="仿宋_GB2312" w:hAnsi="宋体" w:cs="宋体"/>
          <w:bCs/>
          <w:color w:val="auto"/>
          <w:kern w:val="0"/>
          <w:szCs w:val="24"/>
          <w:highlight w:val="none"/>
          <w:lang w:eastAsia="zh-CN"/>
        </w:rPr>
        <w:t>固定管理费</w:t>
      </w:r>
      <w:r>
        <w:rPr>
          <w:rFonts w:hint="eastAsia" w:ascii="仿宋_GB2312" w:hAnsi="宋体" w:cs="宋体"/>
          <w:bCs/>
          <w:color w:val="auto"/>
          <w:kern w:val="0"/>
          <w:szCs w:val="24"/>
          <w:highlight w:val="none"/>
        </w:rPr>
        <w:t>：指因理财产品投资管理产生，管理人所收取的费用。</w:t>
      </w:r>
    </w:p>
    <w:p w14:paraId="32D65203">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6.</w:t>
      </w:r>
      <w:r>
        <w:rPr>
          <w:rFonts w:hint="eastAsia" w:ascii="仿宋_GB2312" w:hAnsi="宋体" w:cs="宋体"/>
          <w:bCs/>
          <w:color w:val="auto"/>
          <w:kern w:val="0"/>
          <w:szCs w:val="24"/>
          <w:highlight w:val="none"/>
          <w:lang w:eastAsia="zh-CN"/>
        </w:rPr>
        <w:t>托管费</w:t>
      </w:r>
      <w:r>
        <w:rPr>
          <w:rFonts w:hint="eastAsia" w:ascii="仿宋_GB2312" w:hAnsi="宋体" w:cs="宋体"/>
          <w:bCs/>
          <w:color w:val="auto"/>
          <w:kern w:val="0"/>
          <w:szCs w:val="24"/>
          <w:highlight w:val="none"/>
        </w:rPr>
        <w:t>：指因理财产品进行托管产生，托管人收取的费用。</w:t>
      </w:r>
    </w:p>
    <w:p w14:paraId="51E2BBD2">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7.</w:t>
      </w:r>
      <w:r>
        <w:rPr>
          <w:rFonts w:hint="eastAsia" w:ascii="仿宋_GB2312" w:hAnsi="宋体" w:cs="宋体"/>
          <w:bCs/>
          <w:color w:val="auto"/>
          <w:kern w:val="0"/>
          <w:szCs w:val="24"/>
          <w:highlight w:val="none"/>
          <w:lang w:eastAsia="zh-CN"/>
        </w:rPr>
        <w:t>浮动管理费</w:t>
      </w:r>
      <w:r>
        <w:rPr>
          <w:rFonts w:hint="eastAsia" w:ascii="仿宋_GB2312" w:hAnsi="宋体" w:cs="宋体"/>
          <w:bCs/>
          <w:color w:val="auto"/>
          <w:kern w:val="0"/>
          <w:szCs w:val="24"/>
          <w:highlight w:val="none"/>
        </w:rPr>
        <w:t>：指产品管理人依照理财产品销售文件约定规则收取的浮动性质的管理费用。</w:t>
      </w:r>
    </w:p>
    <w:p w14:paraId="003F5872">
      <w:pPr>
        <w:tabs>
          <w:tab w:val="left" w:pos="709"/>
        </w:tabs>
        <w:snapToGrid w:val="0"/>
        <w:spacing w:line="360" w:lineRule="auto"/>
        <w:ind w:firstLine="480" w:firstLineChars="200"/>
        <w:rPr>
          <w:rFonts w:hint="default" w:ascii="仿宋_GB2312" w:hAnsi="宋体" w:eastAsia="仿宋_GB2312" w:cs="宋体"/>
          <w:bCs/>
          <w:color w:val="auto"/>
          <w:kern w:val="0"/>
          <w:szCs w:val="24"/>
          <w:highlight w:val="none"/>
          <w:lang w:val="en-US" w:eastAsia="zh-CN"/>
        </w:rPr>
      </w:pPr>
      <w:r>
        <w:rPr>
          <w:rFonts w:hint="eastAsia" w:ascii="仿宋_GB2312" w:hAnsi="宋体" w:cs="宋体"/>
          <w:bCs/>
          <w:color w:val="auto"/>
          <w:kern w:val="0"/>
          <w:szCs w:val="24"/>
          <w:highlight w:val="none"/>
          <w:lang w:val="en-US" w:eastAsia="zh-CN"/>
        </w:rPr>
        <w:t>8.信息服务费：指银行业理财登记托管中心有限公司对管理人在理财产品中央数据交换平台开展数据交换的理财产品收取的信息技术服务费用。</w:t>
      </w:r>
    </w:p>
    <w:p w14:paraId="7C62BC6D">
      <w:pPr>
        <w:tabs>
          <w:tab w:val="left" w:pos="709"/>
        </w:tabs>
        <w:snapToGrid w:val="0"/>
        <w:spacing w:line="360" w:lineRule="auto"/>
        <w:ind w:firstLine="480" w:firstLineChars="200"/>
        <w:rPr>
          <w:color w:val="auto"/>
          <w:highlight w:val="none"/>
        </w:rPr>
      </w:pPr>
      <w:r>
        <w:rPr>
          <w:rFonts w:hint="eastAsia" w:ascii="仿宋_GB2312" w:hAnsi="宋体" w:cs="宋体"/>
          <w:bCs/>
          <w:color w:val="auto"/>
          <w:kern w:val="0"/>
          <w:szCs w:val="24"/>
          <w:highlight w:val="none"/>
          <w:lang w:val="en-US" w:eastAsia="zh-CN"/>
        </w:rPr>
        <w:t>9</w:t>
      </w:r>
      <w:r>
        <w:rPr>
          <w:rFonts w:hint="eastAsia" w:ascii="仿宋_GB2312" w:hAnsi="宋体" w:cs="宋体"/>
          <w:bCs/>
          <w:color w:val="auto"/>
          <w:kern w:val="0"/>
          <w:szCs w:val="24"/>
          <w:highlight w:val="none"/>
        </w:rPr>
        <w:t>.其他费用（如有）：</w:t>
      </w:r>
      <w:r>
        <w:rPr>
          <w:rFonts w:hint="eastAsia"/>
          <w:color w:val="auto"/>
          <w:highlight w:val="none"/>
        </w:rPr>
        <w:t>与理财</w:t>
      </w:r>
      <w:r>
        <w:rPr>
          <w:color w:val="auto"/>
          <w:highlight w:val="none"/>
        </w:rPr>
        <w:t>产品相关的</w:t>
      </w:r>
      <w:r>
        <w:rPr>
          <w:rFonts w:hint="eastAsia"/>
          <w:color w:val="auto"/>
          <w:highlight w:val="none"/>
        </w:rPr>
        <w:t>账户服务费用、资产服务费用、交易费用（包括但不限于交易佣金、撮合费用等）、注册登记费、验资费、审计费、信息披露费、清算费用、执行费用（包括但不限于律师费、诉讼费、仲裁费、公证费、保全费、执行费等）以及按照法律法规、监管规定和理财产品销售文件约定可以列入的其他费用，具体以实际发生为准。</w:t>
      </w:r>
    </w:p>
    <w:p w14:paraId="5799DF6C">
      <w:pPr>
        <w:pStyle w:val="3"/>
        <w:snapToGrid w:val="0"/>
        <w:ind w:firstLine="482"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 xml:space="preserve">其他 </w:t>
      </w:r>
    </w:p>
    <w:p w14:paraId="62DA3F9C">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1.不可抗力：指理财产品各方不能预见、不能避免且不能克服的客观情况，该事件妨碍、影响或延误任何一方依相关理财产品销售文件履行其全部或部分义务。该事件包括但不限于：</w:t>
      </w:r>
    </w:p>
    <w:p w14:paraId="5D449894">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A、地震、台风、海啸、洪水、火灾、停电、瘟疫；</w:t>
      </w:r>
    </w:p>
    <w:p w14:paraId="7A358AA5">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B、战争、政变、恐怖主义行动、骚乱、罢工；</w:t>
      </w:r>
    </w:p>
    <w:p w14:paraId="3BF6952D">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C、新的适用法律或国家政策的颁布或实施、对原适用法律或国家政策的修改；</w:t>
      </w:r>
    </w:p>
    <w:p w14:paraId="3F90832A">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D、金融管理部门强制要求终止理财产品（该等强制要求不可归咎于任何一方）；</w:t>
      </w:r>
    </w:p>
    <w:p w14:paraId="5A4F43CD">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E、因理财产品各方和/或其关联方运营网络系统遭受黑客攻击、电信部门技术调整或故障等原因而造成的理财产品各方和/或其关联方之服务、营业的中断或者延迟。</w:t>
      </w:r>
    </w:p>
    <w:p w14:paraId="43784290">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 xml:space="preserve">2.元：指人民币元。 </w:t>
      </w:r>
    </w:p>
    <w:p w14:paraId="604BCF10">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3.适用法律：指在理财产品销售文件签署日和履行过程中，适用中华人民共和国法律（为本协议之目的，在此不包括香港、澳门特别行政区和台湾地区的法律），包括中国任何立法机构、政府部门、银行业理财登记托管中心、银行间交易商协会、证券交易所、证券登记结算机构、相关行业协会依法颁布的，适用于本理财产品相关事宜的法律、行政法规、地方法规、部委规章、地方政府规章、规范性文件、规则、通知、须知、业务指南、指引或操作规程，及其有效的修改、更新或补充。</w:t>
      </w:r>
      <w:r>
        <w:rPr>
          <w:rFonts w:hint="eastAsia" w:ascii="仿宋_GB2312" w:hAnsi="宋体" w:cs="宋体"/>
          <w:bCs/>
          <w:color w:val="auto"/>
          <w:kern w:val="0"/>
          <w:szCs w:val="24"/>
          <w:highlight w:val="none"/>
        </w:rPr>
        <w:br w:type="page"/>
      </w:r>
    </w:p>
    <w:p w14:paraId="62C1961E">
      <w:pPr>
        <w:pStyle w:val="2"/>
        <w:rPr>
          <w:color w:val="auto"/>
          <w:highlight w:val="none"/>
        </w:rPr>
      </w:pPr>
      <w:r>
        <w:rPr>
          <w:rFonts w:hint="eastAsia"/>
          <w:color w:val="auto"/>
          <w:highlight w:val="none"/>
        </w:rPr>
        <w:t>理财产品的认购与成立</w:t>
      </w:r>
    </w:p>
    <w:p w14:paraId="05A2A962">
      <w:pPr>
        <w:pStyle w:val="3"/>
        <w:widowControl/>
        <w:adjustRightInd w:val="0"/>
        <w:snapToGrid w:val="0"/>
        <w:ind w:firstLine="482"/>
        <w:rPr>
          <w:rFonts w:ascii="仿宋_GB2312" w:hAnsi="宋体" w:cs="宋体"/>
          <w:bCs/>
          <w:color w:val="auto"/>
          <w:kern w:val="0"/>
          <w:szCs w:val="24"/>
          <w:highlight w:val="none"/>
        </w:rPr>
      </w:pPr>
      <w:r>
        <w:rPr>
          <w:rFonts w:hint="eastAsia" w:ascii="仿宋_GB2312" w:hAnsi="宋体" w:cs="宋体"/>
          <w:bCs/>
          <w:color w:val="auto"/>
          <w:kern w:val="0"/>
          <w:szCs w:val="24"/>
          <w:highlight w:val="none"/>
        </w:rPr>
        <w:t>参与主体及主要职责</w:t>
      </w:r>
    </w:p>
    <w:p w14:paraId="4670DB0E">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1.</w:t>
      </w:r>
      <w:r>
        <w:rPr>
          <w:rFonts w:hint="eastAsia" w:ascii="仿宋_GB2312" w:hAnsi="宋体" w:cs="宋体"/>
          <w:bCs/>
          <w:color w:val="auto"/>
          <w:kern w:val="0"/>
          <w:szCs w:val="24"/>
          <w:highlight w:val="none"/>
        </w:rPr>
        <w:t>产品管理人</w:t>
      </w:r>
    </w:p>
    <w:p w14:paraId="4FA8FF4C">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名称：浙银理财有限责任公司</w:t>
      </w:r>
    </w:p>
    <w:p w14:paraId="586EB005">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注册地：浙江省杭州市萧山区宁围街道民和路939号浙江商会大厦2幢20-22楼</w:t>
      </w:r>
    </w:p>
    <w:p w14:paraId="5CE5A988">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浙银理财负责本产品的投资运作和产品管理，</w:t>
      </w:r>
      <w:r>
        <w:rPr>
          <w:rFonts w:hint="eastAsia" w:ascii="仿宋_GB2312" w:hAnsi="宋体" w:cs="宋体"/>
          <w:b/>
          <w:color w:val="auto"/>
          <w:kern w:val="0"/>
          <w:szCs w:val="24"/>
          <w:highlight w:val="none"/>
        </w:rPr>
        <w:t>投资者在此授权并同意浙银理财享有以下权利</w:t>
      </w:r>
      <w:r>
        <w:rPr>
          <w:rFonts w:hint="eastAsia" w:ascii="仿宋_GB2312" w:hAnsi="宋体" w:cs="宋体"/>
          <w:bCs/>
          <w:color w:val="auto"/>
          <w:kern w:val="0"/>
          <w:szCs w:val="24"/>
          <w:highlight w:val="none"/>
        </w:rPr>
        <w:t>：</w:t>
      </w:r>
    </w:p>
    <w:p w14:paraId="0F091209">
      <w:pPr>
        <w:widowControl/>
        <w:numPr>
          <w:ilvl w:val="0"/>
          <w:numId w:val="2"/>
        </w:numPr>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按照本产品销售文件的约定，管理、运用和处分理财产品资金；</w:t>
      </w:r>
    </w:p>
    <w:p w14:paraId="65F16C7A">
      <w:pPr>
        <w:widowControl/>
        <w:numPr>
          <w:ilvl w:val="0"/>
          <w:numId w:val="2"/>
        </w:numPr>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按照本产品销售文件的约定，及时、足额获得管理费和本产品说明书约定的其他费用（如有）；</w:t>
      </w:r>
    </w:p>
    <w:p w14:paraId="6AA3003B">
      <w:pPr>
        <w:widowControl/>
        <w:numPr>
          <w:ilvl w:val="0"/>
          <w:numId w:val="2"/>
        </w:numPr>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管理人以其固有财产先行垫付因处理本产品相关事务所支出的理财产品费用及税费的，对理财产品资金享有优先受偿权；</w:t>
      </w:r>
    </w:p>
    <w:p w14:paraId="7E73B737">
      <w:pPr>
        <w:widowControl/>
        <w:numPr>
          <w:ilvl w:val="0"/>
          <w:numId w:val="2"/>
        </w:numPr>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管理人有权根据本产品销售文件的约定提前终止或延长本理财产品的期限；</w:t>
      </w:r>
    </w:p>
    <w:p w14:paraId="7986E6E9">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（5）管理人有权单方调整本产品的发行规模上限、认/申购起点金额、投资者累计认/申购上限、赎回上限等要素；</w:t>
      </w:r>
    </w:p>
    <w:p w14:paraId="2638D348">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（6）管理人有权按照法律法规和监管机构的要求将投资者的信息向有权部门或相关机构披露；</w:t>
      </w:r>
    </w:p>
    <w:p w14:paraId="3F1D8584">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（7）以理财产品管理人的名义，依照法律法规相关规定以及为理财产品的利益，对被投资的各类资产行使出资人/投资者权利（包括但不限于表决投票的权利）；</w:t>
      </w:r>
    </w:p>
    <w:p w14:paraId="333A86A2">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8）以理财产品管理人的名义，依照法律法规相关规定以及代表理财产品份额持有人的利益代为行使追索的权利（包括但不限于提起诉讼/仲裁、申请保全/执行的权利）或者实施其他风险处置、行使、放弃、变更相关权利义务的法律行为；</w:t>
      </w:r>
    </w:p>
    <w:p w14:paraId="07CBF731">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（9）法律法规、监管政策及本产品销售文件约定的其他权利。</w:t>
      </w:r>
    </w:p>
    <w:p w14:paraId="23F635CB">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2.产品托管机构</w:t>
      </w:r>
    </w:p>
    <w:p w14:paraId="71D93131">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名称：浙商银行股份有限公司</w:t>
      </w:r>
    </w:p>
    <w:p w14:paraId="3C8B9479">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注册地：浙江省杭州市萧山区鸿宁路</w:t>
      </w:r>
      <w:r>
        <w:rPr>
          <w:rFonts w:ascii="仿宋_GB2312" w:hAnsi="宋体" w:cs="宋体"/>
          <w:bCs/>
          <w:color w:val="auto"/>
          <w:kern w:val="0"/>
          <w:szCs w:val="24"/>
          <w:highlight w:val="none"/>
        </w:rPr>
        <w:t>1788</w:t>
      </w:r>
      <w:r>
        <w:rPr>
          <w:rFonts w:hint="eastAsia" w:ascii="仿宋_GB2312" w:hAnsi="宋体" w:cs="宋体"/>
          <w:bCs/>
          <w:color w:val="auto"/>
          <w:kern w:val="0"/>
          <w:szCs w:val="24"/>
          <w:highlight w:val="none"/>
        </w:rPr>
        <w:t>号</w:t>
      </w:r>
    </w:p>
    <w:p w14:paraId="0C40AF91">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客户服务热线：</w:t>
      </w:r>
      <w:r>
        <w:rPr>
          <w:rFonts w:ascii="仿宋_GB2312" w:hAnsi="宋体" w:cs="宋体"/>
          <w:bCs/>
          <w:color w:val="auto"/>
          <w:kern w:val="0"/>
          <w:szCs w:val="24"/>
          <w:highlight w:val="none"/>
        </w:rPr>
        <w:t>95527</w:t>
      </w:r>
    </w:p>
    <w:p w14:paraId="38BBB644">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托管机构主要职责：提供包括账户开立、资金保管、资金清算、估值核算、投资监督等理财产品托管服务。</w:t>
      </w:r>
    </w:p>
    <w:p w14:paraId="656A6E0F">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产品管理人为理财产品资金管理之目的，以本产品的名义在托管人处单独开立资金账户，理财产品资金的一切收支活动，包括但不限于划付对外投资资金、缴纳理财产品税费、接收理财产品回收资金、支付理财产品费用，均必须通过该账户进行。</w:t>
      </w:r>
    </w:p>
    <w:p w14:paraId="6072A30F">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3.</w:t>
      </w:r>
      <w:r>
        <w:rPr>
          <w:rFonts w:hint="eastAsia" w:ascii="仿宋_GB2312" w:hAnsi="宋体" w:cs="宋体"/>
          <w:bCs/>
          <w:color w:val="auto"/>
          <w:kern w:val="0"/>
          <w:szCs w:val="24"/>
          <w:highlight w:val="none"/>
        </w:rPr>
        <w:t>产品销售机构</w:t>
      </w:r>
    </w:p>
    <w:p w14:paraId="2090CC02">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名称：嘉兴银行股份有限公司</w:t>
      </w:r>
    </w:p>
    <w:p w14:paraId="5ACF55D7">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注册地：浙江省嘉兴市昌盛南路1001号</w:t>
      </w:r>
    </w:p>
    <w:p w14:paraId="455BAB5E">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客户服务热线：0573-96528</w:t>
      </w:r>
    </w:p>
    <w:p w14:paraId="0F472AD5">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名称：浙江长兴农村商业银行股份有限公司</w:t>
      </w:r>
    </w:p>
    <w:p w14:paraId="01B6978B">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注册地：浙江省湖州市长兴县太湖街道明珠路1298号</w:t>
      </w:r>
    </w:p>
    <w:p w14:paraId="3F82049B">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17168F87">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名称：浙江岱山农村商业银行股份有限公司</w:t>
      </w:r>
    </w:p>
    <w:p w14:paraId="4CD4D196">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注册地：浙江省舟山市岱山县高亭镇衢山大道1009号</w:t>
      </w:r>
    </w:p>
    <w:p w14:paraId="1D6A2C4F">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1125466A">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名称：浙江遂昌农村商业银行股份有限公司</w:t>
      </w:r>
    </w:p>
    <w:p w14:paraId="7FD2A08B">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注册地：浙江省丽水市遂昌县妙高街道溪边路100号</w:t>
      </w:r>
    </w:p>
    <w:p w14:paraId="79A3E263">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0735421B">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名称：浙江台州路桥农村商业银行股份有限公司</w:t>
      </w:r>
    </w:p>
    <w:p w14:paraId="7C98C179">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注册地：浙江省台州市路桥区路北街道中心大道5789号</w:t>
      </w:r>
    </w:p>
    <w:p w14:paraId="435B11A7">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136E8495">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名称：浙江临海农村商业银行股份有限公司</w:t>
      </w:r>
    </w:p>
    <w:p w14:paraId="15D0AD60">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注册地：浙江省台州市临海市大洋街道河阳路 299 号</w:t>
      </w:r>
    </w:p>
    <w:p w14:paraId="7B1312DB">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680FDA58">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名称：浙江龙游农村商业银行股份有限公司</w:t>
      </w:r>
    </w:p>
    <w:p w14:paraId="2A7C9F0E">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注册地：浙江省衢州市龙游县龙洲街道荣昌大道683、685、687号</w:t>
      </w:r>
    </w:p>
    <w:p w14:paraId="37E47BF9">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6387686A">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名称：浙江仙居农村商业银行股份有限公司</w:t>
      </w:r>
    </w:p>
    <w:p w14:paraId="3922EF12">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注册地：浙江省台州市仙居县穿城中路21号</w:t>
      </w:r>
    </w:p>
    <w:p w14:paraId="16D5EF7A">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6ED7D5E0">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名称：浙江温岭农村商业银行股份有限公司</w:t>
      </w:r>
    </w:p>
    <w:p w14:paraId="14F5ED8D">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注册地：浙江省台州市温岭市城东街道下保路100号</w:t>
      </w:r>
    </w:p>
    <w:p w14:paraId="4C487535">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03A1DD51">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名称：浙江开化农村商业银行股份有限公司</w:t>
      </w:r>
    </w:p>
    <w:p w14:paraId="1D0E610C">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注册地：浙江省华埠镇永吉二路8号</w:t>
      </w:r>
    </w:p>
    <w:p w14:paraId="32134857">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09AB7BE2">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名称：浙江杭州余杭农村商业银行股份有限公司</w:t>
      </w:r>
    </w:p>
    <w:p w14:paraId="4586E14F">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注册地：浙江省杭州市临平区南苑街道南大街72号</w:t>
      </w:r>
    </w:p>
    <w:p w14:paraId="6AF8B867">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7EFAFF10">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名称：浙江云和农村商业银行股份有限公司</w:t>
      </w:r>
    </w:p>
    <w:p w14:paraId="37BE9676">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 浙江省丽水市云和县浮云街道新建路72号</w:t>
      </w:r>
    </w:p>
    <w:p w14:paraId="07A7F6B3">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5FCB481E">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名称：浙江富阳农村商业银行股份有限公司</w:t>
      </w:r>
    </w:p>
    <w:p w14:paraId="22A4CEF6">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注册地：浙江省杭州市富阳区鹿山街道依江路501号</w:t>
      </w:r>
    </w:p>
    <w:p w14:paraId="3B3BC2B2">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148899D5">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名称：浙江嵊州农村商业银行股份有限公司</w:t>
      </w:r>
    </w:p>
    <w:p w14:paraId="1080ED55">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注册地：浙江省嵊州市剡湖街道官河路398号</w:t>
      </w:r>
    </w:p>
    <w:p w14:paraId="676656E4">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7081DBD0">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名称：浙江舟山普陀农村商业银行股份有限公司</w:t>
      </w:r>
    </w:p>
    <w:p w14:paraId="679BCDDB">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注册地：浙江省舟山市普陀区东港街道麒麟街225号 (自贸试验区内)</w:t>
      </w:r>
    </w:p>
    <w:p w14:paraId="77355EB4">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47E69272">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名称：浙江庆元农村商业银行股份有限公司</w:t>
      </w:r>
    </w:p>
    <w:p w14:paraId="47BFAABA">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注册地：浙江省丽水市庆元县濛洲街道云鹤路3号</w:t>
      </w:r>
    </w:p>
    <w:p w14:paraId="5FA816FA">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16B60322">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名称：浙江永嘉农村商业银行股份有限公司</w:t>
      </w:r>
    </w:p>
    <w:p w14:paraId="6842FD63">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注册地：浙江省温州市永嘉县瓯北街道阳光大道3918号</w:t>
      </w:r>
    </w:p>
    <w:p w14:paraId="322A2EE5">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0A1E3BC7">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名称：宁波北仑农村商业银行股份有限公司</w:t>
      </w:r>
    </w:p>
    <w:p w14:paraId="2192A268">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注册地：浙江省宁波市北仑区宝山路新碶街道69号凤凰国际商务大厦1号楼北仑农商银行</w:t>
      </w:r>
    </w:p>
    <w:p w14:paraId="07E6DD9A">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76238A4F">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名称：浙江青田农村商业银行股份有限公司</w:t>
      </w:r>
    </w:p>
    <w:p w14:paraId="68FE6BB7">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注册地：浙江省青田县鹤城街道鹤城东路180号</w:t>
      </w:r>
    </w:p>
    <w:p w14:paraId="764275F1">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68348586">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名称：浙江天台农村商业银行股份有限公司</w:t>
      </w:r>
    </w:p>
    <w:p w14:paraId="5A0B2BEB">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注册地：浙江省天台县赤城街道飞鹤路358号</w:t>
      </w:r>
    </w:p>
    <w:p w14:paraId="37A2AA27">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66968E20">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名称：浙江玉环农村商业银行股份有限公司</w:t>
      </w:r>
    </w:p>
    <w:p w14:paraId="5CB53B72">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注册地：浙江省玉环市玉城街道珠港大道26号</w:t>
      </w:r>
    </w:p>
    <w:p w14:paraId="39ED6AC2">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2B112892">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名称：浙江衢州衢江农村商业银行股份有限公司</w:t>
      </w:r>
    </w:p>
    <w:p w14:paraId="7FBCD7A4">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注册地：浙江省衢州市衢江区樟潭街道信安东路37号</w:t>
      </w:r>
    </w:p>
    <w:p w14:paraId="539EE089">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77AF81A3">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名称：浙江禾城农村商业银行股份有限公司</w:t>
      </w:r>
    </w:p>
    <w:p w14:paraId="17B7C591">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注册地：浙江省嘉兴市经济技术开发区文昌路1229号</w:t>
      </w:r>
    </w:p>
    <w:p w14:paraId="747FBBF8">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19815375">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名称：浙江平湖农村商业银行股份有限公司</w:t>
      </w:r>
    </w:p>
    <w:p w14:paraId="6E1B4CC7">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注册地：浙江省平湖市当湖街道胜利路518号</w:t>
      </w:r>
    </w:p>
    <w:p w14:paraId="069B68BA">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0E0A633D">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名称：浙江海盐农村商业银行股份有限公司</w:t>
      </w:r>
    </w:p>
    <w:p w14:paraId="3760BE1F">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注册地：浙江省嘉兴市海盐县武原街道盐北东路1177号</w:t>
      </w:r>
    </w:p>
    <w:p w14:paraId="469678A9">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13995BD3">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名称：浙江萧山农村商业银行股份有限公司</w:t>
      </w:r>
    </w:p>
    <w:p w14:paraId="30A610CB">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注册地：浙江省杭州市萧山区盈丰街道鸿宁路2288号</w:t>
      </w:r>
    </w:p>
    <w:p w14:paraId="27A8D023">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52E4BF6C">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名称：浙江嵊泗农村商业银行股份有限公司</w:t>
      </w:r>
    </w:p>
    <w:p w14:paraId="21F1F927">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注册地：浙江省嵊泗县菜园镇沙河路110号</w:t>
      </w:r>
    </w:p>
    <w:p w14:paraId="709B236F">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1BE7D810">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名称：浙江台州椒江农村商业银行股份有限公司</w:t>
      </w:r>
    </w:p>
    <w:p w14:paraId="62E4DA17">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注册地：浙江省台州市椒江区洪家街道中心大道4081号</w:t>
      </w:r>
    </w:p>
    <w:p w14:paraId="209C1467">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495542E2">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名称：浙江台州黄岩农村商业银行股份有限公司</w:t>
      </w:r>
    </w:p>
    <w:p w14:paraId="7EDF525F">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注册地：浙江省台州市黄岩区洞天路 88 号</w:t>
      </w:r>
    </w:p>
    <w:p w14:paraId="343FFDAE">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18DF2268">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名称：浙江诸暨农村商业银行股份有限公司</w:t>
      </w:r>
    </w:p>
    <w:p w14:paraId="638DA42E">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注册地：浙江省诸暨市暨阳街道大桥东路2号</w:t>
      </w:r>
    </w:p>
    <w:p w14:paraId="3F9DBB91">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61225066">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名称：浙江东阳农村商业银行股份有限公司</w:t>
      </w:r>
    </w:p>
    <w:p w14:paraId="1F7C7515">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注册地：浙江省东阳市双岘路18号</w:t>
      </w:r>
    </w:p>
    <w:p w14:paraId="1914D35E">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5EBB1EA4">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名称：浙江桐庐农村商业银行股份有限公司</w:t>
      </w:r>
    </w:p>
    <w:p w14:paraId="2FFFBEA8">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注册地：浙江省杭州市桐庐县城迎春南路278号</w:t>
      </w:r>
    </w:p>
    <w:p w14:paraId="2DF643B6">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2AFF2455">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名称：浙江舟山定海海洋农村商业银行股份有限公司</w:t>
      </w:r>
    </w:p>
    <w:p w14:paraId="46B94761">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注册地：浙江省舟山市定海区环城东路81号</w:t>
      </w:r>
    </w:p>
    <w:p w14:paraId="36B93CB3">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31D4E70A">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名称：宁波象山农村商业银行股份有限公司</w:t>
      </w:r>
    </w:p>
    <w:p w14:paraId="2CA6C51E">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注册地：浙江省宁波市象山县丹东街道天安路985号（地下1层，地上1-7层、9-21层）</w:t>
      </w:r>
    </w:p>
    <w:p w14:paraId="2AD841EC">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746BB6DB">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名称：浙江永康农村商业银行股份有限公司</w:t>
      </w:r>
    </w:p>
    <w:p w14:paraId="302FFC8B">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注册地：浙江省金华市永康市九铃东路3259号</w:t>
      </w:r>
    </w:p>
    <w:p w14:paraId="731CCD5E">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3DE91E28">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名称：浙江松阳农村商业银行股份有限公司</w:t>
      </w:r>
    </w:p>
    <w:p w14:paraId="4287FF75">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注册地：浙江省丽水市松阳县水南街道要津南路71号</w:t>
      </w:r>
    </w:p>
    <w:p w14:paraId="321D0D27">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479624D9">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名称：浙江临安农村商业银行股份有限公司</w:t>
      </w:r>
    </w:p>
    <w:p w14:paraId="09254425">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注册地：浙江省杭州市临安区锦城街道城中街442号</w:t>
      </w:r>
    </w:p>
    <w:p w14:paraId="6BD523C0">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7489F8B6">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名称：浙江三门农村商业银行股份有限公司</w:t>
      </w:r>
    </w:p>
    <w:p w14:paraId="237638AD">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注册地：浙江省三门县海游街道上洋路68号</w:t>
      </w:r>
    </w:p>
    <w:p w14:paraId="3E7C6D5A">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290FF6F2">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名称：浙江金华成泰农村商业银行股份有限公司</w:t>
      </w:r>
    </w:p>
    <w:p w14:paraId="5B43C36F">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注册地：浙江省金华市八一南街123号</w:t>
      </w:r>
    </w:p>
    <w:p w14:paraId="432E125E">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7F6E5DCE">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名称：中原银行股份有限公司</w:t>
      </w:r>
    </w:p>
    <w:p w14:paraId="297CBE2B">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注册地：河南省郑州市郑东新区金融岛外环路9号</w:t>
      </w:r>
    </w:p>
    <w:p w14:paraId="28B2A1A8">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客户服务热线：95186</w:t>
      </w:r>
    </w:p>
    <w:p w14:paraId="1B882415">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名称：浙江新昌农村商业银行股份有限公司</w:t>
      </w:r>
    </w:p>
    <w:p w14:paraId="58DAC787">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注册地：浙江省新昌县七星街道七星路18号</w:t>
      </w:r>
    </w:p>
    <w:p w14:paraId="783E111D">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4763E52D">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名称：浙江绍兴恒信农村商业银行股份有限公司</w:t>
      </w:r>
    </w:p>
    <w:p w14:paraId="1A4EB03D">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注册地：浙江省绍兴市中兴中路159号</w:t>
      </w:r>
    </w:p>
    <w:p w14:paraId="5523C2AE">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1587FB42">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名称：浙江德清农村商业银行股份有限公司</w:t>
      </w:r>
    </w:p>
    <w:p w14:paraId="15C737BF">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注册地：浙江省德清县武康街道沈长圩街50号</w:t>
      </w:r>
    </w:p>
    <w:p w14:paraId="3A961A33">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5C510121">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名称：浙江建德农村商业银行股份有限公司</w:t>
      </w:r>
    </w:p>
    <w:p w14:paraId="5E61C633">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注册地：浙江省建德市新安江街道江滨中路176号</w:t>
      </w:r>
    </w:p>
    <w:p w14:paraId="639C8E41">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23B2E937">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名称：浙江上虞农村商业银行股份有限公司</w:t>
      </w:r>
    </w:p>
    <w:p w14:paraId="08072738">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注册地：浙江省绍兴市上虞区百官街道德盛路55号</w:t>
      </w:r>
    </w:p>
    <w:p w14:paraId="4D074134">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45B17EDF">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名称：赣州银行股份有限公司</w:t>
      </w:r>
    </w:p>
    <w:p w14:paraId="5029B915">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注册地：江西省赣州市赣江源大道26号</w:t>
      </w:r>
    </w:p>
    <w:p w14:paraId="1FC306E2">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客户服务热线：40084-96296</w:t>
      </w:r>
    </w:p>
    <w:p w14:paraId="7646EB1D">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名称：浙江义乌农村商业银行股份有限公司</w:t>
      </w:r>
    </w:p>
    <w:p w14:paraId="14B9023A">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注册地：浙江省义乌市福田街道城北路677号</w:t>
      </w:r>
    </w:p>
    <w:p w14:paraId="705E5317">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79259951">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名称：浙江衢州柯城农村商业银行股份有限公司</w:t>
      </w:r>
    </w:p>
    <w:p w14:paraId="37C7863A">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注册地：浙江省衢州市柯城区上街92号</w:t>
      </w:r>
    </w:p>
    <w:p w14:paraId="44CBA20C">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68DC00CD">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名称：江苏苏商银行股份有限公司</w:t>
      </w:r>
    </w:p>
    <w:p w14:paraId="3F3F1237">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注册地：江苏省南京市建邺区庐山路248号4号楼第6、7、8、9、18、27、28、29层，4号楼裙楼第1、2层</w:t>
      </w:r>
    </w:p>
    <w:p w14:paraId="1D8AB22E">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客户服务热线：956101</w:t>
      </w:r>
    </w:p>
    <w:p w14:paraId="799A6797">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名称：浙江龙泉农村商业银行股份有限公司</w:t>
      </w:r>
    </w:p>
    <w:p w14:paraId="71B7B092">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注册地：浙江省丽水市龙泉市龙渊街道中山东路101号</w:t>
      </w:r>
    </w:p>
    <w:p w14:paraId="7D8AAAF8">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0DCE8780">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名称：浙江丽水莲都农村商业银行股份有限公司</w:t>
      </w:r>
    </w:p>
    <w:p w14:paraId="5CAF0C98">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注册地：浙江省丽水市莲都区解放街438号</w:t>
      </w:r>
    </w:p>
    <w:p w14:paraId="6E827D4C">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4FBE7662">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名称：宁波奉化农村商业银行股份有限公司</w:t>
      </w:r>
    </w:p>
    <w:p w14:paraId="2533F772">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注册地：浙江省宁波市奉化区锦屏街道中山路27号</w:t>
      </w:r>
    </w:p>
    <w:p w14:paraId="030C9ECF">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53E0BB1F">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名称：浙江兰溪农村商业银行股份有限公司</w:t>
      </w:r>
    </w:p>
    <w:p w14:paraId="5A3DEB55">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注册地：浙江省兰溪市兰江街道丹溪大道18号</w:t>
      </w:r>
    </w:p>
    <w:p w14:paraId="23B488FA">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48C8C8CC">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名称：宁波甬城农村商业银行股份有限公司</w:t>
      </w:r>
    </w:p>
    <w:p w14:paraId="47DA22C4">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注册地：浙江省育才路15、17号</w:t>
      </w:r>
    </w:p>
    <w:p w14:paraId="4FE2EEB5">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4E1FF2D3">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名称：浙江浦江农村商业银行股份有限公司</w:t>
      </w:r>
    </w:p>
    <w:p w14:paraId="27A22E69">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注册地：浙江省浦江县人民东路90号</w:t>
      </w:r>
    </w:p>
    <w:p w14:paraId="310368E2">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496C02F8">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名称：浙江武义农村商业银行股份有限公司</w:t>
      </w:r>
    </w:p>
    <w:p w14:paraId="30C74FFE">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注册地：浙江省武义县武阳中路37号</w:t>
      </w:r>
    </w:p>
    <w:p w14:paraId="28DF4126">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247BEA9A">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名称：宁波鄞州农村商业银行股份有限公司</w:t>
      </w:r>
    </w:p>
    <w:p w14:paraId="1B6388DA">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注册地：浙江省宁波市鄞州区民惠西路88号</w:t>
      </w:r>
    </w:p>
    <w:p w14:paraId="15ADB66D">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客户服务热线：956058</w:t>
      </w:r>
    </w:p>
    <w:p w14:paraId="48208DF8">
      <w:pPr>
        <w:widowControl/>
        <w:tabs>
          <w:tab w:val="left" w:pos="709"/>
        </w:tabs>
        <w:adjustRightInd w:val="0"/>
        <w:snapToGrid w:val="0"/>
        <w:spacing w:line="360" w:lineRule="auto"/>
        <w:ind w:firstLine="480" w:firstLineChars="200"/>
        <w:rPr>
          <w:rFonts w:ascii="仿宋_GB2312" w:hAnsi="宋体" w:cs="宋体"/>
          <w:b/>
          <w:bCs/>
          <w:color w:val="auto"/>
          <w:kern w:val="0"/>
          <w:szCs w:val="24"/>
          <w:highlight w:val="none"/>
          <w:u w:val="none"/>
        </w:rPr>
      </w:pPr>
      <w:r>
        <w:rPr>
          <w:rFonts w:hint="eastAsia" w:ascii="仿宋_GB2312" w:hAnsi="宋体" w:cs="宋体"/>
          <w:bCs/>
          <w:color w:val="auto"/>
          <w:kern w:val="0"/>
          <w:szCs w:val="24"/>
          <w:highlight w:val="none"/>
          <w:u w:val="none"/>
        </w:rPr>
        <w:t>本产品的认购将通过销售机构的</w:t>
      </w:r>
      <w:r>
        <w:rPr>
          <w:rFonts w:ascii="仿宋_GB2312" w:hAnsi="宋体" w:cs="宋体"/>
          <w:bCs/>
          <w:color w:val="auto"/>
          <w:kern w:val="0"/>
          <w:szCs w:val="24"/>
          <w:highlight w:val="none"/>
          <w:u w:val="none"/>
        </w:rPr>
        <w:t>销售渠道</w:t>
      </w:r>
      <w:r>
        <w:rPr>
          <w:rFonts w:hint="eastAsia" w:ascii="仿宋_GB2312" w:hAnsi="宋体" w:cs="宋体"/>
          <w:bCs/>
          <w:color w:val="auto"/>
          <w:kern w:val="0"/>
          <w:szCs w:val="24"/>
          <w:highlight w:val="none"/>
          <w:u w:val="none"/>
        </w:rPr>
        <w:t>进行（</w:t>
      </w:r>
      <w:r>
        <w:rPr>
          <w:rFonts w:ascii="仿宋_GB2312" w:hAnsi="宋体" w:cs="宋体"/>
          <w:bCs/>
          <w:color w:val="auto"/>
          <w:kern w:val="0"/>
          <w:szCs w:val="24"/>
          <w:highlight w:val="none"/>
          <w:u w:val="none"/>
        </w:rPr>
        <w:t>具体以销售机构提供的方式为准)。本产品销售机构包括但不限于</w:t>
      </w:r>
      <w:r>
        <w:rPr>
          <w:rFonts w:hint="eastAsia" w:ascii="仿宋_GB2312" w:hAnsi="宋体" w:cs="宋体"/>
          <w:bCs/>
          <w:color w:val="000000" w:themeColor="text1"/>
          <w:kern w:val="0"/>
          <w:szCs w:val="24"/>
          <w:highlight w:val="none"/>
          <w:lang w:eastAsia="zh-CN"/>
          <w14:textFill>
            <w14:solidFill>
              <w14:schemeClr w14:val="tx1"/>
            </w14:solidFill>
          </w14:textFill>
        </w:rPr>
        <w:t>【嘉兴银行股份有限公司、浙江长兴农村商业银行股份有限公司、浙江岱山农村商业银行股份有限公司、浙江遂昌农村商业银行股份有限公司、浙江台州路桥农村商业银行股份有限公司、浙江临海农村商业银行股份有限公司、浙江龙游农村商业银行股份有限公司、浙江仙居农村商业银行股份有限公司、浙江温岭农村商业银行股份有限公司、浙江开化农村商业银行股份有限公司、浙江杭州余杭农村商业银行股份有限公司、浙江云和农村商业银行股份有限公司、浙江富阳农村商业银行股份有限公司、浙江嵊州农村商业银行股份有限公司、浙江舟山普陀农村商业银行股份有限公司、浙江庆元农村商业银行股份有限公司、浙江永嘉农村商业银行股份有限公司、宁波北仑农村商业银行股份有限公司、浙江青田农村商业银行股份有限公司、浙江天台农村商业银行股份有限公司、浙江玉环农村商业银行股份有限公司、浙江衢州衢江农村商业银行股份有限公司、浙江禾城农村商业银行股份有限公司、浙江平湖农村商业银行股份有限公司、浙江海盐农村商业银行股份有限公司、浙江萧山农村商业银行股份有限公司、浙江嵊泗农村商业银行股份有限公司、浙江台州椒江农村商业银行股份有限公司、浙江台州黄岩农村商业银行股份有限公司、浙江诸暨农村商业银行股份有限公司、浙江东阳农村商业银行股份有限公司、浙江桐庐农村商业银行股份有限公司、浙江舟山定海海洋农村商业银行股份有限公司、宁波象山农村商业银行股份有限公司、浙江永康农村商业银行股份有限公司、浙江松阳农村商业银行股份有限公司、浙江临安农村商业银行股份有限公司、浙江三门农村商业银行股份有限公司、浙江金华成泰农村商业银行股份有限公司、中原银行股份有限公司、浙江新昌农村商业银行股份有限公司、浙江绍兴恒信农村商业银行股份有限公司、浙江德清农村商业银行股份有限公司、浙江建德农村商业银行股份有限公司、浙江上虞农村商业银行股份有限公司、赣州银行股份有限公司、浙江义乌农村商业银行股份有限公司、浙江衢州柯城农村商业银行股份有限公司、江苏苏商银行股份有限公司、浙江龙泉农村商业银行股份有限公司、浙江丽水莲都农村商业银行股份有限公司、宁波奉化农村商业银行股份有限公司、浙江兰溪农村商业银行股份有限公司、宁波甬城农村商业银行股份有限公司、浙江浦江农村商业银行股份有限公司、浙江武义农村商业银行股份有限公司、宁波鄞州农村商业银行股份有限公司】</w:t>
      </w:r>
      <w:r>
        <w:rPr>
          <w:rFonts w:hint="eastAsia" w:ascii="仿宋_GB2312" w:hAnsi="宋体" w:cs="宋体"/>
          <w:bCs/>
          <w:color w:val="auto"/>
          <w:kern w:val="0"/>
          <w:szCs w:val="24"/>
          <w:highlight w:val="none"/>
          <w:u w:val="none"/>
        </w:rPr>
        <w:t>等机构，如有</w:t>
      </w:r>
      <w:r>
        <w:rPr>
          <w:rFonts w:ascii="仿宋_GB2312" w:hAnsi="宋体" w:cs="宋体"/>
          <w:bCs/>
          <w:color w:val="auto"/>
          <w:kern w:val="0"/>
          <w:szCs w:val="24"/>
          <w:highlight w:val="none"/>
          <w:u w:val="none"/>
        </w:rPr>
        <w:t>变更以管理人</w:t>
      </w:r>
      <w:r>
        <w:rPr>
          <w:rFonts w:hint="eastAsia" w:ascii="仿宋_GB2312" w:hAnsi="宋体" w:cs="宋体"/>
          <w:bCs/>
          <w:color w:val="auto"/>
          <w:kern w:val="0"/>
          <w:szCs w:val="24"/>
          <w:highlight w:val="none"/>
          <w:u w:val="none"/>
        </w:rPr>
        <w:t>信息披露为准。</w:t>
      </w:r>
    </w:p>
    <w:p w14:paraId="78E00872">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销售</w:t>
      </w:r>
      <w:r>
        <w:rPr>
          <w:rFonts w:ascii="仿宋_GB2312" w:hAnsi="宋体" w:cs="宋体"/>
          <w:bCs/>
          <w:color w:val="auto"/>
          <w:kern w:val="0"/>
          <w:szCs w:val="24"/>
          <w:highlight w:val="none"/>
        </w:rPr>
        <w:t>机构</w:t>
      </w:r>
      <w:r>
        <w:rPr>
          <w:rFonts w:hint="eastAsia" w:ascii="仿宋_GB2312" w:hAnsi="宋体" w:cs="宋体"/>
          <w:bCs/>
          <w:color w:val="auto"/>
          <w:kern w:val="0"/>
          <w:szCs w:val="24"/>
          <w:highlight w:val="none"/>
        </w:rPr>
        <w:t>主要职责：理财产品宣传推介；为</w:t>
      </w:r>
      <w:r>
        <w:rPr>
          <w:rFonts w:ascii="仿宋_GB2312" w:hAnsi="宋体" w:cs="宋体"/>
          <w:bCs/>
          <w:color w:val="auto"/>
          <w:kern w:val="0"/>
          <w:szCs w:val="24"/>
          <w:highlight w:val="none"/>
        </w:rPr>
        <w:t>投资者办理</w:t>
      </w:r>
      <w:r>
        <w:rPr>
          <w:rFonts w:hint="eastAsia" w:ascii="仿宋_GB2312" w:hAnsi="宋体" w:cs="宋体"/>
          <w:bCs/>
          <w:color w:val="auto"/>
          <w:kern w:val="0"/>
          <w:szCs w:val="24"/>
          <w:highlight w:val="none"/>
        </w:rPr>
        <w:t>理财产品份额认购</w:t>
      </w:r>
      <w:r>
        <w:rPr>
          <w:rFonts w:ascii="仿宋_GB2312" w:hAnsi="宋体" w:cs="宋体"/>
          <w:bCs/>
          <w:color w:val="auto"/>
          <w:kern w:val="0"/>
          <w:szCs w:val="24"/>
          <w:highlight w:val="none"/>
        </w:rPr>
        <w:t>/</w:t>
      </w:r>
      <w:r>
        <w:rPr>
          <w:rFonts w:hint="eastAsia" w:ascii="仿宋_GB2312" w:hAnsi="宋体" w:cs="宋体"/>
          <w:bCs/>
          <w:color w:val="auto"/>
          <w:kern w:val="0"/>
          <w:szCs w:val="24"/>
          <w:highlight w:val="none"/>
        </w:rPr>
        <w:t>申购</w:t>
      </w:r>
      <w:r>
        <w:rPr>
          <w:rFonts w:ascii="仿宋_GB2312" w:hAnsi="宋体" w:cs="宋体"/>
          <w:bCs/>
          <w:color w:val="auto"/>
          <w:kern w:val="0"/>
          <w:szCs w:val="24"/>
          <w:highlight w:val="none"/>
        </w:rPr>
        <w:t>/</w:t>
      </w:r>
      <w:r>
        <w:rPr>
          <w:rFonts w:hint="eastAsia" w:ascii="仿宋_GB2312" w:hAnsi="宋体" w:cs="宋体"/>
          <w:bCs/>
          <w:color w:val="auto"/>
          <w:kern w:val="0"/>
          <w:szCs w:val="24"/>
          <w:highlight w:val="none"/>
        </w:rPr>
        <w:t>赎回服务；投资者风险承受能力评估和投资者适当性管理；</w:t>
      </w:r>
      <w:r>
        <w:rPr>
          <w:rFonts w:hint="eastAsia" w:ascii="仿宋_GB2312"/>
          <w:color w:val="auto"/>
          <w:highlight w:val="none"/>
        </w:rPr>
        <w:t>反洗钱、反恐怖融资、反扩散融资及非居民金融账户涉税信息尽职调查等</w:t>
      </w:r>
      <w:r>
        <w:rPr>
          <w:rFonts w:ascii="仿宋_GB2312"/>
          <w:color w:val="auto"/>
          <w:highlight w:val="none"/>
        </w:rPr>
        <w:t>；</w:t>
      </w:r>
      <w:r>
        <w:rPr>
          <w:rFonts w:hint="eastAsia" w:ascii="仿宋_GB2312"/>
          <w:color w:val="auto"/>
          <w:highlight w:val="none"/>
        </w:rPr>
        <w:t>协助投资者与管理人沟通</w:t>
      </w:r>
      <w:r>
        <w:rPr>
          <w:rFonts w:hint="eastAsia" w:ascii="仿宋_GB2312" w:hAnsi="宋体" w:cs="宋体"/>
          <w:bCs/>
          <w:color w:val="auto"/>
          <w:kern w:val="0"/>
          <w:szCs w:val="24"/>
          <w:highlight w:val="none"/>
        </w:rPr>
        <w:t>和客户维护等销售服务；国务院银行业监督管理机构规定的其他职责。</w:t>
      </w:r>
    </w:p>
    <w:p w14:paraId="0C8390B5">
      <w:pPr>
        <w:widowControl/>
        <w:tabs>
          <w:tab w:val="left" w:pos="709"/>
        </w:tabs>
        <w:adjustRightInd w:val="0"/>
        <w:snapToGrid w:val="0"/>
        <w:spacing w:line="360" w:lineRule="auto"/>
        <w:ind w:firstLine="482" w:firstLineChars="200"/>
        <w:rPr>
          <w:rFonts w:ascii="仿宋_GB2312" w:hAnsi="宋体" w:cs="宋体"/>
          <w:b/>
          <w:bCs/>
          <w:color w:val="auto"/>
          <w:kern w:val="0"/>
          <w:szCs w:val="24"/>
          <w:highlight w:val="none"/>
        </w:rPr>
      </w:pPr>
      <w:r>
        <w:rPr>
          <w:rFonts w:hint="eastAsia" w:ascii="仿宋_GB2312" w:hAnsi="宋体" w:cs="宋体"/>
          <w:b/>
          <w:bCs/>
          <w:color w:val="auto"/>
          <w:kern w:val="0"/>
          <w:szCs w:val="24"/>
          <w:highlight w:val="none"/>
        </w:rPr>
        <w:t>★重要</w:t>
      </w:r>
      <w:r>
        <w:rPr>
          <w:rFonts w:ascii="仿宋_GB2312" w:hAnsi="宋体" w:cs="宋体"/>
          <w:b/>
          <w:bCs/>
          <w:color w:val="auto"/>
          <w:kern w:val="0"/>
          <w:szCs w:val="24"/>
          <w:highlight w:val="none"/>
        </w:rPr>
        <w:t>提示：</w:t>
      </w:r>
      <w:r>
        <w:rPr>
          <w:rFonts w:hint="eastAsia" w:ascii="仿宋_GB2312" w:hAnsi="宋体" w:cs="宋体"/>
          <w:b/>
          <w:bCs/>
          <w:color w:val="auto"/>
          <w:kern w:val="0"/>
          <w:szCs w:val="24"/>
          <w:highlight w:val="none"/>
        </w:rPr>
        <w:t>浙银理财委托托管机构托管理财产品或委托销售机构销售理财产品的，可能涉及委托浙商银行股份有限公司（以下简称“浙商银行”）担任理财产品的托管机构或销售机构。浙银理财是浙商银行控股的子公司，双方存在关联关系。如浙银理财委托浙商银行托管或销售本理财产品，将严格履行现行法律法规和监管规定所规定必须履行的程序。前述关联关系可能导致影响管理人独立决策的潜在风险。投资者确认已充分知悉前述关联关系，并接受理财产品由销售机构代理销售、托管机构托管。</w:t>
      </w:r>
    </w:p>
    <w:p w14:paraId="42A7ECBD">
      <w:pPr>
        <w:pStyle w:val="3"/>
        <w:widowControl/>
        <w:adjustRightInd w:val="0"/>
        <w:snapToGrid w:val="0"/>
        <w:ind w:firstLine="482"/>
        <w:rPr>
          <w:color w:val="auto"/>
          <w:highlight w:val="none"/>
        </w:rPr>
      </w:pPr>
      <w:r>
        <w:rPr>
          <w:color w:val="auto"/>
          <w:highlight w:val="none"/>
        </w:rPr>
        <w:t>募集期</w:t>
      </w:r>
    </w:p>
    <w:p w14:paraId="14B55D9C">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产品募集期内，投资者可多次对本产品认购、追加、</w:t>
      </w:r>
      <w:r>
        <w:rPr>
          <w:rFonts w:hint="eastAsia"/>
          <w:color w:val="auto"/>
          <w:highlight w:val="none"/>
        </w:rPr>
        <w:t>撤单</w:t>
      </w:r>
      <w:r>
        <w:rPr>
          <w:rFonts w:hint="eastAsia" w:ascii="仿宋_GB2312" w:hAnsi="宋体" w:cs="宋体"/>
          <w:bCs/>
          <w:color w:val="auto"/>
          <w:kern w:val="0"/>
          <w:szCs w:val="24"/>
          <w:highlight w:val="none"/>
        </w:rPr>
        <w:t>。如投资者认购成功，销售机构有权冻结投资者认购资金，</w:t>
      </w:r>
      <w:r>
        <w:rPr>
          <w:rFonts w:hint="eastAsia" w:ascii="仿宋_GB2312" w:hAnsi="宋体" w:cs="宋体"/>
          <w:b/>
          <w:color w:val="auto"/>
          <w:kern w:val="0"/>
          <w:szCs w:val="24"/>
          <w:highlight w:val="none"/>
        </w:rPr>
        <w:t>但募集期内认购资金是否计息以销售机构规则为准</w:t>
      </w:r>
      <w:r>
        <w:rPr>
          <w:rFonts w:hint="eastAsia" w:ascii="仿宋_GB2312" w:hAnsi="宋体" w:cs="宋体"/>
          <w:bCs/>
          <w:color w:val="auto"/>
          <w:kern w:val="0"/>
          <w:szCs w:val="24"/>
          <w:highlight w:val="none"/>
        </w:rPr>
        <w:t>。销售机构实际受理投资者成功提交的认购申请时间可能与说明书不一致，具体以销售机构信息为准。</w:t>
      </w:r>
    </w:p>
    <w:p w14:paraId="27F7D7D1">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本理财产品累计认购份额达到发行规模上限时，销售机构有权停止接受认购申请。管理人有权根据募集情况提前终止或延长产品募集期，</w:t>
      </w:r>
      <w:r>
        <w:rPr>
          <w:rFonts w:ascii="仿宋_GB2312" w:hAnsi="宋体" w:cs="宋体"/>
          <w:bCs/>
          <w:color w:val="auto"/>
          <w:kern w:val="0"/>
          <w:szCs w:val="24"/>
          <w:highlight w:val="none"/>
        </w:rPr>
        <w:t>如有变动</w:t>
      </w:r>
      <w:r>
        <w:rPr>
          <w:rFonts w:hint="eastAsia" w:ascii="仿宋_GB2312" w:hAnsi="宋体" w:cs="宋体"/>
          <w:bCs/>
          <w:color w:val="auto"/>
          <w:kern w:val="0"/>
          <w:szCs w:val="24"/>
          <w:highlight w:val="none"/>
        </w:rPr>
        <w:t>以管理人或销售机构公告为准。</w:t>
      </w:r>
    </w:p>
    <w:p w14:paraId="32DB31AF">
      <w:pPr>
        <w:pStyle w:val="3"/>
        <w:ind w:firstLine="482"/>
        <w:rPr>
          <w:color w:val="auto"/>
          <w:highlight w:val="none"/>
        </w:rPr>
      </w:pPr>
      <w:r>
        <w:rPr>
          <w:rFonts w:hint="eastAsia"/>
          <w:color w:val="auto"/>
          <w:highlight w:val="none"/>
        </w:rPr>
        <w:t>投资</w:t>
      </w:r>
      <w:r>
        <w:rPr>
          <w:color w:val="auto"/>
          <w:highlight w:val="none"/>
        </w:rPr>
        <w:t>冷静期</w:t>
      </w:r>
    </w:p>
    <w:p w14:paraId="3F49D13A">
      <w:pPr>
        <w:autoSpaceDE w:val="0"/>
        <w:autoSpaceDN w:val="0"/>
        <w:adjustRightInd w:val="0"/>
        <w:snapToGrid w:val="0"/>
        <w:spacing w:line="360" w:lineRule="auto"/>
        <w:ind w:firstLine="482" w:firstLineChars="200"/>
        <w:rPr>
          <w:rFonts w:ascii="宋体" w:hAnsi="宋体"/>
          <w:b/>
          <w:color w:val="000000"/>
          <w:szCs w:val="24"/>
          <w:highlight w:val="none"/>
        </w:rPr>
      </w:pPr>
      <w:r>
        <w:rPr>
          <w:rFonts w:hint="eastAsia" w:ascii="宋体" w:hAnsi="宋体"/>
          <w:b/>
          <w:color w:val="000000"/>
          <w:szCs w:val="24"/>
          <w:highlight w:val="none"/>
        </w:rPr>
        <w:t>公募</w:t>
      </w:r>
      <w:r>
        <w:rPr>
          <w:rFonts w:ascii="宋体" w:hAnsi="宋体"/>
          <w:b/>
          <w:color w:val="000000"/>
          <w:szCs w:val="24"/>
          <w:highlight w:val="none"/>
        </w:rPr>
        <w:t>：</w:t>
      </w:r>
      <w:r>
        <w:rPr>
          <w:rFonts w:hint="eastAsia" w:ascii="宋体" w:hAnsi="宋体"/>
          <w:b/>
          <w:color w:val="000000"/>
          <w:szCs w:val="24"/>
          <w:highlight w:val="none"/>
        </w:rPr>
        <w:t>本产品为公募理财产品，无投资冷静期设置。</w:t>
      </w:r>
    </w:p>
    <w:p w14:paraId="3FC6DE6C">
      <w:pPr>
        <w:pStyle w:val="3"/>
        <w:widowControl/>
        <w:snapToGrid w:val="0"/>
        <w:ind w:firstLine="482"/>
        <w:rPr>
          <w:rStyle w:val="22"/>
          <w:rFonts w:ascii="仿宋_GB2312" w:hAnsi="宋体"/>
          <w:b w:val="0"/>
          <w:color w:val="auto"/>
          <w:highlight w:val="none"/>
        </w:rPr>
      </w:pPr>
      <w:r>
        <w:rPr>
          <w:rFonts w:hint="eastAsia" w:ascii="仿宋_GB2312" w:hAnsi="宋体" w:cs="宋体"/>
          <w:bCs/>
          <w:color w:val="auto"/>
          <w:kern w:val="0"/>
          <w:szCs w:val="24"/>
          <w:highlight w:val="none"/>
        </w:rPr>
        <w:t>募集对象</w:t>
      </w:r>
    </w:p>
    <w:p w14:paraId="469C9AD2">
      <w:pPr>
        <w:widowControl/>
        <w:tabs>
          <w:tab w:val="left" w:pos="709"/>
        </w:tabs>
        <w:snapToGrid w:val="0"/>
        <w:spacing w:line="360" w:lineRule="auto"/>
        <w:ind w:firstLine="480" w:firstLineChars="200"/>
        <w:rPr>
          <w:rFonts w:ascii="仿宋_GB2312" w:hAnsi="宋体" w:cs="宋体"/>
          <w:bCs/>
          <w:color w:val="000000"/>
          <w:kern w:val="0"/>
          <w:szCs w:val="24"/>
          <w:highlight w:val="none"/>
        </w:rPr>
      </w:pPr>
      <w:r>
        <w:rPr>
          <w:rFonts w:hint="eastAsia" w:ascii="仿宋_GB2312" w:hAnsi="宋体" w:cs="宋体"/>
          <w:bCs/>
          <w:color w:val="auto"/>
          <w:kern w:val="0"/>
          <w:szCs w:val="24"/>
          <w:highlight w:val="none"/>
        </w:rPr>
        <w:t>本产品面向</w:t>
      </w:r>
      <w:r>
        <w:rPr>
          <w:rFonts w:hint="eastAsia" w:ascii="宋体" w:hAnsi="宋体"/>
          <w:color w:val="auto"/>
          <w:szCs w:val="24"/>
          <w:highlight w:val="none"/>
        </w:rPr>
        <w:t>【个人</w:t>
      </w:r>
      <w:r>
        <w:rPr>
          <w:rFonts w:hint="eastAsia" w:ascii="宋体" w:hAnsi="宋体"/>
          <w:color w:val="auto"/>
          <w:szCs w:val="24"/>
          <w:highlight w:val="none"/>
          <w:lang w:eastAsia="zh-CN"/>
        </w:rPr>
        <w:t>、</w:t>
      </w:r>
      <w:r>
        <w:rPr>
          <w:rFonts w:hint="eastAsia" w:ascii="宋体" w:hAnsi="宋体"/>
          <w:color w:val="auto"/>
          <w:szCs w:val="24"/>
          <w:highlight w:val="none"/>
          <w:lang w:val="en-US" w:eastAsia="zh-CN"/>
        </w:rPr>
        <w:t>机构</w:t>
      </w:r>
      <w:r>
        <w:rPr>
          <w:rFonts w:hint="eastAsia" w:ascii="宋体" w:hAnsi="宋体"/>
          <w:color w:val="auto"/>
          <w:szCs w:val="24"/>
          <w:highlight w:val="none"/>
        </w:rPr>
        <w:t>投资者】</w:t>
      </w:r>
      <w:r>
        <w:rPr>
          <w:rFonts w:hint="eastAsia" w:ascii="仿宋_GB2312" w:hAnsi="宋体" w:cs="宋体"/>
          <w:bCs/>
          <w:color w:val="auto"/>
          <w:kern w:val="0"/>
          <w:szCs w:val="24"/>
          <w:highlight w:val="none"/>
        </w:rPr>
        <w:t>销售，其中普通投资者须经销售机构风险承受能力评估评定为</w:t>
      </w:r>
      <w:r>
        <w:rPr>
          <w:rFonts w:hint="eastAsia" w:ascii="宋体" w:hAnsi="宋体"/>
          <w:color w:val="auto"/>
          <w:szCs w:val="24"/>
          <w:highlight w:val="none"/>
        </w:rPr>
        <w:t>【</w:t>
      </w:r>
      <w:r>
        <w:rPr>
          <w:rFonts w:hint="eastAsia" w:ascii="宋体" w:hAnsi="宋体"/>
          <w:b/>
          <w:bCs/>
          <w:color w:val="auto"/>
          <w:szCs w:val="24"/>
          <w:highlight w:val="none"/>
          <w:lang w:val="en-US" w:eastAsia="zh-CN"/>
        </w:rPr>
        <w:t>稳健型</w:t>
      </w:r>
      <w:r>
        <w:rPr>
          <w:rFonts w:hint="eastAsia" w:ascii="宋体" w:hAnsi="宋体"/>
          <w:color w:val="auto"/>
          <w:szCs w:val="24"/>
          <w:highlight w:val="none"/>
        </w:rPr>
        <w:t>】</w:t>
      </w:r>
      <w:r>
        <w:rPr>
          <w:rFonts w:hint="eastAsia" w:ascii="仿宋_GB2312" w:hAnsi="宋体" w:cs="宋体"/>
          <w:b/>
          <w:bCs/>
          <w:color w:val="auto"/>
          <w:kern w:val="0"/>
          <w:szCs w:val="24"/>
          <w:highlight w:val="none"/>
        </w:rPr>
        <w:t>及以上</w:t>
      </w:r>
      <w:r>
        <w:rPr>
          <w:rFonts w:hint="eastAsia" w:ascii="仿宋_GB2312" w:hAnsi="宋体" w:cs="宋体"/>
          <w:bCs/>
          <w:color w:val="auto"/>
          <w:kern w:val="0"/>
          <w:szCs w:val="24"/>
          <w:highlight w:val="none"/>
        </w:rPr>
        <w:t>（法律法规和有关规定禁止购买者除外）。如普通投资者首次通过销售机构购买产品管理人的理财产品，需通过销售机构进行风险承受能力评估后方可购买。</w:t>
      </w:r>
    </w:p>
    <w:p w14:paraId="5B504A87">
      <w:pPr>
        <w:pStyle w:val="3"/>
        <w:widowControl/>
        <w:snapToGrid w:val="0"/>
        <w:ind w:firstLine="482"/>
        <w:rPr>
          <w:rFonts w:ascii="仿宋_GB2312" w:hAnsi="宋体" w:cs="宋体"/>
          <w:bCs/>
          <w:color w:val="auto"/>
          <w:kern w:val="0"/>
          <w:szCs w:val="24"/>
          <w:highlight w:val="none"/>
        </w:rPr>
      </w:pPr>
      <w:r>
        <w:rPr>
          <w:rFonts w:hint="eastAsia" w:ascii="仿宋_GB2312" w:hAnsi="宋体" w:cs="宋体"/>
          <w:bCs/>
          <w:color w:val="auto"/>
          <w:kern w:val="0"/>
          <w:szCs w:val="24"/>
          <w:highlight w:val="none"/>
        </w:rPr>
        <w:t>认购</w:t>
      </w:r>
      <w:r>
        <w:rPr>
          <w:rFonts w:hint="eastAsia" w:ascii="仿宋_GB2312" w:hAnsi="宋体" w:cs="宋体"/>
          <w:bCs/>
          <w:color w:val="auto"/>
          <w:kern w:val="0"/>
          <w:szCs w:val="24"/>
          <w:highlight w:val="none"/>
          <w:lang w:eastAsia="zh-CN"/>
        </w:rPr>
        <w:t>的</w:t>
      </w:r>
      <w:r>
        <w:rPr>
          <w:rFonts w:hint="eastAsia" w:ascii="仿宋_GB2312" w:hAnsi="宋体" w:cs="宋体"/>
          <w:bCs/>
          <w:color w:val="auto"/>
          <w:kern w:val="0"/>
          <w:szCs w:val="24"/>
          <w:highlight w:val="none"/>
        </w:rPr>
        <w:t>起点</w:t>
      </w:r>
      <w:r>
        <w:rPr>
          <w:rFonts w:hint="eastAsia" w:ascii="仿宋_GB2312" w:hAnsi="宋体" w:cs="宋体"/>
          <w:bCs/>
          <w:color w:val="auto"/>
          <w:kern w:val="0"/>
          <w:szCs w:val="24"/>
          <w:highlight w:val="none"/>
          <w:lang w:eastAsia="zh-CN"/>
        </w:rPr>
        <w:t>销售</w:t>
      </w:r>
      <w:r>
        <w:rPr>
          <w:rFonts w:hint="eastAsia" w:ascii="仿宋_GB2312" w:hAnsi="宋体" w:cs="宋体"/>
          <w:bCs/>
          <w:color w:val="auto"/>
          <w:kern w:val="0"/>
          <w:szCs w:val="24"/>
          <w:highlight w:val="none"/>
        </w:rPr>
        <w:t>金额</w:t>
      </w:r>
    </w:p>
    <w:p w14:paraId="4C10F057">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本理财产品初始份额净值为1.00</w:t>
      </w:r>
      <w:r>
        <w:rPr>
          <w:rFonts w:hint="eastAsia" w:ascii="仿宋_GB2312" w:hAnsi="宋体" w:cs="宋体"/>
          <w:bCs/>
          <w:color w:val="auto"/>
          <w:kern w:val="0"/>
          <w:szCs w:val="24"/>
          <w:highlight w:val="none"/>
          <w:lang w:val="en-US" w:eastAsia="zh-CN"/>
        </w:rPr>
        <w:t>00</w:t>
      </w:r>
      <w:r>
        <w:rPr>
          <w:rFonts w:hint="eastAsia" w:ascii="仿宋_GB2312" w:hAnsi="宋体" w:cs="宋体"/>
          <w:bCs/>
          <w:color w:val="auto"/>
          <w:kern w:val="0"/>
          <w:szCs w:val="24"/>
          <w:highlight w:val="none"/>
        </w:rPr>
        <w:t>00元/份。</w:t>
      </w:r>
    </w:p>
    <w:p w14:paraId="598A78D1">
      <w:pPr>
        <w:widowControl/>
        <w:tabs>
          <w:tab w:val="left" w:pos="709"/>
        </w:tabs>
        <w:snapToGrid w:val="0"/>
        <w:spacing w:line="360" w:lineRule="auto"/>
        <w:ind w:firstLine="480" w:firstLineChars="200"/>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rPr>
        <w:t>【A类份额】投资者初始认购起点为【1】元，超过部分以【0.01】元的整数倍增加。</w:t>
      </w:r>
    </w:p>
    <w:p w14:paraId="41D35D94">
      <w:pPr>
        <w:widowControl/>
        <w:tabs>
          <w:tab w:val="left" w:pos="709"/>
        </w:tabs>
        <w:snapToGrid w:val="0"/>
        <w:spacing w:line="360" w:lineRule="auto"/>
        <w:ind w:firstLine="480" w:firstLineChars="200"/>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rPr>
        <w:t>【B类份额】投资者初始认购起点为【1】元，超过部分以【0.01】元的整数倍增加。</w:t>
      </w:r>
    </w:p>
    <w:p w14:paraId="022C1817">
      <w:pPr>
        <w:widowControl/>
        <w:tabs>
          <w:tab w:val="left" w:pos="709"/>
        </w:tabs>
        <w:snapToGrid w:val="0"/>
        <w:spacing w:line="360" w:lineRule="auto"/>
        <w:ind w:firstLine="480" w:firstLineChars="200"/>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rPr>
        <w:t>【C类份额】投资者初始认购起点为【1】元，超过部分以【0.01】元的整数倍增加。</w:t>
      </w:r>
    </w:p>
    <w:p w14:paraId="519A5E89">
      <w:pPr>
        <w:widowControl/>
        <w:tabs>
          <w:tab w:val="left" w:pos="709"/>
        </w:tabs>
        <w:snapToGrid w:val="0"/>
        <w:spacing w:line="360" w:lineRule="auto"/>
        <w:ind w:firstLine="480" w:firstLineChars="200"/>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rPr>
        <w:t>【D类份额】投资者初始认购起点为【1】元，超过部分以【0.01】元的整数倍增加。</w:t>
      </w:r>
    </w:p>
    <w:p w14:paraId="5698B548">
      <w:pPr>
        <w:widowControl/>
        <w:tabs>
          <w:tab w:val="left" w:pos="709"/>
        </w:tabs>
        <w:snapToGrid w:val="0"/>
        <w:spacing w:line="360" w:lineRule="auto"/>
        <w:ind w:firstLine="480" w:firstLineChars="200"/>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rPr>
        <w:t>【E类份额】投资者初始认购起点为【1】元，超过部分以【0.01】元的整数倍增加。</w:t>
      </w:r>
    </w:p>
    <w:p w14:paraId="2712022C">
      <w:pPr>
        <w:widowControl/>
        <w:tabs>
          <w:tab w:val="left" w:pos="709"/>
        </w:tabs>
        <w:snapToGrid w:val="0"/>
        <w:spacing w:line="360" w:lineRule="auto"/>
        <w:ind w:firstLine="480" w:firstLineChars="200"/>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rPr>
        <w:t>【F类份额】投资者初始认购起点为【1】元，超过部分以【0.01】元的整数倍增加。</w:t>
      </w:r>
    </w:p>
    <w:p w14:paraId="13B04ABB">
      <w:pPr>
        <w:widowControl/>
        <w:tabs>
          <w:tab w:val="left" w:pos="709"/>
        </w:tabs>
        <w:snapToGrid w:val="0"/>
        <w:spacing w:line="360" w:lineRule="auto"/>
        <w:ind w:firstLine="480" w:firstLineChars="200"/>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rPr>
        <w:t>【G类份额】投资者初始认购起点为【1】元，超过部分以【0.01】元的整数倍增加。</w:t>
      </w:r>
    </w:p>
    <w:p w14:paraId="037DD1E0">
      <w:pPr>
        <w:widowControl/>
        <w:tabs>
          <w:tab w:val="left" w:pos="709"/>
        </w:tabs>
        <w:snapToGrid w:val="0"/>
        <w:spacing w:line="360" w:lineRule="auto"/>
        <w:ind w:firstLine="480" w:firstLineChars="200"/>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rPr>
        <w:t>【</w:t>
      </w:r>
      <w:r>
        <w:rPr>
          <w:rFonts w:hint="eastAsia" w:ascii="仿宋_GB2312" w:hAnsi="宋体" w:cs="宋体"/>
          <w:bCs/>
          <w:color w:val="auto"/>
          <w:kern w:val="0"/>
          <w:szCs w:val="24"/>
          <w:highlight w:val="none"/>
          <w:lang w:val="en-US" w:eastAsia="zh-CN"/>
        </w:rPr>
        <w:t>H</w:t>
      </w:r>
      <w:r>
        <w:rPr>
          <w:rFonts w:hint="eastAsia" w:ascii="仿宋_GB2312" w:hAnsi="宋体" w:cs="宋体"/>
          <w:bCs/>
          <w:color w:val="auto"/>
          <w:kern w:val="0"/>
          <w:szCs w:val="24"/>
          <w:highlight w:val="none"/>
        </w:rPr>
        <w:t>类份额】投资者初始认购起点为【1】元，超过部分以【0.01】元的整数倍增加。</w:t>
      </w:r>
    </w:p>
    <w:p w14:paraId="66D3807E">
      <w:pPr>
        <w:pStyle w:val="3"/>
        <w:widowControl/>
        <w:snapToGrid w:val="0"/>
        <w:ind w:firstLine="482"/>
        <w:rPr>
          <w:rFonts w:ascii="仿宋_GB2312" w:hAnsi="宋体" w:cs="宋体"/>
          <w:bCs/>
          <w:color w:val="auto"/>
          <w:kern w:val="0"/>
          <w:szCs w:val="24"/>
          <w:highlight w:val="none"/>
        </w:rPr>
      </w:pPr>
      <w:r>
        <w:rPr>
          <w:rFonts w:hint="eastAsia" w:ascii="仿宋_GB2312" w:hAnsi="宋体" w:cs="宋体"/>
          <w:bCs/>
          <w:color w:val="auto"/>
          <w:kern w:val="0"/>
          <w:szCs w:val="24"/>
          <w:highlight w:val="none"/>
        </w:rPr>
        <w:t>认购</w:t>
      </w:r>
      <w:r>
        <w:rPr>
          <w:rFonts w:ascii="仿宋_GB2312" w:hAnsi="宋体" w:cs="宋体"/>
          <w:bCs/>
          <w:color w:val="auto"/>
          <w:kern w:val="0"/>
          <w:szCs w:val="24"/>
          <w:highlight w:val="none"/>
        </w:rPr>
        <w:t>份额</w:t>
      </w:r>
      <w:r>
        <w:rPr>
          <w:rFonts w:hint="eastAsia" w:ascii="仿宋_GB2312" w:hAnsi="宋体" w:cs="宋体"/>
          <w:bCs/>
          <w:color w:val="auto"/>
          <w:kern w:val="0"/>
          <w:szCs w:val="24"/>
          <w:highlight w:val="none"/>
        </w:rPr>
        <w:t>的</w:t>
      </w:r>
      <w:r>
        <w:rPr>
          <w:rFonts w:ascii="仿宋_GB2312" w:hAnsi="宋体" w:cs="宋体"/>
          <w:bCs/>
          <w:color w:val="auto"/>
          <w:kern w:val="0"/>
          <w:szCs w:val="24"/>
          <w:highlight w:val="none"/>
        </w:rPr>
        <w:t>计算</w:t>
      </w:r>
    </w:p>
    <w:p w14:paraId="2F4BC78F">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本产品采用金额认购方法，认购时计算方法如下：</w:t>
      </w:r>
      <w:r>
        <w:rPr>
          <w:rFonts w:ascii="仿宋_GB2312" w:hAnsi="宋体" w:cs="宋体"/>
          <w:bCs/>
          <w:color w:val="auto"/>
          <w:kern w:val="0"/>
          <w:szCs w:val="24"/>
          <w:highlight w:val="none"/>
        </w:rPr>
        <w:t xml:space="preserve"> </w:t>
      </w:r>
    </w:p>
    <w:p w14:paraId="27EE7FCE">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净认购金额=认购金额/（1+认购费率）（认购</w:t>
      </w:r>
      <w:r>
        <w:rPr>
          <w:rFonts w:ascii="仿宋_GB2312" w:hAnsi="宋体" w:cs="宋体"/>
          <w:bCs/>
          <w:color w:val="auto"/>
          <w:kern w:val="0"/>
          <w:szCs w:val="24"/>
          <w:highlight w:val="none"/>
        </w:rPr>
        <w:t>费</w:t>
      </w:r>
      <w:r>
        <w:rPr>
          <w:rFonts w:hint="eastAsia" w:ascii="仿宋_GB2312" w:hAnsi="宋体" w:cs="宋体"/>
          <w:bCs/>
          <w:color w:val="auto"/>
          <w:kern w:val="0"/>
          <w:szCs w:val="24"/>
          <w:highlight w:val="none"/>
        </w:rPr>
        <w:t>率详见产品说明书</w:t>
      </w:r>
      <w:r>
        <w:rPr>
          <w:rFonts w:ascii="仿宋_GB2312" w:hAnsi="宋体" w:cs="宋体"/>
          <w:bCs/>
          <w:color w:val="auto"/>
          <w:kern w:val="0"/>
          <w:szCs w:val="24"/>
          <w:highlight w:val="none"/>
        </w:rPr>
        <w:t>关于费用</w:t>
      </w:r>
      <w:r>
        <w:rPr>
          <w:rFonts w:hint="eastAsia" w:ascii="仿宋_GB2312" w:hAnsi="宋体" w:cs="宋体"/>
          <w:bCs/>
          <w:color w:val="auto"/>
          <w:kern w:val="0"/>
          <w:szCs w:val="24"/>
          <w:highlight w:val="none"/>
        </w:rPr>
        <w:t>的说明）</w:t>
      </w:r>
    </w:p>
    <w:p w14:paraId="602E7337">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认购</w:t>
      </w:r>
      <w:r>
        <w:rPr>
          <w:rFonts w:ascii="仿宋_GB2312" w:hAnsi="宋体" w:cs="宋体"/>
          <w:bCs/>
          <w:color w:val="auto"/>
          <w:kern w:val="0"/>
          <w:szCs w:val="24"/>
          <w:highlight w:val="none"/>
        </w:rPr>
        <w:t>费用=</w:t>
      </w:r>
      <w:r>
        <w:rPr>
          <w:rFonts w:hint="eastAsia" w:ascii="仿宋_GB2312" w:hAnsi="宋体" w:cs="宋体"/>
          <w:bCs/>
          <w:color w:val="auto"/>
          <w:kern w:val="0"/>
          <w:szCs w:val="24"/>
          <w:highlight w:val="none"/>
        </w:rPr>
        <w:t>净认购金额×认购费率</w:t>
      </w:r>
    </w:p>
    <w:p w14:paraId="04564A5A">
      <w:pPr>
        <w:widowControl/>
        <w:tabs>
          <w:tab w:val="left" w:pos="709"/>
        </w:tabs>
        <w:snapToGrid w:val="0"/>
        <w:spacing w:line="360" w:lineRule="auto"/>
        <w:ind w:firstLine="480" w:firstLineChars="200"/>
        <w:rPr>
          <w:rFonts w:hint="eastAsia" w:ascii="仿宋_GB2312" w:hAnsi="宋体" w:eastAsia="仿宋_GB2312" w:cs="宋体"/>
          <w:bCs/>
          <w:color w:val="auto"/>
          <w:kern w:val="0"/>
          <w:szCs w:val="24"/>
          <w:highlight w:val="none"/>
          <w:lang w:eastAsia="zh-CN"/>
        </w:rPr>
      </w:pPr>
      <w:r>
        <w:rPr>
          <w:rFonts w:hint="eastAsia" w:ascii="仿宋_GB2312" w:hAnsi="宋体" w:cs="宋体"/>
          <w:bCs/>
          <w:color w:val="auto"/>
          <w:kern w:val="0"/>
          <w:szCs w:val="24"/>
          <w:highlight w:val="none"/>
        </w:rPr>
        <w:t>认购</w:t>
      </w:r>
      <w:r>
        <w:rPr>
          <w:rFonts w:ascii="仿宋_GB2312" w:hAnsi="宋体" w:cs="宋体"/>
          <w:bCs/>
          <w:color w:val="auto"/>
          <w:kern w:val="0"/>
          <w:szCs w:val="24"/>
          <w:highlight w:val="none"/>
        </w:rPr>
        <w:t>份额=净认购金额</w:t>
      </w:r>
      <w:r>
        <w:rPr>
          <w:rFonts w:hint="eastAsia" w:ascii="仿宋_GB2312" w:hAnsi="宋体" w:cs="宋体"/>
          <w:bCs/>
          <w:color w:val="auto"/>
          <w:kern w:val="0"/>
          <w:szCs w:val="24"/>
          <w:highlight w:val="none"/>
        </w:rPr>
        <w:t>/理财产品单位份额净值</w:t>
      </w:r>
    </w:p>
    <w:p w14:paraId="30D76D18">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认购份额以四舍五入的方法保留到小数点后两位。</w:t>
      </w:r>
    </w:p>
    <w:p w14:paraId="60993098">
      <w:pPr>
        <w:pStyle w:val="3"/>
        <w:widowControl/>
        <w:snapToGrid w:val="0"/>
        <w:ind w:firstLine="482"/>
        <w:rPr>
          <w:rFonts w:ascii="仿宋_GB2312" w:hAnsi="宋体" w:cs="宋体"/>
          <w:bCs/>
          <w:color w:val="auto"/>
          <w:kern w:val="0"/>
          <w:szCs w:val="24"/>
          <w:highlight w:val="none"/>
        </w:rPr>
      </w:pPr>
      <w:r>
        <w:rPr>
          <w:rFonts w:hint="eastAsia" w:ascii="仿宋_GB2312" w:hAnsi="宋体" w:cs="宋体"/>
          <w:bCs/>
          <w:color w:val="auto"/>
          <w:kern w:val="0"/>
          <w:szCs w:val="24"/>
          <w:highlight w:val="none"/>
        </w:rPr>
        <w:t>认购确认：</w:t>
      </w:r>
    </w:p>
    <w:p w14:paraId="32EB3C0D">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投资者提交认购申请后，如管理人在认购</w:t>
      </w:r>
      <w:r>
        <w:rPr>
          <w:rFonts w:ascii="仿宋_GB2312" w:hAnsi="宋体" w:cs="宋体"/>
          <w:bCs/>
          <w:color w:val="auto"/>
          <w:kern w:val="0"/>
          <w:szCs w:val="24"/>
          <w:highlight w:val="none"/>
        </w:rPr>
        <w:t>确认日</w:t>
      </w:r>
      <w:r>
        <w:rPr>
          <w:rFonts w:hint="eastAsia" w:ascii="仿宋_GB2312" w:hAnsi="宋体" w:cs="宋体"/>
          <w:bCs/>
          <w:color w:val="auto"/>
          <w:kern w:val="0"/>
          <w:szCs w:val="24"/>
          <w:highlight w:val="none"/>
        </w:rPr>
        <w:t>成功登记投资者认购份额，则视为投资者的认购申请生效。销售机构成功登记投资者认购份额、投资者认购申请生效并不代表销售机构对该认购申请结果的成功确认或承诺，而仅代表其收到认购申请，认购申请结果是否成功以管理人确认为准。本产品认购确认日为本产品成立日。</w:t>
      </w:r>
    </w:p>
    <w:p w14:paraId="789B0869">
      <w:pPr>
        <w:pStyle w:val="3"/>
        <w:widowControl/>
        <w:snapToGrid w:val="0"/>
        <w:ind w:firstLine="482"/>
        <w:rPr>
          <w:rFonts w:ascii="仿宋_GB2312" w:hAnsi="宋体" w:cs="宋体"/>
          <w:bCs/>
          <w:color w:val="auto"/>
          <w:kern w:val="0"/>
          <w:szCs w:val="24"/>
          <w:highlight w:val="none"/>
        </w:rPr>
      </w:pPr>
      <w:r>
        <w:rPr>
          <w:rFonts w:hint="eastAsia" w:ascii="仿宋_GB2312" w:hAnsi="宋体" w:cs="宋体"/>
          <w:bCs/>
          <w:color w:val="auto"/>
          <w:kern w:val="0"/>
          <w:szCs w:val="24"/>
          <w:highlight w:val="none"/>
        </w:rPr>
        <w:t>认购撤销</w:t>
      </w:r>
    </w:p>
    <w:p w14:paraId="08076F62">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募集期内投资者可以撤销已提交的认购申请，具体请以销售机构规定为准。</w:t>
      </w:r>
    </w:p>
    <w:p w14:paraId="31694063">
      <w:pPr>
        <w:pStyle w:val="3"/>
        <w:widowControl/>
        <w:snapToGrid w:val="0"/>
        <w:ind w:firstLine="482"/>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投资者单户累计认购上限</w:t>
      </w:r>
    </w:p>
    <w:p w14:paraId="617AA7E6">
      <w:pPr>
        <w:widowControl/>
        <w:tabs>
          <w:tab w:val="left" w:pos="709"/>
        </w:tabs>
        <w:snapToGrid w:val="0"/>
        <w:spacing w:line="360" w:lineRule="auto"/>
        <w:ind w:firstLine="480" w:firstLineChars="200"/>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rPr>
        <w:t>【A类份额】投资者单户累计认购本理财产品份额合计金额不超过【/】万元。</w:t>
      </w:r>
    </w:p>
    <w:p w14:paraId="2E9D72D1">
      <w:pPr>
        <w:widowControl/>
        <w:tabs>
          <w:tab w:val="left" w:pos="709"/>
        </w:tabs>
        <w:snapToGrid w:val="0"/>
        <w:spacing w:line="360" w:lineRule="auto"/>
        <w:ind w:firstLine="480" w:firstLineChars="200"/>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rPr>
        <w:t>【B类份额】投资者单户累计认购本理财产品份额合计金额不超过【/】万元。</w:t>
      </w:r>
    </w:p>
    <w:p w14:paraId="737D1E7A">
      <w:pPr>
        <w:widowControl/>
        <w:tabs>
          <w:tab w:val="left" w:pos="709"/>
        </w:tabs>
        <w:snapToGrid w:val="0"/>
        <w:spacing w:line="360" w:lineRule="auto"/>
        <w:ind w:firstLine="480" w:firstLineChars="200"/>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rPr>
        <w:t>【C类份额】投资者单户累计认购本理财产品份额合计金额不超过【/】万元。</w:t>
      </w:r>
    </w:p>
    <w:p w14:paraId="29E5305A">
      <w:pPr>
        <w:widowControl/>
        <w:tabs>
          <w:tab w:val="left" w:pos="709"/>
        </w:tabs>
        <w:snapToGrid w:val="0"/>
        <w:spacing w:line="360" w:lineRule="auto"/>
        <w:ind w:firstLine="480" w:firstLineChars="200"/>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rPr>
        <w:t>【D类份额】投资者单户累计认购本理财产品份额合计金额不超过【/】万元。</w:t>
      </w:r>
    </w:p>
    <w:p w14:paraId="4BE4EAC6">
      <w:pPr>
        <w:widowControl/>
        <w:tabs>
          <w:tab w:val="left" w:pos="709"/>
        </w:tabs>
        <w:snapToGrid w:val="0"/>
        <w:spacing w:line="360" w:lineRule="auto"/>
        <w:ind w:firstLine="480" w:firstLineChars="200"/>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rPr>
        <w:t>【E类份额】投资者单户累计认购本理财产品份额合计金额不超过【/】万元。</w:t>
      </w:r>
    </w:p>
    <w:p w14:paraId="66922CAE">
      <w:pPr>
        <w:widowControl/>
        <w:tabs>
          <w:tab w:val="left" w:pos="709"/>
        </w:tabs>
        <w:snapToGrid w:val="0"/>
        <w:spacing w:line="360" w:lineRule="auto"/>
        <w:ind w:firstLine="480" w:firstLineChars="200"/>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rPr>
        <w:t>【F类份额】投资者单户累计认购本理财产品份额合计金额不超过【/】万元。</w:t>
      </w:r>
    </w:p>
    <w:p w14:paraId="353E5172">
      <w:pPr>
        <w:widowControl/>
        <w:tabs>
          <w:tab w:val="left" w:pos="709"/>
        </w:tabs>
        <w:snapToGrid w:val="0"/>
        <w:spacing w:line="360" w:lineRule="auto"/>
        <w:ind w:firstLine="480" w:firstLineChars="200"/>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rPr>
        <w:t>【G类份额】投资者单户累计认购本理财产品份额合计金额不超过【/】万元。</w:t>
      </w:r>
    </w:p>
    <w:p w14:paraId="2734DB42">
      <w:pPr>
        <w:widowControl/>
        <w:tabs>
          <w:tab w:val="left" w:pos="709"/>
        </w:tabs>
        <w:snapToGrid w:val="0"/>
        <w:spacing w:line="360" w:lineRule="auto"/>
        <w:ind w:firstLine="480" w:firstLineChars="200"/>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rPr>
        <w:t>【</w:t>
      </w:r>
      <w:r>
        <w:rPr>
          <w:rFonts w:hint="eastAsia" w:ascii="仿宋_GB2312" w:hAnsi="宋体" w:cs="宋体"/>
          <w:bCs/>
          <w:color w:val="auto"/>
          <w:kern w:val="0"/>
          <w:szCs w:val="24"/>
          <w:highlight w:val="none"/>
          <w:lang w:val="en-US" w:eastAsia="zh-CN"/>
        </w:rPr>
        <w:t>H</w:t>
      </w:r>
      <w:r>
        <w:rPr>
          <w:rFonts w:hint="eastAsia" w:ascii="仿宋_GB2312" w:hAnsi="宋体" w:cs="宋体"/>
          <w:bCs/>
          <w:color w:val="auto"/>
          <w:kern w:val="0"/>
          <w:szCs w:val="24"/>
          <w:highlight w:val="none"/>
        </w:rPr>
        <w:t>类份额】投资者单户累计认购本理财产品份额合计金额不超过【/】万元。</w:t>
      </w:r>
    </w:p>
    <w:p w14:paraId="1AC203A0">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在产品运作过程中因收益分配、净值波动等被动超上限的情形除外。管理人有权调整投资者累计认购上限，并提前公告。如果投资者单户累计认购金额</w:t>
      </w:r>
      <w:r>
        <w:rPr>
          <w:rFonts w:ascii="仿宋_GB2312" w:hAnsi="宋体" w:cs="宋体"/>
          <w:bCs/>
          <w:color w:val="auto"/>
          <w:kern w:val="0"/>
          <w:szCs w:val="24"/>
          <w:highlight w:val="none"/>
        </w:rPr>
        <w:t>超</w:t>
      </w:r>
      <w:r>
        <w:rPr>
          <w:rFonts w:hint="eastAsia" w:ascii="仿宋_GB2312" w:hAnsi="宋体" w:cs="宋体"/>
          <w:bCs/>
          <w:color w:val="auto"/>
          <w:kern w:val="0"/>
          <w:szCs w:val="24"/>
          <w:highlight w:val="none"/>
        </w:rPr>
        <w:t>过上限</w:t>
      </w:r>
      <w:r>
        <w:rPr>
          <w:rFonts w:ascii="仿宋_GB2312" w:hAnsi="宋体" w:cs="宋体"/>
          <w:bCs/>
          <w:color w:val="auto"/>
          <w:kern w:val="0"/>
          <w:szCs w:val="24"/>
          <w:highlight w:val="none"/>
        </w:rPr>
        <w:t>，管理人</w:t>
      </w:r>
      <w:r>
        <w:rPr>
          <w:rFonts w:hint="eastAsia" w:ascii="仿宋_GB2312" w:hAnsi="宋体" w:cs="宋体"/>
          <w:bCs/>
          <w:color w:val="auto"/>
          <w:kern w:val="0"/>
          <w:szCs w:val="24"/>
          <w:highlight w:val="none"/>
        </w:rPr>
        <w:t>有权根据实际情况决定拒绝或受理。</w:t>
      </w:r>
    </w:p>
    <w:p w14:paraId="5433C351">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宋体" w:hAnsi="宋体"/>
          <w:bCs/>
          <w:color w:val="auto"/>
          <w:szCs w:val="24"/>
          <w:highlight w:val="none"/>
        </w:rPr>
        <w:t>单一投资者持有份额不得超过本产品总份额【</w:t>
      </w:r>
      <w:r>
        <w:rPr>
          <w:rFonts w:hint="eastAsia" w:ascii="宋体" w:hAnsi="宋体"/>
          <w:bCs/>
          <w:color w:val="auto"/>
          <w:szCs w:val="24"/>
          <w:highlight w:val="none"/>
          <w:lang w:val="en-US" w:eastAsia="zh-CN"/>
        </w:rPr>
        <w:t>50%</w:t>
      </w:r>
      <w:r>
        <w:rPr>
          <w:rFonts w:hint="eastAsia" w:ascii="宋体" w:hAnsi="宋体"/>
          <w:bCs/>
          <w:color w:val="auto"/>
          <w:szCs w:val="24"/>
          <w:highlight w:val="none"/>
        </w:rPr>
        <w:t>】，非因产品管理人主观因素导致突破上述比例限制的，在单一投资者持有比例降至【</w:t>
      </w:r>
      <w:r>
        <w:rPr>
          <w:rFonts w:hint="eastAsia" w:ascii="宋体" w:hAnsi="宋体"/>
          <w:bCs/>
          <w:color w:val="auto"/>
          <w:szCs w:val="24"/>
          <w:highlight w:val="none"/>
          <w:lang w:val="en-US" w:eastAsia="zh-CN"/>
        </w:rPr>
        <w:t>50%</w:t>
      </w:r>
      <w:r>
        <w:rPr>
          <w:rFonts w:hint="eastAsia" w:ascii="宋体" w:hAnsi="宋体"/>
          <w:bCs/>
          <w:color w:val="auto"/>
          <w:szCs w:val="24"/>
          <w:highlight w:val="none"/>
        </w:rPr>
        <w:t>】以下之前，产品管理人不得再接受投资者对本产品的认购。</w:t>
      </w:r>
    </w:p>
    <w:p w14:paraId="12651E85">
      <w:pPr>
        <w:pStyle w:val="3"/>
        <w:widowControl/>
        <w:snapToGrid w:val="0"/>
        <w:ind w:firstLine="482"/>
        <w:rPr>
          <w:rFonts w:ascii="仿宋_GB2312" w:hAnsi="宋体" w:cs="宋体"/>
          <w:bCs/>
          <w:color w:val="auto"/>
          <w:kern w:val="0"/>
          <w:szCs w:val="24"/>
          <w:highlight w:val="none"/>
        </w:rPr>
      </w:pPr>
      <w:r>
        <w:rPr>
          <w:rFonts w:hint="eastAsia" w:ascii="仿宋_GB2312" w:hAnsi="宋体" w:cs="宋体"/>
          <w:bCs/>
          <w:color w:val="auto"/>
          <w:kern w:val="0"/>
          <w:szCs w:val="24"/>
          <w:highlight w:val="none"/>
        </w:rPr>
        <w:t>产品成立</w:t>
      </w:r>
    </w:p>
    <w:p w14:paraId="0C89CB38">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1.募集期届满，募集总资金累计金额不低于产品最低成立规模时，产品成立。</w:t>
      </w:r>
    </w:p>
    <w:p w14:paraId="77F4DE1D">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2.</w:t>
      </w:r>
      <w:r>
        <w:rPr>
          <w:rFonts w:hint="eastAsia" w:ascii="仿宋_GB2312" w:hAnsi="宋体" w:cs="宋体"/>
          <w:b/>
          <w:bCs/>
          <w:color w:val="auto"/>
          <w:kern w:val="0"/>
          <w:szCs w:val="24"/>
          <w:highlight w:val="none"/>
        </w:rPr>
        <w:t>本产品募集期限内，如募集总金额未达到产品最低成立规模，或国家宏观政策以及市场相关法规政策发生变化，或市场发生剧烈波动，或发生其他经管理人合理判断难以履行本理财产品说明书约定或可能导致投资者权益受损的情形，管理人有权利但无义务宣布本理财产品不成立</w:t>
      </w:r>
      <w:r>
        <w:rPr>
          <w:rFonts w:hint="eastAsia" w:ascii="仿宋_GB2312" w:hAnsi="宋体"/>
          <w:b/>
          <w:color w:val="auto"/>
          <w:kern w:val="0"/>
          <w:szCs w:val="24"/>
          <w:highlight w:val="none"/>
        </w:rPr>
        <w:t>，亦有权延长募集期或调整募集规模</w:t>
      </w:r>
      <w:r>
        <w:rPr>
          <w:rFonts w:hint="eastAsia" w:ascii="仿宋_GB2312" w:hAnsi="宋体" w:cs="宋体"/>
          <w:b/>
          <w:bCs/>
          <w:color w:val="auto"/>
          <w:kern w:val="0"/>
          <w:szCs w:val="24"/>
          <w:highlight w:val="none"/>
        </w:rPr>
        <w:t>。</w:t>
      </w:r>
    </w:p>
    <w:p w14:paraId="464EC1BC">
      <w:pPr>
        <w:widowControl/>
        <w:tabs>
          <w:tab w:val="left" w:pos="709"/>
        </w:tabs>
        <w:snapToGrid w:val="0"/>
        <w:spacing w:line="360" w:lineRule="auto"/>
        <w:ind w:firstLine="480" w:firstLineChars="200"/>
        <w:rPr>
          <w:rFonts w:ascii="仿宋_GB2312" w:hAnsi="宋体" w:cs="宋体"/>
          <w:b/>
          <w:bCs/>
          <w:color w:val="auto"/>
          <w:kern w:val="0"/>
          <w:szCs w:val="24"/>
          <w:highlight w:val="none"/>
        </w:rPr>
      </w:pPr>
      <w:r>
        <w:rPr>
          <w:rFonts w:hint="eastAsia" w:ascii="仿宋_GB2312" w:hAnsi="宋体" w:cs="宋体"/>
          <w:bCs/>
          <w:color w:val="auto"/>
          <w:kern w:val="0"/>
          <w:szCs w:val="24"/>
          <w:highlight w:val="none"/>
        </w:rPr>
        <w:t>（1）产品不成立：管理人决定理财产品不成立，将及时通过本产品说明书约定的</w:t>
      </w:r>
      <w:r>
        <w:rPr>
          <w:rFonts w:ascii="仿宋_GB2312" w:hAnsi="宋体" w:cs="宋体"/>
          <w:bCs/>
          <w:color w:val="auto"/>
          <w:kern w:val="0"/>
          <w:szCs w:val="24"/>
          <w:highlight w:val="none"/>
        </w:rPr>
        <w:t>方式</w:t>
      </w:r>
      <w:r>
        <w:rPr>
          <w:rFonts w:hint="eastAsia" w:ascii="仿宋_GB2312" w:hAnsi="宋体" w:cs="宋体"/>
          <w:bCs/>
          <w:color w:val="auto"/>
          <w:kern w:val="0"/>
          <w:szCs w:val="24"/>
          <w:highlight w:val="none"/>
        </w:rPr>
        <w:t>披露产品不成立相关信息，并在不晚于产品原计划成立日后的</w:t>
      </w:r>
      <w:r>
        <w:rPr>
          <w:rFonts w:hint="eastAsia" w:ascii="仿宋_GB2312" w:hAnsi="宋体" w:cs="宋体"/>
          <w:bCs/>
          <w:color w:val="auto"/>
          <w:kern w:val="0"/>
          <w:szCs w:val="24"/>
          <w:highlight w:val="none"/>
          <w:u w:val="none"/>
          <w:lang w:val="en-US" w:eastAsia="zh-CN"/>
        </w:rPr>
        <w:t>3</w:t>
      </w:r>
      <w:r>
        <w:rPr>
          <w:rFonts w:hint="eastAsia" w:ascii="仿宋_GB2312" w:hAnsi="宋体" w:cs="宋体"/>
          <w:bCs/>
          <w:color w:val="auto"/>
          <w:kern w:val="0"/>
          <w:szCs w:val="24"/>
          <w:highlight w:val="none"/>
          <w:u w:val="none"/>
        </w:rPr>
        <w:t>个</w:t>
      </w:r>
      <w:r>
        <w:rPr>
          <w:rFonts w:hint="eastAsia" w:ascii="仿宋_GB2312" w:hAnsi="宋体" w:cs="宋体"/>
          <w:bCs/>
          <w:kern w:val="0"/>
          <w:szCs w:val="24"/>
          <w:highlight w:val="none"/>
          <w:lang w:eastAsia="zh-CN"/>
        </w:rPr>
        <w:t>工作日</w:t>
      </w:r>
      <w:r>
        <w:rPr>
          <w:rFonts w:hint="eastAsia" w:ascii="仿宋_GB2312" w:hAnsi="宋体" w:cs="宋体"/>
          <w:bCs/>
          <w:color w:val="auto"/>
          <w:kern w:val="0"/>
          <w:szCs w:val="24"/>
          <w:highlight w:val="none"/>
        </w:rPr>
        <w:t>通过销售机构将理财投资本金退回投资者指定账户。</w:t>
      </w:r>
    </w:p>
    <w:p w14:paraId="40E1C518">
      <w:pPr>
        <w:widowControl/>
        <w:tabs>
          <w:tab w:val="left" w:pos="709"/>
        </w:tabs>
        <w:snapToGrid w:val="0"/>
        <w:spacing w:line="360" w:lineRule="auto"/>
        <w:ind w:firstLine="480" w:firstLineChars="200"/>
        <w:rPr>
          <w:rFonts w:ascii="仿宋_GB2312" w:hAnsi="宋体"/>
          <w:color w:val="auto"/>
          <w:kern w:val="0"/>
          <w:szCs w:val="24"/>
          <w:highlight w:val="none"/>
        </w:rPr>
      </w:pPr>
      <w:r>
        <w:rPr>
          <w:rFonts w:hint="eastAsia" w:ascii="仿宋_GB2312" w:hAnsi="宋体" w:cs="宋体"/>
          <w:bCs/>
          <w:color w:val="auto"/>
          <w:kern w:val="0"/>
          <w:szCs w:val="24"/>
          <w:highlight w:val="none"/>
        </w:rPr>
        <w:t>（2）</w:t>
      </w:r>
      <w:r>
        <w:rPr>
          <w:rFonts w:hint="eastAsia" w:ascii="仿宋_GB2312" w:hAnsi="宋体"/>
          <w:color w:val="auto"/>
          <w:kern w:val="0"/>
          <w:szCs w:val="24"/>
          <w:highlight w:val="none"/>
        </w:rPr>
        <w:t>延长产品募集期:</w:t>
      </w:r>
      <w:r>
        <w:rPr>
          <w:rFonts w:hint="eastAsia" w:ascii="仿宋_GB2312" w:hAnsi="宋体" w:cs="宋体"/>
          <w:bCs/>
          <w:color w:val="auto"/>
          <w:kern w:val="0"/>
          <w:szCs w:val="24"/>
          <w:highlight w:val="none"/>
        </w:rPr>
        <w:t>管理人决定延长产品募集期，</w:t>
      </w:r>
      <w:r>
        <w:rPr>
          <w:rFonts w:hint="eastAsia" w:ascii="仿宋_GB2312" w:hAnsi="宋体"/>
          <w:color w:val="auto"/>
          <w:kern w:val="0"/>
          <w:szCs w:val="24"/>
          <w:highlight w:val="none"/>
        </w:rPr>
        <w:t>将在理财</w:t>
      </w:r>
      <w:r>
        <w:rPr>
          <w:rFonts w:ascii="仿宋_GB2312" w:hAnsi="宋体"/>
          <w:color w:val="auto"/>
          <w:kern w:val="0"/>
          <w:szCs w:val="24"/>
          <w:highlight w:val="none"/>
        </w:rPr>
        <w:t>产品</w:t>
      </w:r>
      <w:r>
        <w:rPr>
          <w:rFonts w:hint="eastAsia" w:ascii="仿宋_GB2312" w:hAnsi="宋体"/>
          <w:color w:val="auto"/>
          <w:kern w:val="0"/>
          <w:szCs w:val="24"/>
          <w:highlight w:val="none"/>
        </w:rPr>
        <w:t>原定成立日前</w:t>
      </w:r>
      <w:r>
        <w:rPr>
          <w:rFonts w:hint="eastAsia" w:ascii="仿宋_GB2312" w:hAnsi="宋体" w:cs="宋体"/>
          <w:bCs/>
          <w:color w:val="auto"/>
          <w:kern w:val="0"/>
          <w:szCs w:val="24"/>
          <w:highlight w:val="none"/>
        </w:rPr>
        <w:t>通过本产品说明书约定</w:t>
      </w:r>
      <w:r>
        <w:rPr>
          <w:rFonts w:ascii="仿宋_GB2312" w:hAnsi="宋体" w:cs="宋体"/>
          <w:bCs/>
          <w:color w:val="auto"/>
          <w:kern w:val="0"/>
          <w:szCs w:val="24"/>
          <w:highlight w:val="none"/>
        </w:rPr>
        <w:t>方式</w:t>
      </w:r>
      <w:r>
        <w:rPr>
          <w:rFonts w:hint="eastAsia" w:ascii="仿宋_GB2312" w:hAnsi="宋体"/>
          <w:color w:val="auto"/>
          <w:kern w:val="0"/>
          <w:szCs w:val="24"/>
          <w:highlight w:val="none"/>
        </w:rPr>
        <w:t>发布募集期延长公告。</w:t>
      </w:r>
    </w:p>
    <w:p w14:paraId="3335E113">
      <w:pPr>
        <w:widowControl/>
        <w:tabs>
          <w:tab w:val="left" w:pos="709"/>
        </w:tabs>
        <w:snapToGrid w:val="0"/>
        <w:spacing w:line="360" w:lineRule="auto"/>
        <w:ind w:firstLine="480" w:firstLineChars="200"/>
        <w:rPr>
          <w:rFonts w:ascii="仿宋_GB2312" w:hAnsi="宋体"/>
          <w:color w:val="auto"/>
          <w:kern w:val="0"/>
          <w:szCs w:val="24"/>
          <w:highlight w:val="none"/>
        </w:rPr>
      </w:pPr>
      <w:r>
        <w:rPr>
          <w:rFonts w:hint="eastAsia" w:ascii="仿宋_GB2312" w:hAnsi="宋体" w:cs="宋体"/>
          <w:bCs/>
          <w:color w:val="auto"/>
          <w:kern w:val="0"/>
          <w:szCs w:val="24"/>
          <w:highlight w:val="none"/>
        </w:rPr>
        <w:t>（3）</w:t>
      </w:r>
      <w:r>
        <w:rPr>
          <w:rFonts w:hint="eastAsia" w:ascii="仿宋_GB2312" w:hAnsi="宋体"/>
          <w:color w:val="auto"/>
          <w:kern w:val="0"/>
          <w:szCs w:val="24"/>
          <w:highlight w:val="none"/>
        </w:rPr>
        <w:t>调整产品募集规模：</w:t>
      </w:r>
      <w:r>
        <w:rPr>
          <w:rFonts w:hint="eastAsia" w:ascii="仿宋_GB2312" w:hAnsi="宋体" w:cs="宋体"/>
          <w:bCs/>
          <w:color w:val="auto"/>
          <w:kern w:val="0"/>
          <w:szCs w:val="24"/>
          <w:highlight w:val="none"/>
        </w:rPr>
        <w:t>管理人决定调整产品募集规模，</w:t>
      </w:r>
      <w:r>
        <w:rPr>
          <w:rFonts w:hint="eastAsia" w:ascii="仿宋_GB2312" w:hAnsi="宋体"/>
          <w:color w:val="auto"/>
          <w:kern w:val="0"/>
          <w:szCs w:val="24"/>
          <w:highlight w:val="none"/>
        </w:rPr>
        <w:t>将及时通过</w:t>
      </w:r>
      <w:r>
        <w:rPr>
          <w:rFonts w:hint="eastAsia" w:ascii="仿宋_GB2312" w:hAnsi="宋体" w:cs="宋体"/>
          <w:bCs/>
          <w:color w:val="auto"/>
          <w:kern w:val="0"/>
          <w:szCs w:val="24"/>
          <w:highlight w:val="none"/>
        </w:rPr>
        <w:t>本产品说明书约定</w:t>
      </w:r>
      <w:r>
        <w:rPr>
          <w:rFonts w:ascii="仿宋_GB2312" w:hAnsi="宋体" w:cs="宋体"/>
          <w:bCs/>
          <w:color w:val="auto"/>
          <w:kern w:val="0"/>
          <w:szCs w:val="24"/>
          <w:highlight w:val="none"/>
        </w:rPr>
        <w:t>方式</w:t>
      </w:r>
      <w:r>
        <w:rPr>
          <w:rFonts w:hint="eastAsia" w:ascii="仿宋_GB2312" w:hAnsi="宋体"/>
          <w:color w:val="auto"/>
          <w:kern w:val="0"/>
          <w:szCs w:val="24"/>
          <w:highlight w:val="none"/>
        </w:rPr>
        <w:t>发布产品募集规模调整公告。</w:t>
      </w:r>
    </w:p>
    <w:p w14:paraId="7DF22556">
      <w:pPr>
        <w:widowControl/>
        <w:jc w:val="left"/>
        <w:rPr>
          <w:rFonts w:ascii="仿宋_GB2312" w:hAnsi="宋体"/>
          <w:color w:val="auto"/>
          <w:kern w:val="0"/>
          <w:szCs w:val="24"/>
          <w:highlight w:val="none"/>
        </w:rPr>
      </w:pPr>
      <w:r>
        <w:rPr>
          <w:rFonts w:ascii="仿宋_GB2312" w:hAnsi="宋体"/>
          <w:color w:val="auto"/>
          <w:kern w:val="0"/>
          <w:szCs w:val="24"/>
          <w:highlight w:val="none"/>
        </w:rPr>
        <w:br w:type="page"/>
      </w:r>
    </w:p>
    <w:p w14:paraId="49962970">
      <w:pPr>
        <w:pStyle w:val="2"/>
        <w:rPr>
          <w:rFonts w:ascii="仿宋_GB2312" w:hAnsi="宋体"/>
          <w:color w:val="auto"/>
          <w:kern w:val="0"/>
          <w:szCs w:val="24"/>
          <w:highlight w:val="none"/>
        </w:rPr>
      </w:pPr>
      <w:r>
        <w:rPr>
          <w:rFonts w:hint="eastAsia"/>
          <w:color w:val="auto"/>
          <w:highlight w:val="none"/>
        </w:rPr>
        <w:t>理财产品的申购与赎回</w:t>
      </w:r>
    </w:p>
    <w:p w14:paraId="126D5E68">
      <w:pPr>
        <w:rPr>
          <w:color w:val="auto"/>
          <w:highlight w:val="none"/>
        </w:rPr>
      </w:pPr>
      <w:r>
        <w:rPr>
          <w:rFonts w:hint="eastAsia" w:ascii="仿宋_GB2312" w:hAnsi="宋体" w:cs="宋体"/>
          <w:bCs/>
          <w:color w:val="auto"/>
          <w:kern w:val="0"/>
          <w:szCs w:val="24"/>
          <w:highlight w:val="none"/>
        </w:rPr>
        <w:t>本理财产品为封闭式</w:t>
      </w:r>
      <w:r>
        <w:rPr>
          <w:rFonts w:ascii="仿宋_GB2312" w:hAnsi="宋体" w:cs="宋体"/>
          <w:bCs/>
          <w:color w:val="auto"/>
          <w:kern w:val="0"/>
          <w:szCs w:val="24"/>
          <w:highlight w:val="none"/>
        </w:rPr>
        <w:t>产品，</w:t>
      </w:r>
      <w:r>
        <w:rPr>
          <w:rFonts w:hint="eastAsia" w:ascii="仿宋_GB2312" w:hAnsi="宋体" w:cs="宋体"/>
          <w:bCs/>
          <w:color w:val="auto"/>
          <w:kern w:val="0"/>
          <w:szCs w:val="24"/>
          <w:highlight w:val="none"/>
        </w:rPr>
        <w:t>产品存续期不设置</w:t>
      </w:r>
      <w:r>
        <w:rPr>
          <w:rFonts w:ascii="仿宋_GB2312" w:hAnsi="宋体" w:cs="宋体"/>
          <w:bCs/>
          <w:color w:val="auto"/>
          <w:kern w:val="0"/>
          <w:szCs w:val="24"/>
          <w:highlight w:val="none"/>
        </w:rPr>
        <w:t>申购与赎回。</w:t>
      </w:r>
      <w:r>
        <w:rPr>
          <w:color w:val="auto"/>
          <w:highlight w:val="none"/>
        </w:rPr>
        <w:br w:type="page"/>
      </w:r>
    </w:p>
    <w:p w14:paraId="67C4DF8F">
      <w:pPr>
        <w:pStyle w:val="2"/>
        <w:rPr>
          <w:color w:val="auto"/>
          <w:highlight w:val="none"/>
        </w:rPr>
      </w:pPr>
      <w:r>
        <w:rPr>
          <w:rFonts w:hint="eastAsia"/>
          <w:color w:val="auto"/>
          <w:highlight w:val="none"/>
        </w:rPr>
        <w:t>理财产品的投资</w:t>
      </w:r>
    </w:p>
    <w:p w14:paraId="59FECF40">
      <w:pPr>
        <w:pStyle w:val="3"/>
        <w:ind w:firstLine="482"/>
        <w:rPr>
          <w:rFonts w:ascii="楷体_GB2312" w:hAnsi="宋体" w:eastAsia="楷体_GB2312" w:cs="宋体"/>
          <w:bCs/>
          <w:color w:val="auto"/>
          <w:kern w:val="0"/>
          <w:szCs w:val="24"/>
          <w:highlight w:val="none"/>
        </w:rPr>
      </w:pPr>
      <w:r>
        <w:rPr>
          <w:rFonts w:hint="eastAsia" w:ascii="楷体_GB2312" w:hAnsi="宋体" w:eastAsia="楷体_GB2312" w:cs="宋体"/>
          <w:bCs/>
          <w:color w:val="auto"/>
          <w:kern w:val="0"/>
          <w:szCs w:val="24"/>
          <w:highlight w:val="none"/>
        </w:rPr>
        <w:t>投资范围</w:t>
      </w:r>
    </w:p>
    <w:p w14:paraId="61C4A623">
      <w:pPr>
        <w:tabs>
          <w:tab w:val="left" w:pos="3119"/>
        </w:tabs>
        <w:autoSpaceDE w:val="0"/>
        <w:autoSpaceDN w:val="0"/>
        <w:spacing w:line="360" w:lineRule="auto"/>
        <w:ind w:right="36" w:rightChars="15" w:firstLine="480" w:firstLineChars="200"/>
        <w:rPr>
          <w:rFonts w:hint="eastAsia" w:ascii="仿宋_GB2312" w:hAnsi="宋体" w:cs="宋体"/>
          <w:bCs/>
          <w:color w:val="auto"/>
          <w:kern w:val="0"/>
          <w:szCs w:val="24"/>
          <w:highlight w:val="none"/>
          <w:u w:val="none"/>
          <w:lang w:val="en-US" w:eastAsia="zh-CN"/>
        </w:rPr>
      </w:pPr>
      <w:r>
        <w:rPr>
          <w:rFonts w:hint="eastAsia" w:ascii="仿宋_GB2312" w:hAnsi="宋体" w:cs="宋体"/>
          <w:bCs/>
          <w:color w:val="auto"/>
          <w:kern w:val="0"/>
          <w:szCs w:val="24"/>
          <w:highlight w:val="none"/>
          <w:u w:val="none"/>
          <w:lang w:val="en-US" w:eastAsia="zh-CN"/>
        </w:rPr>
        <w:t>本理财产品投资于境内外现金、银行存款、大额存单、同业存单、回购等货币市场工具及国债、地方政府债券、中央银行票据、政府支持机构债、金融债、非金融企业债务融资工具、公司债、企业债、可交换债券、可转换债券、资产支持票据、资产支持证券、次级债（包括二级资本债）、永续债、非标准化债权等债权类资产，优先股、上市公司股票、公募REITs、交易型开放式指数基金（ETF）、上市型开放式基金（LOF）等权益类资产，远期、国债期货、股指期货、商品期货、收益互换、利率互换、期权、债券借贷、结构性存款等商品和金融衍生品类资产，主要投向上述资产类别且符合监管机构要求的公募证券投资基金、信托计划、资产管理计划等资产管理产品以及国务院银行业监督管理机构认可的其他资产。</w:t>
      </w:r>
    </w:p>
    <w:p w14:paraId="3546CF36">
      <w:pPr>
        <w:tabs>
          <w:tab w:val="left" w:pos="3119"/>
        </w:tabs>
        <w:autoSpaceDE w:val="0"/>
        <w:autoSpaceDN w:val="0"/>
        <w:spacing w:line="360" w:lineRule="auto"/>
        <w:ind w:right="36" w:rightChars="15" w:firstLine="480" w:firstLineChars="200"/>
        <w:rPr>
          <w:rFonts w:hint="default" w:ascii="仿宋_GB2312" w:hAnsi="宋体" w:cs="宋体"/>
          <w:bCs/>
          <w:color w:val="auto"/>
          <w:kern w:val="0"/>
          <w:szCs w:val="24"/>
          <w:highlight w:val="none"/>
          <w:u w:val="none"/>
          <w:lang w:val="en-US" w:eastAsia="zh-CN"/>
        </w:rPr>
      </w:pPr>
      <w:r>
        <w:rPr>
          <w:rFonts w:hint="default" w:ascii="仿宋_GB2312" w:hAnsi="宋体" w:cs="宋体"/>
          <w:bCs/>
          <w:color w:val="auto"/>
          <w:kern w:val="0"/>
          <w:szCs w:val="24"/>
          <w:highlight w:val="none"/>
          <w:u w:val="none"/>
          <w:lang w:val="en-US" w:eastAsia="zh-CN"/>
        </w:rPr>
        <w:t>本理财产品在投资于境外资产之前，管理人应获得相应的业务经营范围或投资交易资格。</w:t>
      </w:r>
    </w:p>
    <w:p w14:paraId="1AEB0613">
      <w:pPr>
        <w:tabs>
          <w:tab w:val="left" w:pos="3119"/>
        </w:tabs>
        <w:autoSpaceDE w:val="0"/>
        <w:autoSpaceDN w:val="0"/>
        <w:spacing w:line="360" w:lineRule="auto"/>
        <w:ind w:right="36" w:rightChars="15"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本理财</w:t>
      </w:r>
      <w:r>
        <w:rPr>
          <w:rFonts w:ascii="仿宋_GB2312" w:hAnsi="宋体" w:cs="宋体"/>
          <w:bCs/>
          <w:color w:val="auto"/>
          <w:kern w:val="0"/>
          <w:szCs w:val="24"/>
          <w:highlight w:val="none"/>
          <w:u w:val="none"/>
        </w:rPr>
        <w:t>产品在投资</w:t>
      </w:r>
      <w:r>
        <w:rPr>
          <w:rFonts w:hint="eastAsia" w:ascii="仿宋_GB2312" w:hAnsi="宋体" w:cs="宋体"/>
          <w:bCs/>
          <w:color w:val="auto"/>
          <w:kern w:val="0"/>
          <w:szCs w:val="24"/>
          <w:highlight w:val="none"/>
          <w:u w:val="none"/>
        </w:rPr>
        <w:t>于</w:t>
      </w:r>
      <w:r>
        <w:rPr>
          <w:rFonts w:ascii="仿宋_GB2312" w:hAnsi="宋体" w:cs="宋体"/>
          <w:bCs/>
          <w:color w:val="auto"/>
          <w:kern w:val="0"/>
          <w:szCs w:val="24"/>
          <w:highlight w:val="none"/>
          <w:u w:val="none"/>
        </w:rPr>
        <w:t>商品及金融衍生品类资产之前，管理人应获得相应的业务经营范围或投资交易资格。</w:t>
      </w:r>
    </w:p>
    <w:p w14:paraId="3F9BC7B1">
      <w:pPr>
        <w:tabs>
          <w:tab w:val="left" w:pos="3119"/>
        </w:tabs>
        <w:autoSpaceDE w:val="0"/>
        <w:autoSpaceDN w:val="0"/>
        <w:spacing w:line="360" w:lineRule="auto"/>
        <w:ind w:right="36" w:rightChars="15"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本理财产品投资的资产范围须完全符合法律法规或监管规定，如因法律法规或监管规定的变更、修订或更新导致本理财产品投资某类资产受到限制或禁止的，该类资产将被视为从上述资产范围中自动剔除。</w:t>
      </w:r>
    </w:p>
    <w:p w14:paraId="61D43668">
      <w:pPr>
        <w:pStyle w:val="3"/>
        <w:ind w:firstLine="482"/>
        <w:rPr>
          <w:color w:val="auto"/>
          <w:highlight w:val="none"/>
        </w:rPr>
      </w:pPr>
      <w:r>
        <w:rPr>
          <w:rFonts w:hint="eastAsia"/>
          <w:color w:val="auto"/>
          <w:highlight w:val="none"/>
        </w:rPr>
        <w:t>投资比例</w:t>
      </w:r>
    </w:p>
    <w:p w14:paraId="355CB2B2">
      <w:pPr>
        <w:tabs>
          <w:tab w:val="left" w:pos="3119"/>
        </w:tabs>
        <w:autoSpaceDE w:val="0"/>
        <w:autoSpaceDN w:val="0"/>
        <w:adjustRightInd w:val="0"/>
        <w:spacing w:line="360" w:lineRule="auto"/>
        <w:ind w:right="36" w:rightChars="15" w:firstLine="480" w:firstLineChars="200"/>
        <w:contextualSpacing/>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1.本产品各投资资产占比如下：</w:t>
      </w:r>
    </w:p>
    <w:tbl>
      <w:tblPr>
        <w:tblStyle w:val="17"/>
        <w:tblW w:w="0" w:type="auto"/>
        <w:tblInd w:w="257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19"/>
        <w:gridCol w:w="1456"/>
      </w:tblGrid>
      <w:tr w14:paraId="1A347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9" w:type="dxa"/>
            <w:vAlign w:val="top"/>
          </w:tcPr>
          <w:p w14:paraId="0790126B">
            <w:pPr>
              <w:widowControl/>
              <w:spacing w:line="360" w:lineRule="auto"/>
              <w:jc w:val="center"/>
              <w:rPr>
                <w:rFonts w:ascii="仿宋_GB2312" w:hAnsi="宋体" w:cs="宋体"/>
                <w:bCs/>
                <w:color w:val="auto"/>
                <w:kern w:val="0"/>
                <w:szCs w:val="24"/>
                <w:highlight w:val="none"/>
              </w:rPr>
            </w:pPr>
            <w:r>
              <w:rPr>
                <w:rFonts w:hint="eastAsia" w:ascii="仿宋_GB2312" w:hAnsi="宋体" w:cs="宋体"/>
                <w:bCs/>
                <w:color w:val="auto"/>
                <w:kern w:val="0"/>
                <w:szCs w:val="24"/>
                <w:highlight w:val="none"/>
                <w:u w:val="none"/>
              </w:rPr>
              <w:t>投资资产</w:t>
            </w:r>
          </w:p>
        </w:tc>
        <w:tc>
          <w:tcPr>
            <w:tcW w:w="1456" w:type="dxa"/>
            <w:vAlign w:val="top"/>
          </w:tcPr>
          <w:p w14:paraId="5A8206E4">
            <w:pPr>
              <w:widowControl/>
              <w:spacing w:line="360" w:lineRule="auto"/>
              <w:jc w:val="center"/>
              <w:rPr>
                <w:rFonts w:ascii="仿宋_GB2312" w:hAnsi="宋体" w:cs="宋体"/>
                <w:bCs/>
                <w:color w:val="auto"/>
                <w:kern w:val="0"/>
                <w:szCs w:val="24"/>
                <w:highlight w:val="none"/>
              </w:rPr>
            </w:pPr>
            <w:r>
              <w:rPr>
                <w:rFonts w:hint="eastAsia" w:ascii="仿宋_GB2312" w:hAnsi="宋体" w:cs="宋体"/>
                <w:bCs/>
                <w:color w:val="auto"/>
                <w:kern w:val="0"/>
                <w:szCs w:val="24"/>
                <w:highlight w:val="none"/>
                <w:u w:val="none"/>
              </w:rPr>
              <w:t>投资比例</w:t>
            </w:r>
          </w:p>
        </w:tc>
      </w:tr>
      <w:tr w14:paraId="79B93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9" w:type="dxa"/>
            <w:vAlign w:val="top"/>
          </w:tcPr>
          <w:p w14:paraId="5E098B61">
            <w:pPr>
              <w:widowControl/>
              <w:spacing w:line="360" w:lineRule="auto"/>
              <w:jc w:val="center"/>
              <w:rPr>
                <w:rFonts w:ascii="仿宋_GB2312" w:hAnsi="宋体" w:cs="宋体"/>
                <w:bCs/>
                <w:color w:val="auto"/>
                <w:kern w:val="0"/>
                <w:szCs w:val="24"/>
                <w:highlight w:val="none"/>
              </w:rPr>
            </w:pPr>
            <w:r>
              <w:rPr>
                <w:rFonts w:hint="eastAsia" w:ascii="仿宋_GB2312" w:hAnsi="宋体" w:cs="宋体"/>
                <w:bCs/>
                <w:kern w:val="0"/>
                <w:szCs w:val="24"/>
                <w:highlight w:val="none"/>
              </w:rPr>
              <w:t>债权类资产</w:t>
            </w:r>
          </w:p>
        </w:tc>
        <w:tc>
          <w:tcPr>
            <w:tcW w:w="1456" w:type="dxa"/>
            <w:vAlign w:val="top"/>
          </w:tcPr>
          <w:p w14:paraId="5841E58B">
            <w:pPr>
              <w:widowControl/>
              <w:spacing w:line="360" w:lineRule="auto"/>
              <w:jc w:val="center"/>
              <w:rPr>
                <w:rFonts w:hint="default" w:ascii="仿宋_GB2312" w:hAnsi="宋体" w:cs="宋体"/>
                <w:bCs/>
                <w:color w:val="auto"/>
                <w:kern w:val="0"/>
                <w:szCs w:val="24"/>
                <w:highlight w:val="none"/>
                <w:lang w:val="en-US"/>
              </w:rPr>
            </w:pPr>
            <w:r>
              <w:rPr>
                <w:rFonts w:hint="eastAsia" w:ascii="仿宋_GB2312" w:hAnsi="宋体" w:cs="宋体"/>
                <w:bCs/>
                <w:kern w:val="0"/>
                <w:szCs w:val="24"/>
                <w:highlight w:val="none"/>
                <w:lang w:val="en-US" w:eastAsia="zh-CN"/>
              </w:rPr>
              <w:t>80-100%</w:t>
            </w:r>
          </w:p>
        </w:tc>
      </w:tr>
      <w:tr w14:paraId="4CD8A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9" w:type="dxa"/>
            <w:vAlign w:val="top"/>
          </w:tcPr>
          <w:p w14:paraId="789706CE">
            <w:pPr>
              <w:widowControl/>
              <w:spacing w:line="360" w:lineRule="auto"/>
              <w:jc w:val="center"/>
              <w:rPr>
                <w:rFonts w:ascii="仿宋_GB2312" w:hAnsi="宋体" w:cs="宋体"/>
                <w:bCs/>
                <w:color w:val="auto"/>
                <w:kern w:val="0"/>
                <w:szCs w:val="24"/>
                <w:highlight w:val="none"/>
              </w:rPr>
            </w:pPr>
            <w:r>
              <w:rPr>
                <w:rFonts w:hint="eastAsia" w:ascii="仿宋_GB2312" w:hAnsi="宋体" w:cs="宋体"/>
                <w:bCs/>
                <w:color w:val="auto"/>
                <w:kern w:val="0"/>
                <w:szCs w:val="24"/>
                <w:highlight w:val="none"/>
                <w:u w:val="none"/>
              </w:rPr>
              <w:t>权益类资产</w:t>
            </w:r>
          </w:p>
        </w:tc>
        <w:tc>
          <w:tcPr>
            <w:tcW w:w="1456" w:type="dxa"/>
            <w:vAlign w:val="top"/>
          </w:tcPr>
          <w:p w14:paraId="2040DEF1">
            <w:pPr>
              <w:widowControl/>
              <w:spacing w:line="360" w:lineRule="auto"/>
              <w:jc w:val="center"/>
              <w:rPr>
                <w:rFonts w:hint="default" w:ascii="仿宋_GB2312" w:hAnsi="宋体" w:eastAsia="仿宋_GB2312" w:cs="宋体"/>
                <w:bCs/>
                <w:color w:val="auto"/>
                <w:kern w:val="0"/>
                <w:szCs w:val="24"/>
                <w:highlight w:val="none"/>
                <w:lang w:val="en-US" w:eastAsia="zh-CN"/>
              </w:rPr>
            </w:pPr>
            <w:r>
              <w:rPr>
                <w:rFonts w:hint="eastAsia" w:ascii="仿宋_GB2312" w:hAnsi="宋体" w:cs="宋体"/>
                <w:bCs/>
                <w:color w:val="auto"/>
                <w:kern w:val="0"/>
                <w:szCs w:val="24"/>
                <w:highlight w:val="none"/>
                <w:lang w:val="en-US" w:eastAsia="zh-CN"/>
              </w:rPr>
              <w:t>0-20%</w:t>
            </w:r>
          </w:p>
        </w:tc>
      </w:tr>
      <w:tr w14:paraId="723D9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9" w:type="dxa"/>
            <w:vAlign w:val="top"/>
          </w:tcPr>
          <w:p w14:paraId="0C635D13">
            <w:pPr>
              <w:widowControl/>
              <w:spacing w:line="360" w:lineRule="auto"/>
              <w:jc w:val="center"/>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u w:val="none"/>
              </w:rPr>
              <w:t>商品及金融衍生品类</w:t>
            </w:r>
            <w:r>
              <w:rPr>
                <w:rFonts w:hint="eastAsia" w:ascii="仿宋_GB2312" w:hAnsi="宋体" w:cs="宋体"/>
                <w:bCs/>
                <w:color w:val="auto"/>
                <w:kern w:val="0"/>
                <w:szCs w:val="24"/>
                <w:highlight w:val="none"/>
                <w:u w:val="none"/>
                <w:lang w:eastAsia="zh-CN"/>
              </w:rPr>
              <w:t>资产</w:t>
            </w:r>
          </w:p>
        </w:tc>
        <w:tc>
          <w:tcPr>
            <w:tcW w:w="1456" w:type="dxa"/>
            <w:vAlign w:val="top"/>
          </w:tcPr>
          <w:p w14:paraId="4F9E664E">
            <w:pPr>
              <w:widowControl/>
              <w:spacing w:line="360" w:lineRule="auto"/>
              <w:jc w:val="center"/>
              <w:rPr>
                <w:rFonts w:hint="default" w:ascii="仿宋_GB2312" w:hAnsi="宋体" w:eastAsia="仿宋_GB2312" w:cs="宋体"/>
                <w:bCs/>
                <w:color w:val="auto"/>
                <w:kern w:val="0"/>
                <w:szCs w:val="24"/>
                <w:highlight w:val="none"/>
                <w:lang w:val="en-US" w:eastAsia="zh-CN"/>
              </w:rPr>
            </w:pPr>
            <w:r>
              <w:rPr>
                <w:rFonts w:hint="eastAsia" w:ascii="仿宋_GB2312" w:hAnsi="宋体" w:cs="宋体"/>
                <w:bCs/>
                <w:color w:val="auto"/>
                <w:kern w:val="0"/>
                <w:szCs w:val="24"/>
                <w:highlight w:val="none"/>
                <w:lang w:val="en-US" w:eastAsia="zh-CN"/>
              </w:rPr>
              <w:t>0-20%</w:t>
            </w:r>
          </w:p>
        </w:tc>
      </w:tr>
    </w:tbl>
    <w:p w14:paraId="32C2FD9F">
      <w:pPr>
        <w:widowControl/>
        <w:spacing w:line="360" w:lineRule="auto"/>
        <w:jc w:val="left"/>
        <w:rPr>
          <w:rFonts w:ascii="仿宋_GB2312" w:hAnsi="宋体" w:cs="宋体"/>
          <w:bCs/>
          <w:color w:val="auto"/>
          <w:kern w:val="0"/>
          <w:szCs w:val="24"/>
          <w:highlight w:val="none"/>
        </w:rPr>
      </w:pPr>
    </w:p>
    <w:p w14:paraId="05D8D711">
      <w:pPr>
        <w:widowControl/>
        <w:spacing w:line="360" w:lineRule="auto"/>
        <w:jc w:val="left"/>
        <w:rPr>
          <w:rFonts w:ascii="仿宋_GB2312" w:hAnsi="宋体" w:cs="宋体"/>
          <w:bCs/>
          <w:color w:val="auto"/>
          <w:kern w:val="0"/>
          <w:szCs w:val="24"/>
          <w:highlight w:val="none"/>
        </w:rPr>
      </w:pPr>
      <w:r>
        <w:rPr>
          <w:rFonts w:hint="eastAsia" w:ascii="仿宋_GB2312" w:hAnsi="宋体" w:cs="宋体"/>
          <w:bCs/>
          <w:color w:val="auto"/>
          <w:kern w:val="0"/>
          <w:szCs w:val="24"/>
          <w:highlight w:val="none"/>
        </w:rPr>
        <w:t xml:space="preserve"> </w:t>
      </w:r>
      <w:r>
        <w:rPr>
          <w:rFonts w:ascii="仿宋_GB2312" w:hAnsi="宋体" w:cs="宋体"/>
          <w:bCs/>
          <w:color w:val="auto"/>
          <w:kern w:val="0"/>
          <w:szCs w:val="24"/>
          <w:highlight w:val="none"/>
        </w:rPr>
        <w:t xml:space="preserve">   </w:t>
      </w:r>
      <w:r>
        <w:rPr>
          <w:rFonts w:hint="eastAsia" w:ascii="仿宋_GB2312" w:hAnsi="宋体" w:cs="宋体"/>
          <w:bCs/>
          <w:color w:val="auto"/>
          <w:kern w:val="0"/>
          <w:szCs w:val="24"/>
          <w:highlight w:val="none"/>
        </w:rPr>
        <w:t>管理人将在产品成立后一个月内使资产配置比例符合上述规定。</w:t>
      </w:r>
    </w:p>
    <w:p w14:paraId="7DE6C059">
      <w:pPr>
        <w:tabs>
          <w:tab w:val="left" w:pos="3119"/>
        </w:tabs>
        <w:autoSpaceDE w:val="0"/>
        <w:autoSpaceDN w:val="0"/>
        <w:adjustRightInd w:val="0"/>
        <w:snapToGrid w:val="0"/>
        <w:spacing w:line="360" w:lineRule="auto"/>
        <w:ind w:right="36" w:rightChars="15" w:firstLine="480" w:firstLineChars="200"/>
        <w:jc w:val="left"/>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本产品投资于非标准化债权资产小于产品资产净值的【</w:t>
      </w:r>
      <w:r>
        <w:rPr>
          <w:rFonts w:hint="eastAsia" w:ascii="仿宋_GB2312" w:hAnsi="宋体" w:cs="宋体"/>
          <w:bCs/>
          <w:color w:val="auto"/>
          <w:kern w:val="0"/>
          <w:szCs w:val="24"/>
          <w:highlight w:val="none"/>
          <w:lang w:val="en-US" w:eastAsia="zh-CN"/>
        </w:rPr>
        <w:t>50</w:t>
      </w:r>
      <w:r>
        <w:rPr>
          <w:rFonts w:hint="eastAsia" w:ascii="仿宋_GB2312" w:hAnsi="宋体" w:cs="宋体"/>
          <w:bCs/>
          <w:color w:val="auto"/>
          <w:kern w:val="0"/>
          <w:szCs w:val="24"/>
          <w:highlight w:val="none"/>
        </w:rPr>
        <w:t>】</w:t>
      </w:r>
      <w:r>
        <w:rPr>
          <w:rFonts w:ascii="仿宋_GB2312" w:hAnsi="宋体" w:cs="宋体"/>
          <w:bCs/>
          <w:color w:val="auto"/>
          <w:kern w:val="0"/>
          <w:szCs w:val="24"/>
          <w:highlight w:val="none"/>
        </w:rPr>
        <w:t>%</w:t>
      </w:r>
      <w:r>
        <w:rPr>
          <w:rFonts w:hint="eastAsia" w:ascii="仿宋_GB2312" w:hAnsi="宋体" w:cs="宋体"/>
          <w:bCs/>
          <w:color w:val="auto"/>
          <w:kern w:val="0"/>
          <w:szCs w:val="24"/>
          <w:highlight w:val="none"/>
        </w:rPr>
        <w:t>，非标准化债权资产的到期日不得晚于本产品的到期日。</w:t>
      </w:r>
    </w:p>
    <w:p w14:paraId="29FC5CA1">
      <w:pPr>
        <w:tabs>
          <w:tab w:val="left" w:pos="3119"/>
        </w:tabs>
        <w:autoSpaceDE w:val="0"/>
        <w:autoSpaceDN w:val="0"/>
        <w:adjustRightInd w:val="0"/>
        <w:snapToGrid w:val="0"/>
        <w:spacing w:line="360" w:lineRule="auto"/>
        <w:ind w:right="36" w:rightChars="15"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相关法律法规和监管部门对以上投资范围和配置比例有另行规定的，按照监管最新规定执行。如监管对投资比例无其他明确规定和要求的，由产品管理人与托管人协商确定计算方法。本产品存续期内非</w:t>
      </w:r>
      <w:r>
        <w:rPr>
          <w:rFonts w:ascii="仿宋_GB2312" w:hAnsi="宋体" w:cs="宋体"/>
          <w:bCs/>
          <w:color w:val="auto"/>
          <w:kern w:val="0"/>
          <w:szCs w:val="24"/>
          <w:highlight w:val="none"/>
        </w:rPr>
        <w:t>因</w:t>
      </w:r>
      <w:r>
        <w:rPr>
          <w:rFonts w:hint="eastAsia" w:ascii="仿宋_GB2312" w:hAnsi="宋体" w:cs="宋体"/>
          <w:bCs/>
          <w:color w:val="auto"/>
          <w:kern w:val="0"/>
          <w:szCs w:val="24"/>
          <w:highlight w:val="none"/>
        </w:rPr>
        <w:t>产品</w:t>
      </w:r>
      <w:r>
        <w:rPr>
          <w:rFonts w:ascii="仿宋_GB2312" w:hAnsi="宋体" w:cs="宋体"/>
          <w:bCs/>
          <w:color w:val="auto"/>
          <w:kern w:val="0"/>
          <w:szCs w:val="24"/>
          <w:highlight w:val="none"/>
        </w:rPr>
        <w:t>管理人主</w:t>
      </w:r>
      <w:r>
        <w:rPr>
          <w:rFonts w:hint="eastAsia" w:ascii="仿宋_GB2312" w:hAnsi="宋体" w:cs="宋体"/>
          <w:bCs/>
          <w:color w:val="auto"/>
          <w:kern w:val="0"/>
          <w:szCs w:val="24"/>
          <w:highlight w:val="none"/>
        </w:rPr>
        <w:t>观</w:t>
      </w:r>
      <w:r>
        <w:rPr>
          <w:rFonts w:ascii="仿宋_GB2312" w:hAnsi="宋体" w:cs="宋体"/>
          <w:bCs/>
          <w:color w:val="auto"/>
          <w:kern w:val="0"/>
          <w:szCs w:val="24"/>
          <w:highlight w:val="none"/>
        </w:rPr>
        <w:t>因素</w:t>
      </w:r>
      <w:r>
        <w:rPr>
          <w:rFonts w:hint="eastAsia" w:ascii="仿宋_GB2312" w:hAnsi="宋体" w:cs="宋体"/>
          <w:bCs/>
          <w:color w:val="auto"/>
          <w:kern w:val="0"/>
          <w:szCs w:val="24"/>
          <w:highlight w:val="none"/>
        </w:rPr>
        <w:t>导致产品投资突破上述比例限制，管理人将尽合理努力，在流动性受限资产可出售、可转让或者恢复交易的15个交易日内调整至规定区间。</w:t>
      </w:r>
    </w:p>
    <w:p w14:paraId="632B2AE2">
      <w:pPr>
        <w:pStyle w:val="3"/>
        <w:ind w:firstLine="482"/>
        <w:rPr>
          <w:rFonts w:ascii="仿宋_GB2312" w:hAnsi="宋体" w:cs="宋体"/>
          <w:bCs/>
          <w:color w:val="auto"/>
          <w:kern w:val="0"/>
          <w:szCs w:val="24"/>
          <w:highlight w:val="none"/>
        </w:rPr>
      </w:pPr>
      <w:r>
        <w:rPr>
          <w:rFonts w:hint="eastAsia"/>
          <w:color w:val="auto"/>
          <w:highlight w:val="none"/>
        </w:rPr>
        <w:t>投资限制</w:t>
      </w:r>
    </w:p>
    <w:p w14:paraId="1F1C6735">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投资限制中列示的资产品种不代表管理人的实际投向，本理财计划投资范围以“投资范围”章节表述为准。</w:t>
      </w:r>
    </w:p>
    <w:p w14:paraId="40E877A4">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1．投资集中度限制</w:t>
      </w:r>
    </w:p>
    <w:p w14:paraId="77C9EDCC">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（1）本理财计划持有单只证券或单只公募证券投资基金的市值不得超过该理财计划净资产的10%。</w:t>
      </w:r>
    </w:p>
    <w:p w14:paraId="0B43D106">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（2）管理人发行的全部公募理财计划持有单只证券或单只公募证券投资基金的市值，不得超过该证券市值或该公募证券投资基金市值的30%。</w:t>
      </w:r>
    </w:p>
    <w:p w14:paraId="49935545">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（3）管理人发行的全部理财计划持有单一上市公司发行的股票，不得超过该上市公司可流通股票的30%。</w:t>
      </w:r>
    </w:p>
    <w:p w14:paraId="04FC0B54">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（4）管理人发行的全部开放式公募理财计划投资单一上市公司发行的股票,不得超过该上市公司可流通股票的15%。国务院银行业监督管理机构另有规定的除外。</w:t>
      </w:r>
    </w:p>
    <w:p w14:paraId="52E48487">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非因管理人主观因素导致突破前述比例限制的，管理人应当在流动性受限资产可出售、可转让或者恢复交易的10个交易日内调整至符合要求，国务院银行业监督管理机构规定的特殊情形除外。</w:t>
      </w:r>
    </w:p>
    <w:p w14:paraId="375AFF5D">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2．投资期限限制</w:t>
      </w:r>
    </w:p>
    <w:p w14:paraId="34A8814B">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本理财计划投资的非标准化债权类资产到期日不得晚于理财计划最近一次开放日。</w:t>
      </w:r>
    </w:p>
    <w:p w14:paraId="52059449">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3．投资杠杆率限制</w:t>
      </w:r>
    </w:p>
    <w:p w14:paraId="79B5B417">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本理财计划的总资产不得超过净资产的【</w:t>
      </w:r>
      <w:r>
        <w:rPr>
          <w:rFonts w:hint="eastAsia" w:ascii="仿宋_GB2312" w:hAnsi="宋体" w:cs="宋体"/>
          <w:bCs/>
          <w:color w:val="auto"/>
          <w:kern w:val="0"/>
          <w:szCs w:val="24"/>
          <w:highlight w:val="none"/>
          <w:u w:val="none"/>
          <w:lang w:val="en-US" w:eastAsia="zh-CN"/>
        </w:rPr>
        <w:t>200</w:t>
      </w:r>
      <w:r>
        <w:rPr>
          <w:rFonts w:hint="eastAsia" w:ascii="仿宋_GB2312" w:hAnsi="宋体" w:cs="宋体"/>
          <w:bCs/>
          <w:color w:val="auto"/>
          <w:kern w:val="0"/>
          <w:szCs w:val="24"/>
          <w:highlight w:val="none"/>
          <w:u w:val="none"/>
        </w:rPr>
        <w:t>%】。</w:t>
      </w:r>
    </w:p>
    <w:p w14:paraId="2DE84B4D">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4．流动性限制</w:t>
      </w:r>
    </w:p>
    <w:p w14:paraId="092AF067">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（1）本理财计划直接投资于流动性受限资产的市值在开放日不得超过该理财计划资产净值的15%。</w:t>
      </w:r>
    </w:p>
    <w:p w14:paraId="031F8483">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（2）本理财计划还应满足以下限制【</w:t>
      </w:r>
      <w:r>
        <w:rPr>
          <w:rFonts w:hint="eastAsia" w:ascii="仿宋_GB2312" w:hAnsi="宋体" w:cs="宋体"/>
          <w:bCs/>
          <w:color w:val="auto"/>
          <w:kern w:val="0"/>
          <w:szCs w:val="24"/>
          <w:highlight w:val="none"/>
          <w:u w:val="none"/>
          <w:lang w:val="en-US" w:eastAsia="zh-CN"/>
        </w:rPr>
        <w:t>c</w:t>
      </w:r>
      <w:r>
        <w:rPr>
          <w:rFonts w:hint="eastAsia" w:ascii="仿宋_GB2312" w:hAnsi="宋体" w:cs="宋体"/>
          <w:bCs/>
          <w:color w:val="auto"/>
          <w:kern w:val="0"/>
          <w:szCs w:val="24"/>
          <w:highlight w:val="none"/>
          <w:u w:val="none"/>
        </w:rPr>
        <w:t>】</w:t>
      </w:r>
    </w:p>
    <w:p w14:paraId="54B28440">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a. 本理财计划应当持有不低于该理财计划资产净值5%的现金或者到期日在一年以内的国债、中央银行票据和政策性金融债券。</w:t>
      </w:r>
    </w:p>
    <w:p w14:paraId="3F56B95A">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b. 本理财计划应当在开放日及开放日前7个工作日内持有不低于该理财计划资产净值5%的现金或者到期日在一年以内的国债、中央银行票据和政策性金融债券。</w:t>
      </w:r>
    </w:p>
    <w:p w14:paraId="32138005">
      <w:pPr>
        <w:tabs>
          <w:tab w:val="left" w:pos="3119"/>
        </w:tabs>
        <w:autoSpaceDE w:val="0"/>
        <w:autoSpaceDN w:val="0"/>
        <w:adjustRightInd w:val="0"/>
        <w:spacing w:line="360" w:lineRule="auto"/>
        <w:ind w:right="36" w:rightChars="15" w:firstLine="482" w:firstLineChars="200"/>
        <w:contextualSpacing/>
        <w:rPr>
          <w:rFonts w:hint="eastAsia" w:ascii="仿宋_GB2312" w:hAnsi="宋体" w:cs="宋体"/>
          <w:bCs/>
          <w:color w:val="auto"/>
          <w:kern w:val="0"/>
          <w:szCs w:val="24"/>
          <w:highlight w:val="none"/>
          <w:u w:val="none"/>
        </w:rPr>
      </w:pPr>
      <w:r>
        <w:rPr>
          <w:rFonts w:hint="eastAsia" w:ascii="仿宋_GB2312" w:hAnsi="宋体" w:cs="宋体"/>
          <w:b/>
          <w:bCs w:val="0"/>
          <w:color w:val="auto"/>
          <w:kern w:val="0"/>
          <w:szCs w:val="24"/>
          <w:highlight w:val="none"/>
          <w:u w:val="none"/>
        </w:rPr>
        <w:t>c. 本理财计划投资不存在活跃交易市场，并且需要采用估值技术确定公允价值的资产比例可达到理财产品净资产50%以上。</w:t>
      </w:r>
      <w:r>
        <w:rPr>
          <w:rFonts w:hint="eastAsia" w:ascii="仿宋_GB2312" w:hAnsi="宋体" w:cs="宋体"/>
          <w:bCs/>
          <w:color w:val="auto"/>
          <w:kern w:val="0"/>
          <w:szCs w:val="24"/>
          <w:highlight w:val="none"/>
          <w:u w:val="none"/>
        </w:rPr>
        <w:t xml:space="preserve">                   </w:t>
      </w:r>
    </w:p>
    <w:p w14:paraId="24521202">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（3）在开放日前一工作日内，本理财计划7个工作日可变现资产的可变现价值应当不低于该理财计划资产净值的10%。</w:t>
      </w:r>
    </w:p>
    <w:p w14:paraId="4159623B">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5．其他投资限制</w:t>
      </w:r>
    </w:p>
    <w:p w14:paraId="13EDF554">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本理财计划不得直接投资于信贷资产，不得直接或间接投资于浙商银行信贷资产，不得直接或间接投资于浙商银行或其他银行业金融机构发行的理财产品，不得直接或间接投资于浙商银行发行的次级档信贷资产支持证券，不得直接或间接投资于未上市公司股权及其受（收）益权。</w:t>
      </w:r>
    </w:p>
    <w:p w14:paraId="4DAA4FDF">
      <w:pPr>
        <w:tabs>
          <w:tab w:val="left" w:pos="3119"/>
        </w:tabs>
        <w:autoSpaceDE w:val="0"/>
        <w:autoSpaceDN w:val="0"/>
        <w:adjustRightInd w:val="0"/>
        <w:spacing w:line="360" w:lineRule="auto"/>
        <w:ind w:right="36" w:rightChars="15" w:firstLine="480" w:firstLineChars="200"/>
        <w:contextualSpacing/>
        <w:rPr>
          <w:rFonts w:hint="eastAsia" w:ascii="仿宋_GB2312" w:hAnsi="宋体" w:eastAsia="仿宋_GB2312" w:cs="宋体"/>
          <w:bCs/>
          <w:color w:val="auto"/>
          <w:kern w:val="0"/>
          <w:szCs w:val="24"/>
          <w:highlight w:val="none"/>
          <w:u w:val="single"/>
          <w:lang w:eastAsia="zh-CN"/>
        </w:rPr>
      </w:pPr>
      <w:r>
        <w:rPr>
          <w:rFonts w:hint="eastAsia" w:ascii="仿宋_GB2312" w:hAnsi="宋体" w:cs="宋体"/>
          <w:bCs/>
          <w:color w:val="auto"/>
          <w:kern w:val="0"/>
          <w:szCs w:val="24"/>
          <w:highlight w:val="none"/>
          <w:u w:val="none"/>
        </w:rPr>
        <w:t>以上限制，如监管有最新规定的，将参照监管规定调整。</w:t>
      </w:r>
    </w:p>
    <w:p w14:paraId="7DA8E16B">
      <w:pPr>
        <w:tabs>
          <w:tab w:val="left" w:pos="3119"/>
        </w:tabs>
        <w:autoSpaceDE w:val="0"/>
        <w:autoSpaceDN w:val="0"/>
        <w:adjustRightInd w:val="0"/>
        <w:spacing w:line="360" w:lineRule="auto"/>
        <w:ind w:right="36" w:rightChars="15" w:firstLine="480" w:firstLineChars="200"/>
        <w:contextualSpacing/>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本产品存续期内非</w:t>
      </w:r>
      <w:r>
        <w:rPr>
          <w:rFonts w:ascii="仿宋_GB2312" w:hAnsi="宋体" w:cs="宋体"/>
          <w:bCs/>
          <w:color w:val="auto"/>
          <w:kern w:val="0"/>
          <w:szCs w:val="24"/>
          <w:highlight w:val="none"/>
        </w:rPr>
        <w:t>因</w:t>
      </w:r>
      <w:r>
        <w:rPr>
          <w:rFonts w:hint="eastAsia" w:ascii="仿宋_GB2312" w:hAnsi="宋体" w:cs="宋体"/>
          <w:bCs/>
          <w:color w:val="auto"/>
          <w:kern w:val="0"/>
          <w:szCs w:val="24"/>
          <w:highlight w:val="none"/>
        </w:rPr>
        <w:t>产品</w:t>
      </w:r>
      <w:r>
        <w:rPr>
          <w:rFonts w:ascii="仿宋_GB2312" w:hAnsi="宋体" w:cs="宋体"/>
          <w:bCs/>
          <w:color w:val="auto"/>
          <w:kern w:val="0"/>
          <w:szCs w:val="24"/>
          <w:highlight w:val="none"/>
        </w:rPr>
        <w:t>管理人主</w:t>
      </w:r>
      <w:r>
        <w:rPr>
          <w:rFonts w:hint="eastAsia" w:ascii="仿宋_GB2312" w:hAnsi="宋体" w:cs="宋体"/>
          <w:bCs/>
          <w:color w:val="auto"/>
          <w:kern w:val="0"/>
          <w:szCs w:val="24"/>
          <w:highlight w:val="none"/>
        </w:rPr>
        <w:t>观</w:t>
      </w:r>
      <w:r>
        <w:rPr>
          <w:rFonts w:ascii="仿宋_GB2312" w:hAnsi="宋体" w:cs="宋体"/>
          <w:bCs/>
          <w:color w:val="auto"/>
          <w:kern w:val="0"/>
          <w:szCs w:val="24"/>
          <w:highlight w:val="none"/>
        </w:rPr>
        <w:t>因素</w:t>
      </w:r>
      <w:r>
        <w:rPr>
          <w:rFonts w:hint="eastAsia" w:ascii="仿宋_GB2312" w:hAnsi="宋体" w:cs="宋体"/>
          <w:bCs/>
          <w:color w:val="auto"/>
          <w:kern w:val="0"/>
          <w:szCs w:val="24"/>
          <w:highlight w:val="none"/>
        </w:rPr>
        <w:t>导致产品投资突破上述限制的，管理人将尽合理努力，在15个交易日内调整至符合要求。</w:t>
      </w:r>
    </w:p>
    <w:p w14:paraId="04A11B1B">
      <w:pPr>
        <w:pStyle w:val="3"/>
        <w:ind w:firstLine="482"/>
        <w:rPr>
          <w:color w:val="auto"/>
          <w:highlight w:val="none"/>
        </w:rPr>
      </w:pPr>
      <w:r>
        <w:rPr>
          <w:rFonts w:hint="eastAsia"/>
          <w:color w:val="auto"/>
          <w:highlight w:val="none"/>
        </w:rPr>
        <w:t>投资范围调整</w:t>
      </w:r>
    </w:p>
    <w:p w14:paraId="64D3DD1F">
      <w:pPr>
        <w:tabs>
          <w:tab w:val="left" w:pos="3119"/>
        </w:tabs>
        <w:autoSpaceDE w:val="0"/>
        <w:autoSpaceDN w:val="0"/>
        <w:adjustRightInd w:val="0"/>
        <w:snapToGrid w:val="0"/>
        <w:spacing w:line="360" w:lineRule="auto"/>
        <w:ind w:right="36" w:rightChars="15" w:firstLine="482" w:firstLineChars="200"/>
        <w:rPr>
          <w:rFonts w:ascii="仿宋_GB2312" w:hAnsi="宋体" w:cs="宋体"/>
          <w:b/>
          <w:bCs/>
          <w:color w:val="auto"/>
          <w:kern w:val="0"/>
          <w:szCs w:val="24"/>
          <w:highlight w:val="none"/>
        </w:rPr>
      </w:pPr>
      <w:r>
        <w:rPr>
          <w:rFonts w:hint="eastAsia" w:ascii="仿宋_GB2312" w:hAnsi="宋体" w:cs="宋体"/>
          <w:b/>
          <w:bCs/>
          <w:color w:val="auto"/>
          <w:kern w:val="0"/>
          <w:szCs w:val="24"/>
          <w:highlight w:val="none"/>
        </w:rPr>
        <w:t>在不违反法律、法规、规章和监管规定的强制性规范的前提下，管理人有权根据市场情况，对本产品的投资范围、投资资产种类或投资比例等进行调整，在调整前将通过本产品说明书约定的信息披露渠道进行信息披露。</w:t>
      </w:r>
      <w:r>
        <w:rPr>
          <w:rFonts w:hint="eastAsia" w:ascii="仿宋_GB2312" w:hAnsi="宋体" w:cs="宋体"/>
          <w:color w:val="auto"/>
          <w:kern w:val="0"/>
          <w:szCs w:val="24"/>
          <w:highlight w:val="none"/>
        </w:rPr>
        <w:t>上述情况下管理人可能开放赎回，具体以信息披露内容为准。投资者不同意信息披露内容的，可在信息披露中约定的时间内赎回本产品。如投资者未在上述约定时间内赎回本产品，则视为投资者对上述调整无异议并同意继续持有本产品。除高风险类型的理财产品超出比例范围投资较低风险资产的情况外，管理人应提前取得投资者书面同意，并履行登记备案等法律法规以及金融监督管理部门规定的程序。</w:t>
      </w:r>
    </w:p>
    <w:p w14:paraId="7F09F355">
      <w:pPr>
        <w:pStyle w:val="3"/>
        <w:ind w:firstLine="482"/>
        <w:rPr>
          <w:color w:val="auto"/>
          <w:highlight w:val="none"/>
        </w:rPr>
      </w:pPr>
      <w:r>
        <w:rPr>
          <w:rFonts w:hint="eastAsia"/>
          <w:color w:val="auto"/>
          <w:highlight w:val="none"/>
        </w:rPr>
        <w:t>投资策略</w:t>
      </w:r>
    </w:p>
    <w:p w14:paraId="299F44ED">
      <w:pPr>
        <w:tabs>
          <w:tab w:val="left" w:pos="3119"/>
        </w:tabs>
        <w:autoSpaceDE w:val="0"/>
        <w:autoSpaceDN w:val="0"/>
        <w:adjustRightInd w:val="0"/>
        <w:snapToGrid w:val="0"/>
        <w:spacing w:line="360" w:lineRule="auto"/>
        <w:ind w:right="36" w:rightChars="15" w:firstLine="480" w:firstLineChars="200"/>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本系列产品本着稳健投资的理念，通过对宏观经济的研究，在较低风险资产间进行合理配置，在有效控制信用风险的基础上尽可能提高投资组合收益。理财产品主要投资于各类银行存款、同业存单、回购等货币市场工具以及债券、非标准化债权等债权类资产，以及优先股等权益类资产，同时根据宏观经济、货币政策和信用环境等因素，制定多种投资策略。在投资组合构建和调整的过程中，根据投资品种的变化，如收益率、流动性状况变化或品种到期等，不定期的对组合进行优化调整。</w:t>
      </w:r>
    </w:p>
    <w:p w14:paraId="1EAB430F">
      <w:pPr>
        <w:tabs>
          <w:tab w:val="left" w:pos="3119"/>
        </w:tabs>
        <w:autoSpaceDE w:val="0"/>
        <w:autoSpaceDN w:val="0"/>
        <w:adjustRightInd w:val="0"/>
        <w:snapToGrid w:val="0"/>
        <w:spacing w:line="360" w:lineRule="auto"/>
        <w:ind w:right="36" w:rightChars="15" w:firstLine="480" w:firstLineChars="200"/>
        <w:rPr>
          <w:rFonts w:hint="eastAsia" w:ascii="仿宋_GB2312" w:hAnsi="宋体" w:eastAsia="仿宋_GB2312" w:cs="宋体"/>
          <w:bCs/>
          <w:color w:val="auto"/>
          <w:kern w:val="0"/>
          <w:szCs w:val="24"/>
          <w:highlight w:val="none"/>
          <w:lang w:eastAsia="zh-CN"/>
        </w:rPr>
      </w:pPr>
      <w:r>
        <w:rPr>
          <w:rFonts w:hint="eastAsia" w:ascii="仿宋_GB2312" w:hAnsi="宋体" w:cs="宋体"/>
          <w:bCs/>
          <w:color w:val="auto"/>
          <w:kern w:val="0"/>
          <w:szCs w:val="24"/>
          <w:highlight w:val="none"/>
        </w:rPr>
        <w:t>本产品可在符合监管规定的前提下适当运用杠杆原理，通过回购操作，增强投资组合的收益水平,但本理财产品总资产不超过净资产的200%。</w:t>
      </w:r>
    </w:p>
    <w:p w14:paraId="0C0CFD44">
      <w:pPr>
        <w:pStyle w:val="3"/>
        <w:ind w:firstLine="482"/>
        <w:rPr>
          <w:color w:val="auto"/>
          <w:highlight w:val="none"/>
        </w:rPr>
      </w:pPr>
      <w:r>
        <w:rPr>
          <w:rFonts w:hint="eastAsia"/>
          <w:color w:val="auto"/>
          <w:highlight w:val="none"/>
        </w:rPr>
        <w:t>投资</w:t>
      </w:r>
      <w:r>
        <w:rPr>
          <w:color w:val="auto"/>
          <w:highlight w:val="none"/>
        </w:rPr>
        <w:t>合作机构</w:t>
      </w:r>
    </w:p>
    <w:p w14:paraId="6CEA0829">
      <w:pPr>
        <w:tabs>
          <w:tab w:val="left" w:pos="3119"/>
        </w:tabs>
        <w:autoSpaceDE w:val="0"/>
        <w:autoSpaceDN w:val="0"/>
        <w:adjustRightInd w:val="0"/>
        <w:snapToGrid w:val="0"/>
        <w:spacing w:line="360" w:lineRule="auto"/>
        <w:ind w:right="36" w:rightChars="15"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投资合作机构包括但不限于理财产品所投资资产管理产品的发行机构、根据合同约定从事理财产品受托投资的机构、与理财产品投资管理相关的投资顾问等。本理财产品的投资合作机构主要职责为对受托资金进行投资和管理，根据合同约定从事受托投资或提供投资顾问等服务，具体职责以管理人与投资合作机构签署的合同为准。</w:t>
      </w:r>
    </w:p>
    <w:p w14:paraId="75959456">
      <w:pPr>
        <w:tabs>
          <w:tab w:val="left" w:pos="3119"/>
        </w:tabs>
        <w:autoSpaceDE w:val="0"/>
        <w:autoSpaceDN w:val="0"/>
        <w:adjustRightInd w:val="0"/>
        <w:snapToGrid w:val="0"/>
        <w:spacing w:line="360" w:lineRule="auto"/>
        <w:ind w:right="36" w:rightChars="15"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本理财产品的投资合作机构均为具有专业资质并受国家金融监督管理总局监管的金融机构或国务院银行业监督管理机构认可的其他机构。本理财产品成立时暂无特定投资合作机构，具体以后续信息披露为准。</w:t>
      </w:r>
    </w:p>
    <w:p w14:paraId="2F68F7BD">
      <w:pPr>
        <w:tabs>
          <w:tab w:val="left" w:pos="3119"/>
        </w:tabs>
        <w:autoSpaceDE w:val="0"/>
        <w:autoSpaceDN w:val="0"/>
        <w:adjustRightInd w:val="0"/>
        <w:snapToGrid w:val="0"/>
        <w:spacing w:line="360" w:lineRule="auto"/>
        <w:ind w:right="36" w:rightChars="15" w:firstLine="480" w:firstLineChars="200"/>
        <w:rPr>
          <w:rFonts w:ascii="仿宋_GB2312" w:hAnsi="宋体" w:cs="宋体"/>
          <w:bCs/>
          <w:color w:val="auto"/>
          <w:kern w:val="0"/>
          <w:szCs w:val="24"/>
          <w:highlight w:val="none"/>
        </w:rPr>
      </w:pPr>
    </w:p>
    <w:p w14:paraId="54889E0D">
      <w:pPr>
        <w:pStyle w:val="2"/>
        <w:numPr>
          <w:ilvl w:val="0"/>
          <w:numId w:val="0"/>
        </w:numPr>
        <w:jc w:val="both"/>
        <w:rPr>
          <w:color w:val="auto"/>
          <w:highlight w:val="none"/>
        </w:rPr>
      </w:pPr>
      <w:r>
        <w:rPr>
          <w:rFonts w:hint="eastAsia" w:ascii="仿宋_GB2312" w:hAnsi="宋体" w:eastAsia="仿宋_GB2312" w:cs="宋体"/>
          <w:bCs/>
          <w:color w:val="auto"/>
          <w:kern w:val="0"/>
          <w:sz w:val="24"/>
          <w:szCs w:val="24"/>
          <w:highlight w:val="none"/>
        </w:rPr>
        <w:br w:type="page"/>
      </w:r>
    </w:p>
    <w:p w14:paraId="62202B2A">
      <w:pPr>
        <w:pStyle w:val="2"/>
        <w:tabs>
          <w:tab w:val="left" w:pos="3119"/>
          <w:tab w:val="clear" w:pos="0"/>
        </w:tabs>
        <w:autoSpaceDE w:val="0"/>
        <w:autoSpaceDN w:val="0"/>
        <w:adjustRightInd w:val="0"/>
        <w:spacing w:before="240"/>
        <w:ind w:right="36" w:rightChars="15" w:firstLine="560"/>
        <w:contextualSpacing/>
        <w:rPr>
          <w:color w:val="auto"/>
          <w:highlight w:val="none"/>
        </w:rPr>
      </w:pPr>
      <w:r>
        <w:rPr>
          <w:rFonts w:hint="eastAsia"/>
          <w:color w:val="auto"/>
          <w:highlight w:val="none"/>
        </w:rPr>
        <w:t>理财产品的托管</w:t>
      </w:r>
    </w:p>
    <w:p w14:paraId="789C7206">
      <w:pPr>
        <w:tabs>
          <w:tab w:val="left" w:pos="3119"/>
        </w:tabs>
        <w:autoSpaceDE w:val="0"/>
        <w:autoSpaceDN w:val="0"/>
        <w:adjustRightInd w:val="0"/>
        <w:spacing w:before="240" w:line="360" w:lineRule="auto"/>
        <w:ind w:right="36" w:rightChars="15" w:firstLine="480" w:firstLineChars="200"/>
        <w:contextualSpacing/>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rPr>
        <w:t>本理财</w:t>
      </w:r>
      <w:r>
        <w:rPr>
          <w:rFonts w:hint="eastAsia" w:ascii="仿宋_GB2312" w:hAnsi="宋体" w:cs="宋体"/>
          <w:bCs/>
          <w:color w:val="auto"/>
          <w:kern w:val="0"/>
          <w:szCs w:val="24"/>
          <w:highlight w:val="none"/>
          <w:u w:val="none"/>
        </w:rPr>
        <w:t>产品托管人为</w:t>
      </w:r>
      <w:r>
        <w:rPr>
          <w:rFonts w:hint="eastAsia" w:ascii="仿宋_GB2312" w:hAnsi="宋体" w:cs="宋体"/>
          <w:bCs/>
          <w:color w:val="auto"/>
          <w:kern w:val="0"/>
          <w:szCs w:val="24"/>
          <w:highlight w:val="none"/>
          <w:u w:val="none"/>
          <w:lang w:val="en-US" w:eastAsia="zh-CN"/>
        </w:rPr>
        <w:t>浙商银行股份有限公司</w:t>
      </w:r>
      <w:r>
        <w:rPr>
          <w:rFonts w:hint="eastAsia" w:ascii="仿宋_GB2312" w:hAnsi="宋体" w:cs="宋体"/>
          <w:bCs/>
          <w:color w:val="auto"/>
          <w:kern w:val="0"/>
          <w:szCs w:val="24"/>
          <w:highlight w:val="none"/>
          <w:u w:val="none"/>
        </w:rPr>
        <w:t>。托管人【是】产品管理人的关联方。</w:t>
      </w:r>
    </w:p>
    <w:p w14:paraId="099F890B">
      <w:pPr>
        <w:tabs>
          <w:tab w:val="left" w:pos="3119"/>
        </w:tabs>
        <w:autoSpaceDE w:val="0"/>
        <w:autoSpaceDN w:val="0"/>
        <w:adjustRightInd w:val="0"/>
        <w:spacing w:before="240" w:line="360" w:lineRule="auto"/>
        <w:ind w:right="36" w:rightChars="15" w:firstLine="480" w:firstLineChars="200"/>
        <w:contextualSpacing/>
        <w:rPr>
          <w:rFonts w:ascii="仿宋_GB2312" w:hAnsi="宋体" w:cs="宋体"/>
          <w:bCs/>
          <w:color w:val="auto"/>
          <w:kern w:val="0"/>
          <w:szCs w:val="24"/>
          <w:highlight w:val="none"/>
        </w:rPr>
      </w:pPr>
      <w:r>
        <w:rPr>
          <w:rFonts w:hint="eastAsia" w:ascii="仿宋_GB2312" w:hAnsi="宋体" w:cs="宋体"/>
          <w:bCs/>
          <w:color w:val="auto"/>
          <w:kern w:val="0"/>
          <w:szCs w:val="24"/>
          <w:highlight w:val="none"/>
          <w:u w:val="none"/>
          <w:lang w:val="en-US" w:eastAsia="zh-CN"/>
        </w:rPr>
        <w:t>浙商银行</w:t>
      </w:r>
      <w:r>
        <w:rPr>
          <w:rFonts w:hint="eastAsia" w:ascii="仿宋_GB2312" w:hAnsi="宋体" w:cs="宋体"/>
          <w:bCs/>
          <w:color w:val="auto"/>
          <w:kern w:val="0"/>
          <w:szCs w:val="24"/>
          <w:highlight w:val="none"/>
          <w:u w:val="none"/>
        </w:rPr>
        <w:t>具备监管机</w:t>
      </w:r>
      <w:r>
        <w:rPr>
          <w:rFonts w:hint="eastAsia" w:ascii="仿宋_GB2312" w:hAnsi="宋体" w:cs="宋体"/>
          <w:bCs/>
          <w:color w:val="auto"/>
          <w:kern w:val="0"/>
          <w:szCs w:val="24"/>
          <w:highlight w:val="none"/>
        </w:rPr>
        <w:t>构认可的理财产品托管资格，主要履行职责包括：</w:t>
      </w:r>
    </w:p>
    <w:p w14:paraId="1FF8EFCD">
      <w:pPr>
        <w:tabs>
          <w:tab w:val="left" w:pos="3119"/>
        </w:tabs>
        <w:autoSpaceDE w:val="0"/>
        <w:autoSpaceDN w:val="0"/>
        <w:adjustRightInd w:val="0"/>
        <w:spacing w:before="240" w:line="360" w:lineRule="auto"/>
        <w:ind w:right="36" w:rightChars="15" w:firstLine="480" w:firstLineChars="200"/>
        <w:contextualSpacing/>
        <w:rPr>
          <w:rFonts w:ascii="仿宋_GB2312" w:hAnsi="宋体" w:cs="宋体"/>
          <w:bCs/>
          <w:color w:val="auto"/>
          <w:kern w:val="0"/>
          <w:szCs w:val="24"/>
          <w:highlight w:val="none"/>
        </w:rPr>
      </w:pPr>
      <w:r>
        <w:rPr>
          <w:rFonts w:hint="eastAsia" w:ascii="仿宋_GB2312" w:hAnsi="宋体" w:cs="宋体"/>
          <w:bCs/>
          <w:color w:val="auto"/>
          <w:kern w:val="0"/>
          <w:szCs w:val="24"/>
          <w:highlight w:val="none"/>
        </w:rPr>
        <w:t>（一）安全保管理财产品财产；</w:t>
      </w:r>
    </w:p>
    <w:p w14:paraId="59846364">
      <w:pPr>
        <w:tabs>
          <w:tab w:val="left" w:pos="3119"/>
        </w:tabs>
        <w:autoSpaceDE w:val="0"/>
        <w:autoSpaceDN w:val="0"/>
        <w:adjustRightInd w:val="0"/>
        <w:spacing w:before="240" w:line="360" w:lineRule="auto"/>
        <w:ind w:right="36" w:rightChars="15" w:firstLine="480" w:firstLineChars="200"/>
        <w:contextualSpacing/>
        <w:rPr>
          <w:rFonts w:ascii="仿宋_GB2312" w:hAnsi="宋体" w:cs="宋体"/>
          <w:bCs/>
          <w:color w:val="auto"/>
          <w:kern w:val="0"/>
          <w:szCs w:val="24"/>
          <w:highlight w:val="none"/>
        </w:rPr>
      </w:pPr>
      <w:r>
        <w:rPr>
          <w:rFonts w:hint="eastAsia" w:ascii="仿宋_GB2312" w:hAnsi="宋体" w:cs="宋体"/>
          <w:bCs/>
          <w:color w:val="auto"/>
          <w:kern w:val="0"/>
          <w:szCs w:val="24"/>
          <w:highlight w:val="none"/>
        </w:rPr>
        <w:t>（二）确保托管资金安全，保证其托管的理财产品财产与其自有资产相互独立；为每只理财产品开设独立的托管账户，不同托管账户中的资产应当相互独立；</w:t>
      </w:r>
    </w:p>
    <w:p w14:paraId="7A53BD81">
      <w:pPr>
        <w:tabs>
          <w:tab w:val="left" w:pos="3119"/>
        </w:tabs>
        <w:autoSpaceDE w:val="0"/>
        <w:autoSpaceDN w:val="0"/>
        <w:adjustRightInd w:val="0"/>
        <w:spacing w:before="240" w:line="360" w:lineRule="auto"/>
        <w:ind w:right="36" w:rightChars="15" w:firstLine="480" w:firstLineChars="200"/>
        <w:contextualSpacing/>
        <w:rPr>
          <w:rFonts w:ascii="仿宋_GB2312" w:hAnsi="宋体" w:cs="宋体"/>
          <w:bCs/>
          <w:color w:val="auto"/>
          <w:kern w:val="0"/>
          <w:szCs w:val="24"/>
          <w:highlight w:val="none"/>
        </w:rPr>
      </w:pPr>
      <w:r>
        <w:rPr>
          <w:rFonts w:hint="eastAsia" w:ascii="仿宋_GB2312" w:hAnsi="宋体" w:cs="宋体"/>
          <w:bCs/>
          <w:color w:val="auto"/>
          <w:kern w:val="0"/>
          <w:szCs w:val="24"/>
          <w:highlight w:val="none"/>
        </w:rPr>
        <w:t>（三）按照托管协议约定和管理人的投资指令，及时办理清算、交割事宜；</w:t>
      </w:r>
    </w:p>
    <w:p w14:paraId="213771B8">
      <w:pPr>
        <w:tabs>
          <w:tab w:val="left" w:pos="3119"/>
        </w:tabs>
        <w:autoSpaceDE w:val="0"/>
        <w:autoSpaceDN w:val="0"/>
        <w:adjustRightInd w:val="0"/>
        <w:spacing w:before="240" w:line="360" w:lineRule="auto"/>
        <w:ind w:right="36" w:rightChars="15" w:firstLine="480" w:firstLineChars="200"/>
        <w:contextualSpacing/>
        <w:rPr>
          <w:rFonts w:ascii="仿宋_GB2312" w:hAnsi="宋体" w:cs="宋体"/>
          <w:bCs/>
          <w:color w:val="auto"/>
          <w:kern w:val="0"/>
          <w:szCs w:val="24"/>
          <w:highlight w:val="none"/>
        </w:rPr>
      </w:pPr>
      <w:r>
        <w:rPr>
          <w:rFonts w:hint="eastAsia" w:ascii="仿宋_GB2312" w:hAnsi="宋体" w:cs="宋体"/>
          <w:bCs/>
          <w:color w:val="auto"/>
          <w:kern w:val="0"/>
          <w:szCs w:val="24"/>
          <w:highlight w:val="none"/>
        </w:rPr>
        <w:t>（四）建立与管理人的对账机制，复核、审查理财产品资金头寸、资产账目、资产净值、认购和赎回价格等数据，及时核查认购、赎回以及投资资金的支付和到账情况；</w:t>
      </w:r>
    </w:p>
    <w:p w14:paraId="67A5485A">
      <w:pPr>
        <w:tabs>
          <w:tab w:val="left" w:pos="3119"/>
        </w:tabs>
        <w:autoSpaceDE w:val="0"/>
        <w:autoSpaceDN w:val="0"/>
        <w:adjustRightInd w:val="0"/>
        <w:spacing w:before="240" w:line="360" w:lineRule="auto"/>
        <w:ind w:right="36" w:rightChars="15" w:firstLine="480" w:firstLineChars="200"/>
        <w:contextualSpacing/>
        <w:rPr>
          <w:rFonts w:ascii="仿宋_GB2312" w:hAnsi="宋体" w:cs="宋体"/>
          <w:bCs/>
          <w:color w:val="auto"/>
          <w:kern w:val="0"/>
          <w:szCs w:val="24"/>
          <w:highlight w:val="none"/>
        </w:rPr>
      </w:pPr>
      <w:r>
        <w:rPr>
          <w:rFonts w:hint="eastAsia" w:ascii="仿宋_GB2312" w:hAnsi="宋体" w:cs="宋体"/>
          <w:bCs/>
          <w:color w:val="auto"/>
          <w:kern w:val="0"/>
          <w:szCs w:val="24"/>
          <w:highlight w:val="none"/>
        </w:rPr>
        <w:t>（五）监督理财产品投资运作，发现理财产品违反法律、行政法规、规章规定或合同约定进行投资的，应当拒绝执行，及时通知管理人并报告银行业监督管理机构；</w:t>
      </w:r>
    </w:p>
    <w:p w14:paraId="4D925B10">
      <w:pPr>
        <w:tabs>
          <w:tab w:val="left" w:pos="3119"/>
        </w:tabs>
        <w:autoSpaceDE w:val="0"/>
        <w:autoSpaceDN w:val="0"/>
        <w:adjustRightInd w:val="0"/>
        <w:spacing w:before="240" w:line="360" w:lineRule="auto"/>
        <w:ind w:right="36" w:rightChars="15" w:firstLine="480" w:firstLineChars="200"/>
        <w:contextualSpacing/>
        <w:rPr>
          <w:rFonts w:ascii="仿宋_GB2312" w:hAnsi="宋体" w:cs="宋体"/>
          <w:bCs/>
          <w:color w:val="auto"/>
          <w:kern w:val="0"/>
          <w:szCs w:val="24"/>
          <w:highlight w:val="none"/>
        </w:rPr>
      </w:pPr>
      <w:r>
        <w:rPr>
          <w:rFonts w:hint="eastAsia" w:ascii="仿宋_GB2312" w:hAnsi="宋体" w:cs="宋体"/>
          <w:bCs/>
          <w:color w:val="auto"/>
          <w:kern w:val="0"/>
          <w:szCs w:val="24"/>
          <w:highlight w:val="none"/>
        </w:rPr>
        <w:t>（六）办理与理财产品托管业务活动相关的信息披露事项，包括披露理财产品托管协议、对理财产品信息披露文件中的理财产品财务会计报告等出具意见，以及在公募理财产品半年度和年度报告中出具理财托管机构报告等；</w:t>
      </w:r>
    </w:p>
    <w:p w14:paraId="332AEB4D">
      <w:pPr>
        <w:tabs>
          <w:tab w:val="left" w:pos="3119"/>
        </w:tabs>
        <w:autoSpaceDE w:val="0"/>
        <w:autoSpaceDN w:val="0"/>
        <w:adjustRightInd w:val="0"/>
        <w:spacing w:before="240" w:line="360" w:lineRule="auto"/>
        <w:ind w:right="36" w:rightChars="15" w:firstLine="480" w:firstLineChars="200"/>
        <w:contextualSpacing/>
        <w:rPr>
          <w:rFonts w:ascii="仿宋_GB2312" w:hAnsi="宋体" w:cs="宋体"/>
          <w:bCs/>
          <w:color w:val="auto"/>
          <w:kern w:val="0"/>
          <w:szCs w:val="24"/>
          <w:highlight w:val="none"/>
        </w:rPr>
      </w:pPr>
      <w:r>
        <w:rPr>
          <w:rFonts w:hint="eastAsia" w:ascii="仿宋_GB2312" w:hAnsi="宋体" w:cs="宋体"/>
          <w:bCs/>
          <w:color w:val="auto"/>
          <w:kern w:val="0"/>
          <w:szCs w:val="24"/>
          <w:highlight w:val="none"/>
        </w:rPr>
        <w:t>（七）理财托管业务活动的记录、账册、报表和其他相关资料保存</w:t>
      </w:r>
      <w:r>
        <w:rPr>
          <w:rFonts w:ascii="仿宋_GB2312" w:hAnsi="宋体" w:cs="宋体"/>
          <w:bCs/>
          <w:color w:val="auto"/>
          <w:kern w:val="0"/>
          <w:szCs w:val="24"/>
          <w:highlight w:val="none"/>
        </w:rPr>
        <w:t>15年以上；</w:t>
      </w:r>
    </w:p>
    <w:p w14:paraId="65410204">
      <w:pPr>
        <w:tabs>
          <w:tab w:val="left" w:pos="3119"/>
        </w:tabs>
        <w:autoSpaceDE w:val="0"/>
        <w:autoSpaceDN w:val="0"/>
        <w:adjustRightInd w:val="0"/>
        <w:spacing w:before="240" w:line="360" w:lineRule="auto"/>
        <w:ind w:right="36" w:rightChars="15" w:firstLine="480" w:firstLineChars="200"/>
        <w:contextualSpacing/>
        <w:rPr>
          <w:rFonts w:ascii="仿宋_GB2312" w:hAnsi="宋体" w:cs="宋体"/>
          <w:bCs/>
          <w:color w:val="auto"/>
          <w:kern w:val="0"/>
          <w:szCs w:val="24"/>
          <w:highlight w:val="none"/>
        </w:rPr>
      </w:pPr>
      <w:r>
        <w:rPr>
          <w:rFonts w:hint="eastAsia" w:ascii="仿宋_GB2312" w:hAnsi="宋体" w:cs="宋体"/>
          <w:bCs/>
          <w:color w:val="auto"/>
          <w:kern w:val="0"/>
          <w:szCs w:val="24"/>
          <w:highlight w:val="none"/>
        </w:rPr>
        <w:t>（八）对理财产品投资信息和相关资料承担保密责任，除法律、行政法规、规章规定、审计要求或者合同约定外，不得向任何机构或者个人提供相关信息和资料；</w:t>
      </w:r>
    </w:p>
    <w:p w14:paraId="373631F7">
      <w:pPr>
        <w:tabs>
          <w:tab w:val="left" w:pos="3119"/>
        </w:tabs>
        <w:autoSpaceDE w:val="0"/>
        <w:autoSpaceDN w:val="0"/>
        <w:adjustRightInd w:val="0"/>
        <w:spacing w:before="240" w:line="360" w:lineRule="auto"/>
        <w:ind w:right="36" w:rightChars="15" w:firstLine="480" w:firstLineChars="200"/>
        <w:contextualSpacing/>
        <w:rPr>
          <w:rFonts w:ascii="仿宋_GB2312" w:hAnsi="宋体" w:cs="宋体"/>
          <w:bCs/>
          <w:color w:val="auto"/>
          <w:kern w:val="0"/>
          <w:szCs w:val="24"/>
          <w:highlight w:val="none"/>
        </w:rPr>
      </w:pPr>
      <w:r>
        <w:rPr>
          <w:rFonts w:hint="eastAsia" w:ascii="仿宋_GB2312" w:hAnsi="宋体" w:cs="宋体"/>
          <w:bCs/>
          <w:color w:val="auto"/>
          <w:kern w:val="0"/>
          <w:szCs w:val="24"/>
          <w:highlight w:val="none"/>
        </w:rPr>
        <w:t>（九）托管人的董事、监事、高级管理人员和其他托管业务人员不得有《商业银行理财业务监督管理办法》第二十四条第二款所列行为；</w:t>
      </w:r>
    </w:p>
    <w:p w14:paraId="15BD4FA7">
      <w:pPr>
        <w:tabs>
          <w:tab w:val="left" w:pos="3119"/>
        </w:tabs>
        <w:autoSpaceDE w:val="0"/>
        <w:autoSpaceDN w:val="0"/>
        <w:adjustRightInd w:val="0"/>
        <w:spacing w:before="240" w:line="360" w:lineRule="auto"/>
        <w:ind w:right="36" w:rightChars="15" w:firstLine="480" w:firstLineChars="200"/>
        <w:contextualSpacing/>
        <w:rPr>
          <w:rFonts w:ascii="仿宋_GB2312" w:hAnsi="宋体" w:cs="宋体"/>
          <w:bCs/>
          <w:color w:val="auto"/>
          <w:kern w:val="0"/>
          <w:szCs w:val="24"/>
          <w:highlight w:val="none"/>
        </w:rPr>
      </w:pPr>
      <w:r>
        <w:rPr>
          <w:rFonts w:hint="eastAsia" w:ascii="仿宋_GB2312" w:hAnsi="宋体" w:cs="宋体"/>
          <w:bCs/>
          <w:color w:val="auto"/>
          <w:kern w:val="0"/>
          <w:szCs w:val="24"/>
          <w:highlight w:val="none"/>
        </w:rPr>
        <w:t>（十</w:t>
      </w:r>
      <w:r>
        <w:rPr>
          <w:rFonts w:ascii="仿宋_GB2312" w:hAnsi="宋体" w:cs="宋体"/>
          <w:bCs/>
          <w:color w:val="auto"/>
          <w:kern w:val="0"/>
          <w:szCs w:val="24"/>
          <w:highlight w:val="none"/>
        </w:rPr>
        <w:t>）</w:t>
      </w:r>
      <w:r>
        <w:rPr>
          <w:rFonts w:hint="eastAsia" w:ascii="仿宋_GB2312" w:hAnsi="宋体" w:cs="宋体"/>
          <w:bCs/>
          <w:color w:val="auto"/>
          <w:kern w:val="0"/>
          <w:szCs w:val="24"/>
          <w:highlight w:val="none"/>
        </w:rPr>
        <w:t>配合提供托管人相应关联方信息；</w:t>
      </w:r>
    </w:p>
    <w:p w14:paraId="76F12026">
      <w:pPr>
        <w:tabs>
          <w:tab w:val="left" w:pos="3119"/>
        </w:tabs>
        <w:autoSpaceDE w:val="0"/>
        <w:autoSpaceDN w:val="0"/>
        <w:adjustRightInd w:val="0"/>
        <w:spacing w:before="240" w:line="360" w:lineRule="auto"/>
        <w:ind w:right="36" w:rightChars="15" w:firstLine="480" w:firstLineChars="200"/>
        <w:contextualSpacing/>
        <w:rPr>
          <w:rFonts w:ascii="仿宋_GB2312" w:hAnsi="宋体" w:cs="宋体"/>
          <w:bCs/>
          <w:color w:val="auto"/>
          <w:kern w:val="0"/>
          <w:szCs w:val="24"/>
          <w:highlight w:val="none"/>
        </w:rPr>
      </w:pPr>
      <w:r>
        <w:rPr>
          <w:rFonts w:hint="eastAsia" w:ascii="仿宋_GB2312" w:hAnsi="宋体" w:cs="宋体"/>
          <w:bCs/>
          <w:color w:val="auto"/>
          <w:kern w:val="0"/>
          <w:szCs w:val="24"/>
          <w:highlight w:val="none"/>
        </w:rPr>
        <w:t>（十</w:t>
      </w:r>
      <w:r>
        <w:rPr>
          <w:rFonts w:ascii="仿宋_GB2312" w:hAnsi="宋体" w:cs="宋体"/>
          <w:bCs/>
          <w:color w:val="auto"/>
          <w:kern w:val="0"/>
          <w:szCs w:val="24"/>
          <w:highlight w:val="none"/>
        </w:rPr>
        <w:t>一）</w:t>
      </w:r>
      <w:r>
        <w:rPr>
          <w:rFonts w:hint="eastAsia" w:ascii="仿宋_GB2312" w:hAnsi="宋体" w:cs="宋体"/>
          <w:bCs/>
          <w:color w:val="auto"/>
          <w:kern w:val="0"/>
          <w:szCs w:val="24"/>
          <w:highlight w:val="none"/>
        </w:rPr>
        <w:t>国务院银行业监督管理机构规定的其他职责。</w:t>
      </w:r>
    </w:p>
    <w:p w14:paraId="4212535B">
      <w:pPr>
        <w:widowControl/>
        <w:jc w:val="left"/>
        <w:rPr>
          <w:rFonts w:ascii="仿宋_GB2312" w:hAnsi="宋体" w:cs="宋体"/>
          <w:bCs/>
          <w:color w:val="auto"/>
          <w:kern w:val="0"/>
          <w:szCs w:val="24"/>
          <w:highlight w:val="none"/>
        </w:rPr>
      </w:pPr>
      <w:r>
        <w:rPr>
          <w:rFonts w:ascii="仿宋_GB2312" w:hAnsi="宋体" w:cs="宋体"/>
          <w:bCs/>
          <w:color w:val="auto"/>
          <w:kern w:val="0"/>
          <w:szCs w:val="24"/>
          <w:highlight w:val="none"/>
        </w:rPr>
        <w:br w:type="page"/>
      </w:r>
    </w:p>
    <w:p w14:paraId="66025D98">
      <w:pPr>
        <w:pStyle w:val="2"/>
        <w:rPr>
          <w:color w:val="auto"/>
          <w:highlight w:val="none"/>
        </w:rPr>
      </w:pPr>
      <w:r>
        <w:rPr>
          <w:rFonts w:hint="eastAsia"/>
          <w:color w:val="auto"/>
          <w:highlight w:val="none"/>
        </w:rPr>
        <w:t>理财产品资产估值</w:t>
      </w:r>
    </w:p>
    <w:p w14:paraId="56D7DDE2">
      <w:pPr>
        <w:pStyle w:val="3"/>
        <w:ind w:firstLine="482"/>
        <w:rPr>
          <w:color w:val="auto"/>
          <w:highlight w:val="none"/>
        </w:rPr>
      </w:pPr>
      <w:r>
        <w:rPr>
          <w:rFonts w:hint="eastAsia"/>
          <w:color w:val="auto"/>
          <w:highlight w:val="none"/>
        </w:rPr>
        <w:t>估值日</w:t>
      </w:r>
    </w:p>
    <w:p w14:paraId="1B8516D8">
      <w:pPr>
        <w:tabs>
          <w:tab w:val="left" w:pos="3119"/>
        </w:tabs>
        <w:autoSpaceDE w:val="0"/>
        <w:autoSpaceDN w:val="0"/>
        <w:snapToGrid w:val="0"/>
        <w:spacing w:line="360" w:lineRule="auto"/>
        <w:ind w:firstLine="464" w:firstLineChars="200"/>
        <w:rPr>
          <w:rFonts w:ascii="仿宋_GB2312" w:hAnsi="宋体" w:cs="宋体"/>
          <w:bCs/>
          <w:color w:val="auto"/>
          <w:spacing w:val="-4"/>
          <w:kern w:val="0"/>
          <w:szCs w:val="24"/>
          <w:highlight w:val="none"/>
        </w:rPr>
      </w:pPr>
      <w:r>
        <w:rPr>
          <w:rFonts w:hint="eastAsia" w:ascii="仿宋_GB2312" w:hAnsi="宋体" w:cs="宋体"/>
          <w:bCs/>
          <w:color w:val="auto"/>
          <w:spacing w:val="-4"/>
          <w:kern w:val="0"/>
          <w:szCs w:val="24"/>
          <w:highlight w:val="none"/>
        </w:rPr>
        <w:t>本理财产品估值日为每个</w:t>
      </w:r>
      <w:r>
        <w:rPr>
          <w:rFonts w:hint="eastAsia" w:ascii="仿宋_GB2312" w:hAnsi="宋体" w:cs="宋体"/>
          <w:bCs/>
          <w:color w:val="auto"/>
          <w:kern w:val="0"/>
          <w:szCs w:val="24"/>
          <w:highlight w:val="none"/>
        </w:rPr>
        <w:t>工作日</w:t>
      </w:r>
      <w:r>
        <w:rPr>
          <w:rFonts w:hint="eastAsia" w:ascii="仿宋_GB2312" w:hAnsi="宋体" w:cs="宋体"/>
          <w:bCs/>
          <w:color w:val="auto"/>
          <w:spacing w:val="-4"/>
          <w:kern w:val="0"/>
          <w:szCs w:val="24"/>
          <w:highlight w:val="none"/>
        </w:rPr>
        <w:t>，产品到期日为最后一个估值日。</w:t>
      </w:r>
    </w:p>
    <w:p w14:paraId="3BAFC579">
      <w:pPr>
        <w:pStyle w:val="3"/>
        <w:ind w:firstLine="482"/>
        <w:rPr>
          <w:color w:val="auto"/>
          <w:highlight w:val="none"/>
        </w:rPr>
      </w:pPr>
      <w:r>
        <w:rPr>
          <w:rFonts w:hint="eastAsia"/>
          <w:color w:val="auto"/>
          <w:highlight w:val="none"/>
        </w:rPr>
        <w:t>估值对象</w:t>
      </w:r>
    </w:p>
    <w:p w14:paraId="69E79139">
      <w:pPr>
        <w:autoSpaceDE w:val="0"/>
        <w:autoSpaceDN w:val="0"/>
        <w:adjustRightInd w:val="0"/>
        <w:snapToGrid w:val="0"/>
        <w:spacing w:line="360" w:lineRule="auto"/>
        <w:ind w:firstLine="464" w:firstLineChars="200"/>
        <w:jc w:val="left"/>
        <w:rPr>
          <w:rFonts w:ascii="仿宋_GB2312" w:hAnsi="宋体" w:cs="宋体"/>
          <w:bCs/>
          <w:color w:val="auto"/>
          <w:spacing w:val="-4"/>
          <w:kern w:val="0"/>
          <w:szCs w:val="24"/>
          <w:highlight w:val="none"/>
        </w:rPr>
      </w:pPr>
      <w:r>
        <w:rPr>
          <w:rFonts w:hint="eastAsia" w:ascii="仿宋_GB2312" w:hAnsi="宋体" w:cs="宋体"/>
          <w:bCs/>
          <w:color w:val="auto"/>
          <w:spacing w:val="-4"/>
          <w:kern w:val="0"/>
          <w:szCs w:val="24"/>
          <w:highlight w:val="none"/>
        </w:rPr>
        <w:t>本理财产品估值的对象为本理财产品所持有的一切资产和负债。</w:t>
      </w:r>
    </w:p>
    <w:p w14:paraId="6E89599A">
      <w:pPr>
        <w:pStyle w:val="3"/>
        <w:ind w:firstLine="482"/>
        <w:rPr>
          <w:color w:val="auto"/>
          <w:highlight w:val="none"/>
        </w:rPr>
      </w:pPr>
      <w:r>
        <w:rPr>
          <w:rFonts w:hint="eastAsia"/>
          <w:color w:val="auto"/>
          <w:highlight w:val="none"/>
        </w:rPr>
        <w:t>估值方法</w:t>
      </w:r>
    </w:p>
    <w:p w14:paraId="5D4A540F">
      <w:pPr>
        <w:tabs>
          <w:tab w:val="left" w:pos="3119"/>
        </w:tabs>
        <w:autoSpaceDE w:val="0"/>
        <w:autoSpaceDN w:val="0"/>
        <w:snapToGrid w:val="0"/>
        <w:spacing w:line="360" w:lineRule="auto"/>
        <w:ind w:firstLine="464" w:firstLineChars="200"/>
        <w:rPr>
          <w:rFonts w:ascii="仿宋_GB2312" w:hAnsi="宋体" w:cs="宋体"/>
          <w:bCs/>
          <w:color w:val="auto"/>
          <w:spacing w:val="-4"/>
          <w:kern w:val="0"/>
          <w:szCs w:val="24"/>
          <w:highlight w:val="none"/>
        </w:rPr>
      </w:pPr>
      <w:r>
        <w:rPr>
          <w:rFonts w:hint="eastAsia" w:ascii="仿宋_GB2312" w:hAnsi="宋体" w:cs="宋体"/>
          <w:bCs/>
          <w:color w:val="auto"/>
          <w:spacing w:val="-4"/>
          <w:kern w:val="0"/>
          <w:szCs w:val="24"/>
          <w:highlight w:val="none"/>
        </w:rPr>
        <w:t>1.货币市场工具类资产的估值</w:t>
      </w:r>
    </w:p>
    <w:p w14:paraId="13FA032B">
      <w:pPr>
        <w:tabs>
          <w:tab w:val="left" w:pos="3119"/>
        </w:tabs>
        <w:autoSpaceDE w:val="0"/>
        <w:autoSpaceDN w:val="0"/>
        <w:snapToGrid w:val="0"/>
        <w:spacing w:line="360" w:lineRule="auto"/>
        <w:ind w:firstLine="464" w:firstLineChars="200"/>
        <w:rPr>
          <w:rFonts w:ascii="仿宋_GB2312" w:hAnsi="宋体" w:cs="宋体"/>
          <w:bCs/>
          <w:color w:val="auto"/>
          <w:spacing w:val="-4"/>
          <w:kern w:val="0"/>
          <w:szCs w:val="24"/>
          <w:highlight w:val="none"/>
        </w:rPr>
      </w:pPr>
      <w:r>
        <w:rPr>
          <w:rFonts w:hint="eastAsia" w:ascii="仿宋_GB2312" w:hAnsi="宋体" w:cs="宋体"/>
          <w:bCs/>
          <w:color w:val="auto"/>
          <w:spacing w:val="-4"/>
          <w:kern w:val="0"/>
          <w:szCs w:val="24"/>
          <w:highlight w:val="none"/>
        </w:rPr>
        <w:t>（1）银行存款及回购按其商定利率或协议利率在实际持有期内逐日计提收益。</w:t>
      </w:r>
    </w:p>
    <w:p w14:paraId="6448ED4B">
      <w:pPr>
        <w:tabs>
          <w:tab w:val="left" w:pos="3119"/>
        </w:tabs>
        <w:autoSpaceDE w:val="0"/>
        <w:autoSpaceDN w:val="0"/>
        <w:snapToGrid w:val="0"/>
        <w:spacing w:line="360" w:lineRule="auto"/>
        <w:ind w:firstLine="464" w:firstLineChars="200"/>
        <w:rPr>
          <w:rFonts w:ascii="仿宋_GB2312" w:hAnsi="宋体" w:cs="宋体"/>
          <w:bCs/>
          <w:color w:val="auto"/>
          <w:spacing w:val="-4"/>
          <w:kern w:val="0"/>
          <w:szCs w:val="24"/>
          <w:highlight w:val="none"/>
        </w:rPr>
      </w:pPr>
      <w:r>
        <w:rPr>
          <w:rFonts w:hint="eastAsia" w:ascii="仿宋_GB2312" w:hAnsi="宋体" w:cs="宋体"/>
          <w:bCs/>
          <w:color w:val="auto"/>
          <w:spacing w:val="-4"/>
          <w:kern w:val="0"/>
          <w:szCs w:val="24"/>
          <w:highlight w:val="none"/>
        </w:rPr>
        <w:t>（2）货币基金按最近披露的基金份额净值进行估值，并依据该基金公布的前一日每万份收益计提收益。</w:t>
      </w:r>
    </w:p>
    <w:p w14:paraId="0229CDBE">
      <w:pPr>
        <w:tabs>
          <w:tab w:val="left" w:pos="3119"/>
        </w:tabs>
        <w:autoSpaceDE w:val="0"/>
        <w:autoSpaceDN w:val="0"/>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2</w:t>
      </w:r>
      <w:r>
        <w:rPr>
          <w:rFonts w:hint="eastAsia" w:ascii="仿宋_GB2312" w:hAnsi="宋体" w:cs="宋体"/>
          <w:bCs/>
          <w:color w:val="auto"/>
          <w:kern w:val="0"/>
          <w:szCs w:val="24"/>
          <w:highlight w:val="none"/>
        </w:rPr>
        <w:t>.在证券交易所和银行间市场交易的债券及非标准化债权资产的估值，符合以下条件之一的，可采用摊余成本法进行计量：</w:t>
      </w:r>
    </w:p>
    <w:p w14:paraId="2FEE6C02">
      <w:pPr>
        <w:tabs>
          <w:tab w:val="left" w:pos="3119"/>
        </w:tabs>
        <w:autoSpaceDE w:val="0"/>
        <w:autoSpaceDN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（1）以收取合同现金流量为目的并持有至到期。</w:t>
      </w:r>
    </w:p>
    <w:p w14:paraId="1BD5DB19">
      <w:pPr>
        <w:tabs>
          <w:tab w:val="left" w:pos="3119"/>
        </w:tabs>
        <w:autoSpaceDE w:val="0"/>
        <w:autoSpaceDN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（2）暂不具备活跃交易市场，或者在活跃市场中没有报价、也不能采用估值技术可靠计量其公允价值。</w:t>
      </w:r>
    </w:p>
    <w:p w14:paraId="69A1811F">
      <w:pPr>
        <w:tabs>
          <w:tab w:val="left" w:pos="3119"/>
        </w:tabs>
        <w:autoSpaceDE w:val="0"/>
        <w:autoSpaceDN w:val="0"/>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3</w:t>
      </w:r>
      <w:r>
        <w:rPr>
          <w:rFonts w:hint="eastAsia" w:ascii="仿宋_GB2312" w:hAnsi="宋体" w:cs="宋体"/>
          <w:bCs/>
          <w:color w:val="auto"/>
          <w:kern w:val="0"/>
          <w:szCs w:val="24"/>
          <w:highlight w:val="none"/>
        </w:rPr>
        <w:t>.不符合上述条件的债券，按照第三方估值机构（中债、中证等）提供的估值数据对本理财产品所持有债券进行估值，具体的第三方估值机构由管理人与托管人协商确定。</w:t>
      </w:r>
    </w:p>
    <w:p w14:paraId="0EF3BA78">
      <w:pPr>
        <w:tabs>
          <w:tab w:val="left" w:pos="3119"/>
        </w:tabs>
        <w:autoSpaceDE w:val="0"/>
        <w:autoSpaceDN w:val="0"/>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4</w:t>
      </w:r>
      <w:r>
        <w:rPr>
          <w:rFonts w:hint="eastAsia" w:ascii="仿宋_GB2312" w:hAnsi="宋体" w:cs="宋体"/>
          <w:bCs/>
          <w:color w:val="auto"/>
          <w:kern w:val="0"/>
          <w:szCs w:val="24"/>
          <w:highlight w:val="none"/>
        </w:rPr>
        <w:t>.不符合上述条件的非标准化债权资产，理财产品管理人应当采用估值技术进行估值或管理人与托管人认可的，根据合理判断按反映产品公允价值的计量方案进行估值。</w:t>
      </w:r>
    </w:p>
    <w:p w14:paraId="3277CB88">
      <w:pPr>
        <w:tabs>
          <w:tab w:val="left" w:pos="3119"/>
        </w:tabs>
        <w:autoSpaceDE w:val="0"/>
        <w:autoSpaceDN w:val="0"/>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5</w:t>
      </w:r>
      <w:r>
        <w:rPr>
          <w:rFonts w:hint="eastAsia" w:ascii="仿宋_GB2312" w:hAnsi="宋体" w:cs="宋体"/>
          <w:bCs/>
          <w:color w:val="auto"/>
          <w:kern w:val="0"/>
          <w:szCs w:val="24"/>
          <w:highlight w:val="none"/>
        </w:rPr>
        <w:t>.对以摊余成本法计量的金融资产，理财产品管理人将按照新会计准则的规定采用合理的减值计量模型结果进行减值计提。计提的减值不等同于金融资产已发生实际损失，仅作为对未来风险的审慎预期。</w:t>
      </w:r>
    </w:p>
    <w:p w14:paraId="51E6E544">
      <w:pPr>
        <w:tabs>
          <w:tab w:val="left" w:pos="3119"/>
        </w:tabs>
        <w:autoSpaceDE w:val="0"/>
        <w:autoSpaceDN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6.投资非货币证券投资基金的估值</w:t>
      </w:r>
    </w:p>
    <w:p w14:paraId="73CC3923">
      <w:pPr>
        <w:tabs>
          <w:tab w:val="left" w:pos="3119"/>
        </w:tabs>
        <w:autoSpaceDE w:val="0"/>
        <w:autoSpaceDN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（1）未上市非货币基金，按所投资基金管理人估值日披露的最新份额净值进行估值；</w:t>
      </w:r>
    </w:p>
    <w:p w14:paraId="25A76F70">
      <w:pPr>
        <w:tabs>
          <w:tab w:val="left" w:pos="3119"/>
        </w:tabs>
        <w:autoSpaceDE w:val="0"/>
        <w:autoSpaceDN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（2）上市基金估值</w:t>
      </w:r>
    </w:p>
    <w:p w14:paraId="4666BDE5">
      <w:pPr>
        <w:tabs>
          <w:tab w:val="left" w:pos="3119"/>
        </w:tabs>
        <w:autoSpaceDE w:val="0"/>
        <w:autoSpaceDN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交易所上市流通的基金（含公募REITs），以估值日其所在证券交易所的收盘价估值；境内上市的开放式基金（LOF），以所投资基金披露的最新份额净值进行估值。</w:t>
      </w:r>
    </w:p>
    <w:p w14:paraId="25870346">
      <w:pPr>
        <w:tabs>
          <w:tab w:val="left" w:pos="3119"/>
        </w:tabs>
        <w:autoSpaceDE w:val="0"/>
        <w:autoSpaceDN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（3）如遇所投资基金不公布基金份额净值、进行折算或拆分、估值日无交易等特殊情况，则按以下原则进行估值：</w:t>
      </w:r>
    </w:p>
    <w:p w14:paraId="2010AC80">
      <w:pPr>
        <w:tabs>
          <w:tab w:val="left" w:pos="3119"/>
        </w:tabs>
        <w:autoSpaceDE w:val="0"/>
        <w:autoSpaceDN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①以所投资基金的基金份额净值估值的，若所投资基金管理人未公布估值日基金份额净值，则按最近公布的基金份额净值为基础估值。</w:t>
      </w:r>
    </w:p>
    <w:p w14:paraId="001ED942">
      <w:pPr>
        <w:tabs>
          <w:tab w:val="left" w:pos="3119"/>
        </w:tabs>
        <w:autoSpaceDE w:val="0"/>
        <w:autoSpaceDN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②以所投资基金的收盘价估值的，若估值日无交易，且最近交易日后市场环境未发生重大变化，按最近交易日的收盘价估值；如最近交易日后市场环境发生了重大变化的，可使用最新的基金份额净值为基础或参考类似投资品种的现行市场及重大变化因素调整最近交易市场，确定公允价值。</w:t>
      </w:r>
    </w:p>
    <w:p w14:paraId="4A15DA76">
      <w:pPr>
        <w:tabs>
          <w:tab w:val="left" w:pos="3119"/>
        </w:tabs>
        <w:autoSpaceDE w:val="0"/>
        <w:autoSpaceDN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③如果所投资基金前一估值日至估值日期间发生分红除权、折算或拆分，理财产品管理人应根据基金份额净值或收盘价、单位基金份额分红金额、折算拆分比例、持仓份额等因素合理确定公允价值。</w:t>
      </w:r>
    </w:p>
    <w:p w14:paraId="3CB172E8">
      <w:pPr>
        <w:tabs>
          <w:tab w:val="left" w:pos="3119"/>
        </w:tabs>
        <w:autoSpaceDE w:val="0"/>
        <w:autoSpaceDN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7</w:t>
      </w:r>
      <w:r>
        <w:rPr>
          <w:rFonts w:ascii="仿宋_GB2312" w:hAnsi="宋体" w:cs="宋体"/>
          <w:bCs/>
          <w:color w:val="auto"/>
          <w:kern w:val="0"/>
          <w:szCs w:val="24"/>
          <w:highlight w:val="none"/>
        </w:rPr>
        <w:t>.</w:t>
      </w:r>
      <w:r>
        <w:rPr>
          <w:rFonts w:hint="eastAsia" w:ascii="仿宋_GB2312" w:hAnsi="宋体" w:cs="宋体"/>
          <w:bCs/>
          <w:color w:val="auto"/>
          <w:kern w:val="0"/>
          <w:szCs w:val="24"/>
          <w:highlight w:val="none"/>
        </w:rPr>
        <w:t>投资符合投资范围内的其他各类资产管理产品的估值，以估值日截止时点获得的、由所投资资产管理人披露的最新份额净值或者投资收益情况进行估值；或由产品管理人和托管人根据合理判断按反映产品公允价值的估值方案进行估值。</w:t>
      </w:r>
    </w:p>
    <w:p w14:paraId="0ABF8363">
      <w:pPr>
        <w:tabs>
          <w:tab w:val="left" w:pos="3119"/>
        </w:tabs>
        <w:autoSpaceDE w:val="0"/>
        <w:autoSpaceDN w:val="0"/>
        <w:snapToGrid w:val="0"/>
        <w:spacing w:line="360" w:lineRule="auto"/>
        <w:ind w:firstLine="464" w:firstLineChars="200"/>
        <w:rPr>
          <w:rFonts w:ascii="仿宋_GB2312" w:hAnsi="宋体" w:cs="宋体"/>
          <w:bCs/>
          <w:color w:val="auto"/>
          <w:spacing w:val="-4"/>
          <w:kern w:val="0"/>
          <w:szCs w:val="24"/>
          <w:highlight w:val="none"/>
        </w:rPr>
      </w:pPr>
      <w:r>
        <w:rPr>
          <w:rFonts w:hint="eastAsia" w:ascii="仿宋_GB2312" w:hAnsi="宋体" w:cs="宋体"/>
          <w:bCs/>
          <w:color w:val="auto"/>
          <w:spacing w:val="-4"/>
          <w:kern w:val="0"/>
          <w:szCs w:val="24"/>
          <w:highlight w:val="none"/>
        </w:rPr>
        <w:t>8.优先股的估值</w:t>
      </w:r>
    </w:p>
    <w:p w14:paraId="46451051">
      <w:pPr>
        <w:tabs>
          <w:tab w:val="left" w:pos="3119"/>
        </w:tabs>
        <w:autoSpaceDE w:val="0"/>
        <w:autoSpaceDN w:val="0"/>
        <w:snapToGrid w:val="0"/>
        <w:spacing w:line="360" w:lineRule="auto"/>
        <w:ind w:firstLine="464" w:firstLineChars="200"/>
        <w:rPr>
          <w:rFonts w:ascii="仿宋_GB2312" w:hAnsi="宋体" w:cs="宋体"/>
          <w:bCs/>
          <w:color w:val="auto"/>
          <w:spacing w:val="-4"/>
          <w:kern w:val="0"/>
          <w:szCs w:val="24"/>
          <w:highlight w:val="none"/>
        </w:rPr>
      </w:pPr>
      <w:r>
        <w:rPr>
          <w:rFonts w:hint="eastAsia" w:ascii="仿宋_GB2312" w:hAnsi="宋体" w:cs="宋体"/>
          <w:bCs/>
          <w:color w:val="auto"/>
          <w:spacing w:val="-4"/>
          <w:kern w:val="0"/>
          <w:szCs w:val="24"/>
          <w:highlight w:val="none"/>
        </w:rPr>
        <w:t>优先股按第三方估值机构（中证、中债等）提供的估值数据进行估值；无第三方估值数据的，由管理人与托管人根据合理判断按反映产品公允价值的计量方案进行估值。</w:t>
      </w:r>
    </w:p>
    <w:p w14:paraId="4B99B058">
      <w:pPr>
        <w:tabs>
          <w:tab w:val="left" w:pos="3119"/>
        </w:tabs>
        <w:autoSpaceDE w:val="0"/>
        <w:autoSpaceDN w:val="0"/>
        <w:snapToGrid w:val="0"/>
        <w:spacing w:line="360" w:lineRule="auto"/>
        <w:ind w:firstLine="464" w:firstLineChars="200"/>
        <w:rPr>
          <w:rFonts w:ascii="仿宋_GB2312" w:hAnsi="宋体" w:cs="宋体"/>
          <w:bCs/>
          <w:color w:val="auto"/>
          <w:spacing w:val="-4"/>
          <w:kern w:val="0"/>
          <w:szCs w:val="24"/>
          <w:highlight w:val="none"/>
        </w:rPr>
      </w:pPr>
      <w:r>
        <w:rPr>
          <w:rFonts w:hint="eastAsia" w:ascii="仿宋_GB2312" w:hAnsi="宋体" w:cs="宋体"/>
          <w:bCs/>
          <w:color w:val="auto"/>
          <w:spacing w:val="-4"/>
          <w:kern w:val="0"/>
          <w:szCs w:val="24"/>
          <w:highlight w:val="none"/>
        </w:rPr>
        <w:t>9.交易所上市的有价证券（包括股票、权证等），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14:paraId="064904B7">
      <w:pPr>
        <w:tabs>
          <w:tab w:val="left" w:pos="3119"/>
        </w:tabs>
        <w:autoSpaceDE w:val="0"/>
        <w:autoSpaceDN w:val="0"/>
        <w:snapToGrid w:val="0"/>
        <w:spacing w:line="360" w:lineRule="auto"/>
        <w:ind w:firstLine="464" w:firstLineChars="200"/>
        <w:rPr>
          <w:rFonts w:ascii="仿宋_GB2312" w:hAnsi="宋体" w:cs="宋体"/>
          <w:bCs/>
          <w:color w:val="auto"/>
          <w:spacing w:val="-4"/>
          <w:kern w:val="0"/>
          <w:szCs w:val="24"/>
          <w:highlight w:val="none"/>
        </w:rPr>
      </w:pPr>
      <w:r>
        <w:rPr>
          <w:rFonts w:hint="eastAsia" w:ascii="仿宋_GB2312" w:hAnsi="宋体" w:cs="宋体"/>
          <w:bCs/>
          <w:color w:val="auto"/>
          <w:spacing w:val="-4"/>
          <w:kern w:val="0"/>
          <w:szCs w:val="24"/>
          <w:highlight w:val="none"/>
        </w:rPr>
        <w:t>10.商品与金融衍生品类资产的估值</w:t>
      </w:r>
    </w:p>
    <w:p w14:paraId="521F549E">
      <w:pPr>
        <w:tabs>
          <w:tab w:val="left" w:pos="3119"/>
        </w:tabs>
        <w:autoSpaceDE w:val="0"/>
        <w:autoSpaceDN w:val="0"/>
        <w:snapToGrid w:val="0"/>
        <w:spacing w:line="360" w:lineRule="auto"/>
        <w:ind w:firstLine="464" w:firstLineChars="200"/>
        <w:rPr>
          <w:rFonts w:ascii="仿宋_GB2312" w:hAnsi="宋体" w:cs="宋体"/>
          <w:bCs/>
          <w:color w:val="auto"/>
          <w:spacing w:val="-4"/>
          <w:kern w:val="0"/>
          <w:szCs w:val="24"/>
          <w:highlight w:val="none"/>
        </w:rPr>
      </w:pPr>
      <w:r>
        <w:rPr>
          <w:rFonts w:hint="eastAsia" w:ascii="仿宋_GB2312" w:hAnsi="宋体" w:cs="宋体"/>
          <w:bCs/>
          <w:color w:val="auto"/>
          <w:spacing w:val="-4"/>
          <w:kern w:val="0"/>
          <w:szCs w:val="24"/>
          <w:highlight w:val="none"/>
        </w:rPr>
        <w:t>（1）场内交易的商品与金融衍生品类资产，以交易所最近交易日的结算价或者收盘价进行估值；</w:t>
      </w:r>
    </w:p>
    <w:p w14:paraId="7D3AFC4D">
      <w:pPr>
        <w:tabs>
          <w:tab w:val="left" w:pos="3119"/>
        </w:tabs>
        <w:autoSpaceDE w:val="0"/>
        <w:autoSpaceDN w:val="0"/>
        <w:snapToGrid w:val="0"/>
        <w:spacing w:line="360" w:lineRule="auto"/>
        <w:ind w:firstLine="464" w:firstLineChars="200"/>
        <w:rPr>
          <w:rFonts w:ascii="仿宋_GB2312" w:hAnsi="宋体" w:cs="宋体"/>
          <w:bCs/>
          <w:color w:val="auto"/>
          <w:spacing w:val="-4"/>
          <w:kern w:val="0"/>
          <w:szCs w:val="24"/>
          <w:highlight w:val="none"/>
        </w:rPr>
      </w:pPr>
      <w:r>
        <w:rPr>
          <w:rFonts w:hint="eastAsia" w:ascii="仿宋_GB2312" w:hAnsi="宋体" w:cs="宋体"/>
          <w:bCs/>
          <w:color w:val="auto"/>
          <w:spacing w:val="-4"/>
          <w:kern w:val="0"/>
          <w:szCs w:val="24"/>
          <w:highlight w:val="none"/>
        </w:rPr>
        <w:t>（2）场外交易的商品与金融衍生品类资产，采用估值技术确定其公允价值，按照外部机构提供的价格数据或管理人与托管人认可的估值方案进行估值。</w:t>
      </w:r>
    </w:p>
    <w:p w14:paraId="49F3BD02">
      <w:pPr>
        <w:tabs>
          <w:tab w:val="left" w:pos="3119"/>
        </w:tabs>
        <w:autoSpaceDE w:val="0"/>
        <w:autoSpaceDN w:val="0"/>
        <w:snapToGrid w:val="0"/>
        <w:spacing w:line="360" w:lineRule="auto"/>
        <w:ind w:firstLine="464" w:firstLineChars="200"/>
        <w:rPr>
          <w:rFonts w:ascii="仿宋_GB2312" w:hAnsi="宋体" w:cs="宋体"/>
          <w:bCs/>
          <w:color w:val="auto"/>
          <w:spacing w:val="-4"/>
          <w:kern w:val="0"/>
          <w:szCs w:val="24"/>
          <w:highlight w:val="none"/>
        </w:rPr>
      </w:pPr>
      <w:r>
        <w:rPr>
          <w:rFonts w:ascii="仿宋_GB2312" w:hAnsi="宋体" w:cs="宋体"/>
          <w:bCs/>
          <w:color w:val="auto"/>
          <w:spacing w:val="-4"/>
          <w:kern w:val="0"/>
          <w:szCs w:val="24"/>
          <w:highlight w:val="none"/>
        </w:rPr>
        <w:t>11</w:t>
      </w:r>
      <w:r>
        <w:rPr>
          <w:rFonts w:hint="eastAsia" w:ascii="仿宋_GB2312" w:hAnsi="宋体" w:cs="宋体"/>
          <w:bCs/>
          <w:color w:val="auto"/>
          <w:spacing w:val="-4"/>
          <w:kern w:val="0"/>
          <w:szCs w:val="24"/>
          <w:highlight w:val="none"/>
        </w:rPr>
        <w:t>.若理财产品存续期间持有其他投资品种，以理财产品管理人与托管人共同认可的估值方法估值。</w:t>
      </w:r>
    </w:p>
    <w:p w14:paraId="07F08395">
      <w:pPr>
        <w:tabs>
          <w:tab w:val="left" w:pos="3119"/>
        </w:tabs>
        <w:autoSpaceDE w:val="0"/>
        <w:autoSpaceDN w:val="0"/>
        <w:snapToGrid w:val="0"/>
        <w:spacing w:line="360" w:lineRule="auto"/>
        <w:ind w:firstLine="464" w:firstLineChars="200"/>
        <w:rPr>
          <w:rFonts w:ascii="仿宋_GB2312" w:hAnsi="宋体" w:cs="宋体"/>
          <w:bCs/>
          <w:color w:val="auto"/>
          <w:spacing w:val="-4"/>
          <w:kern w:val="0"/>
          <w:szCs w:val="24"/>
          <w:highlight w:val="none"/>
        </w:rPr>
      </w:pPr>
      <w:r>
        <w:rPr>
          <w:rFonts w:hint="eastAsia" w:ascii="仿宋_GB2312" w:hAnsi="宋体" w:cs="宋体"/>
          <w:bCs/>
          <w:color w:val="auto"/>
          <w:spacing w:val="-4"/>
          <w:kern w:val="0"/>
          <w:szCs w:val="24"/>
          <w:highlight w:val="none"/>
        </w:rPr>
        <w:t>1</w:t>
      </w:r>
      <w:r>
        <w:rPr>
          <w:rFonts w:ascii="仿宋_GB2312" w:hAnsi="宋体" w:cs="宋体"/>
          <w:bCs/>
          <w:color w:val="auto"/>
          <w:spacing w:val="-4"/>
          <w:kern w:val="0"/>
          <w:szCs w:val="24"/>
          <w:highlight w:val="none"/>
        </w:rPr>
        <w:t>2.</w:t>
      </w:r>
      <w:r>
        <w:rPr>
          <w:rFonts w:hint="eastAsia" w:ascii="仿宋_GB2312" w:hAnsi="宋体" w:cs="宋体"/>
          <w:bCs/>
          <w:color w:val="auto"/>
          <w:spacing w:val="-4"/>
          <w:kern w:val="0"/>
          <w:szCs w:val="24"/>
          <w:highlight w:val="none"/>
        </w:rPr>
        <w:t>在任何情况下，如采用以上规定的方法对资产进行估值，均应被认为采用了适当的估值方法。如管理人有证据表明上述规定不能客观反映理财产品资产公允价值的，管理人可根据具体情况，在综合考虑市场成交价、市场报价、流动性、收益率曲线与标的信用风险等多种因素基础上，按最能反映理财产品资产公允价值的方法进行估值。</w:t>
      </w:r>
    </w:p>
    <w:p w14:paraId="3A6763F4">
      <w:pPr>
        <w:pStyle w:val="3"/>
        <w:ind w:firstLine="482"/>
        <w:rPr>
          <w:color w:val="auto"/>
          <w:highlight w:val="none"/>
        </w:rPr>
      </w:pPr>
      <w:r>
        <w:rPr>
          <w:rFonts w:hint="eastAsia"/>
          <w:color w:val="auto"/>
          <w:highlight w:val="none"/>
        </w:rPr>
        <w:t>估值错误处理</w:t>
      </w:r>
    </w:p>
    <w:p w14:paraId="5D6F9E52">
      <w:pPr>
        <w:tabs>
          <w:tab w:val="left" w:pos="3119"/>
        </w:tabs>
        <w:autoSpaceDE w:val="0"/>
        <w:autoSpaceDN w:val="0"/>
        <w:adjustRightInd w:val="0"/>
        <w:snapToGrid w:val="0"/>
        <w:spacing w:line="360" w:lineRule="auto"/>
        <w:ind w:right="36" w:rightChars="15"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理财</w:t>
      </w:r>
      <w:r>
        <w:rPr>
          <w:rFonts w:ascii="仿宋_GB2312" w:hAnsi="宋体" w:cs="宋体"/>
          <w:bCs/>
          <w:color w:val="auto"/>
          <w:kern w:val="0"/>
          <w:szCs w:val="24"/>
          <w:highlight w:val="none"/>
        </w:rPr>
        <w:t>产品</w:t>
      </w:r>
      <w:r>
        <w:rPr>
          <w:rFonts w:hint="eastAsia" w:ascii="仿宋_GB2312" w:hAnsi="宋体" w:cs="宋体"/>
          <w:bCs/>
          <w:color w:val="auto"/>
          <w:kern w:val="0"/>
          <w:szCs w:val="24"/>
          <w:highlight w:val="none"/>
        </w:rPr>
        <w:t>管理人和</w:t>
      </w:r>
      <w:r>
        <w:rPr>
          <w:rFonts w:ascii="仿宋_GB2312" w:hAnsi="宋体" w:cs="宋体"/>
          <w:bCs/>
          <w:color w:val="auto"/>
          <w:kern w:val="0"/>
          <w:szCs w:val="24"/>
          <w:highlight w:val="none"/>
        </w:rPr>
        <w:t>理财产品托管人</w:t>
      </w:r>
      <w:r>
        <w:rPr>
          <w:rFonts w:hint="eastAsia" w:ascii="仿宋_GB2312" w:hAnsi="宋体" w:cs="宋体"/>
          <w:bCs/>
          <w:color w:val="auto"/>
          <w:kern w:val="0"/>
          <w:szCs w:val="24"/>
          <w:highlight w:val="none"/>
        </w:rPr>
        <w:t>将采取必要、适当、合理的措施确保产品资产估值的准确性、及时性。</w:t>
      </w:r>
    </w:p>
    <w:p w14:paraId="55E8AE09">
      <w:pPr>
        <w:tabs>
          <w:tab w:val="left" w:pos="3119"/>
        </w:tabs>
        <w:autoSpaceDE w:val="0"/>
        <w:autoSpaceDN w:val="0"/>
        <w:adjustRightInd w:val="0"/>
        <w:snapToGrid w:val="0"/>
        <w:spacing w:line="360" w:lineRule="auto"/>
        <w:ind w:right="36" w:rightChars="15"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1.估值错误处理原则</w:t>
      </w:r>
    </w:p>
    <w:p w14:paraId="23A9362B">
      <w:pPr>
        <w:tabs>
          <w:tab w:val="left" w:pos="3119"/>
        </w:tabs>
        <w:autoSpaceDE w:val="0"/>
        <w:autoSpaceDN w:val="0"/>
        <w:adjustRightInd w:val="0"/>
        <w:snapToGrid w:val="0"/>
        <w:spacing w:line="360" w:lineRule="auto"/>
        <w:ind w:right="36" w:rightChars="15"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（1）由于理财产品管理人或理财产品托管人自身过错造成的估值错误，导致投资者遭受损失的，由估值错误责任方按照各自过错程度对该估值错误导致投资者遭受的直接损失给予赔偿，承担赔偿责任。</w:t>
      </w:r>
    </w:p>
    <w:p w14:paraId="4AF0F18E">
      <w:pPr>
        <w:tabs>
          <w:tab w:val="left" w:pos="3119"/>
        </w:tabs>
        <w:autoSpaceDE w:val="0"/>
        <w:autoSpaceDN w:val="0"/>
        <w:adjustRightInd w:val="0"/>
        <w:snapToGrid w:val="0"/>
        <w:spacing w:line="360" w:lineRule="auto"/>
        <w:ind w:right="36" w:rightChars="15"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2）对因技术原因引起的差错，若系同行业现有技术水平无法预见、无法避免、无法抗拒，属不可抗力。由于不可抗力原因，或由于证券交易所、期货交易所、第三方估值机构、信托公司、基金公司等发送数据错误等非管理人和托管人原因，管理人和托管人虽然已经采取必要、适当、合理的措施进行检查，但未能发现错误的，由此造成的估值错误，管理人和托管人免除赔偿责任。但管理人、托管人应当积极采取必要的措施减轻或消除由此造成的影响。但因该差错取得不当得利的投资者仍应负有返还不当得利的义务。</w:t>
      </w:r>
    </w:p>
    <w:p w14:paraId="63414AAD">
      <w:pPr>
        <w:tabs>
          <w:tab w:val="left" w:pos="3119"/>
        </w:tabs>
        <w:autoSpaceDE w:val="0"/>
        <w:autoSpaceDN w:val="0"/>
        <w:adjustRightInd w:val="0"/>
        <w:snapToGrid w:val="0"/>
        <w:spacing w:line="360" w:lineRule="auto"/>
        <w:ind w:right="36" w:rightChars="15"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3）若因理财产品托管人估值错误造成财产损失，理财产品管理人应向托管人追偿；若因理财产品管理人与理财产品托管人之外的第三方估值差错造成财产的损失，并拒绝进行赔偿时，由理财产品管理人负责向差错方追偿，追偿过程中产生的有关费用，应当列入理财产品费用，由理财产品承担。</w:t>
      </w:r>
    </w:p>
    <w:p w14:paraId="1C9A4A72">
      <w:pPr>
        <w:tabs>
          <w:tab w:val="left" w:pos="3119"/>
        </w:tabs>
        <w:autoSpaceDE w:val="0"/>
        <w:autoSpaceDN w:val="0"/>
        <w:adjustRightInd w:val="0"/>
        <w:snapToGrid w:val="0"/>
        <w:spacing w:line="360" w:lineRule="auto"/>
        <w:ind w:right="36" w:rightChars="15"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（4）因估值错误而获得不当得利的投资者负有及时返还不当得利的义务。</w:t>
      </w:r>
    </w:p>
    <w:p w14:paraId="0A982976">
      <w:pPr>
        <w:tabs>
          <w:tab w:val="left" w:pos="3119"/>
        </w:tabs>
        <w:autoSpaceDE w:val="0"/>
        <w:autoSpaceDN w:val="0"/>
        <w:adjustRightInd w:val="0"/>
        <w:snapToGrid w:val="0"/>
        <w:spacing w:line="360" w:lineRule="auto"/>
        <w:ind w:right="36" w:rightChars="15"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（5）按法律法规规定的其他原则处理估值错误。</w:t>
      </w:r>
    </w:p>
    <w:p w14:paraId="78529FD0">
      <w:pPr>
        <w:tabs>
          <w:tab w:val="left" w:pos="3119"/>
        </w:tabs>
        <w:autoSpaceDE w:val="0"/>
        <w:autoSpaceDN w:val="0"/>
        <w:adjustRightInd w:val="0"/>
        <w:snapToGrid w:val="0"/>
        <w:spacing w:line="360" w:lineRule="auto"/>
        <w:ind w:right="36" w:rightChars="15"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2.估值错误处理程序</w:t>
      </w:r>
    </w:p>
    <w:p w14:paraId="2C2E89BE">
      <w:pPr>
        <w:tabs>
          <w:tab w:val="left" w:pos="3119"/>
        </w:tabs>
        <w:autoSpaceDE w:val="0"/>
        <w:autoSpaceDN w:val="0"/>
        <w:adjustRightInd w:val="0"/>
        <w:snapToGrid w:val="0"/>
        <w:spacing w:line="360" w:lineRule="auto"/>
        <w:ind w:right="36" w:rightChars="15"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估值错误被发现后，理财产品管理人与理财产品托管人应当及时进行处理，处理的程序如下：</w:t>
      </w:r>
    </w:p>
    <w:p w14:paraId="6F18B7F0">
      <w:pPr>
        <w:tabs>
          <w:tab w:val="left" w:pos="3119"/>
        </w:tabs>
        <w:autoSpaceDE w:val="0"/>
        <w:autoSpaceDN w:val="0"/>
        <w:adjustRightInd w:val="0"/>
        <w:snapToGrid w:val="0"/>
        <w:spacing w:line="360" w:lineRule="auto"/>
        <w:ind w:right="36" w:rightChars="15"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（1）查明估值差错发生的原因，根据估值错误发生的原因确定估值错误的责任方；</w:t>
      </w:r>
    </w:p>
    <w:p w14:paraId="6BE09F4B">
      <w:pPr>
        <w:tabs>
          <w:tab w:val="left" w:pos="3119"/>
        </w:tabs>
        <w:autoSpaceDE w:val="0"/>
        <w:autoSpaceDN w:val="0"/>
        <w:adjustRightInd w:val="0"/>
        <w:snapToGrid w:val="0"/>
        <w:spacing w:line="360" w:lineRule="auto"/>
        <w:ind w:right="36" w:rightChars="15"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（2）根据估值错误处理原则对因估值错误造成的损失进行评估；</w:t>
      </w:r>
    </w:p>
    <w:p w14:paraId="1E7052EF">
      <w:pPr>
        <w:tabs>
          <w:tab w:val="left" w:pos="3119"/>
        </w:tabs>
        <w:autoSpaceDE w:val="0"/>
        <w:autoSpaceDN w:val="0"/>
        <w:adjustRightInd w:val="0"/>
        <w:snapToGrid w:val="0"/>
        <w:spacing w:line="360" w:lineRule="auto"/>
        <w:ind w:right="36" w:rightChars="15"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（3）根据估值错误处理原则或理财产品管理人与托管人协商的方法，由理财产品管理人与托管人共同进行更正，由估值错误的责任方进行赔偿损失。</w:t>
      </w:r>
    </w:p>
    <w:p w14:paraId="49040511">
      <w:pPr>
        <w:pStyle w:val="3"/>
        <w:ind w:firstLine="482"/>
        <w:rPr>
          <w:color w:val="auto"/>
          <w:highlight w:val="none"/>
        </w:rPr>
      </w:pPr>
      <w:r>
        <w:rPr>
          <w:rFonts w:hint="eastAsia"/>
          <w:color w:val="auto"/>
          <w:highlight w:val="none"/>
        </w:rPr>
        <w:t>暂停估值的情形</w:t>
      </w:r>
    </w:p>
    <w:p w14:paraId="02B77BE7">
      <w:pPr>
        <w:autoSpaceDE w:val="0"/>
        <w:autoSpaceDN w:val="0"/>
        <w:adjustRightInd w:val="0"/>
        <w:snapToGrid w:val="0"/>
        <w:spacing w:line="360" w:lineRule="auto"/>
        <w:ind w:firstLine="480" w:firstLineChars="200"/>
        <w:jc w:val="left"/>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1.当资产估值因不可抗力或其他情形致使本产品管理人和托管人无法准确评估资产价值时；</w:t>
      </w:r>
    </w:p>
    <w:p w14:paraId="068C81ED">
      <w:pPr>
        <w:autoSpaceDE w:val="0"/>
        <w:autoSpaceDN w:val="0"/>
        <w:adjustRightInd w:val="0"/>
        <w:snapToGrid w:val="0"/>
        <w:spacing w:line="360" w:lineRule="auto"/>
        <w:ind w:firstLine="480" w:firstLineChars="200"/>
        <w:jc w:val="left"/>
        <w:rPr>
          <w:rFonts w:ascii="仿宋_GB2312" w:hAnsi="宋体" w:cs="宋体"/>
          <w:bCs/>
          <w:color w:val="auto"/>
          <w:kern w:val="0"/>
          <w:szCs w:val="24"/>
          <w:highlight w:val="none"/>
        </w:rPr>
      </w:pPr>
      <w:r>
        <w:rPr>
          <w:rFonts w:hint="eastAsia" w:ascii="仿宋_GB2312" w:hAnsi="宋体" w:cs="宋体"/>
          <w:bCs/>
          <w:color w:val="auto"/>
          <w:kern w:val="0"/>
          <w:szCs w:val="24"/>
          <w:highlight w:val="none"/>
        </w:rPr>
        <w:t>2．理财产品投资所涉及的交易市场遇法定节假日或因其他原因暂停营业时；</w:t>
      </w:r>
    </w:p>
    <w:p w14:paraId="1D5F9EFE">
      <w:pPr>
        <w:autoSpaceDE w:val="0"/>
        <w:autoSpaceDN w:val="0"/>
        <w:adjustRightInd w:val="0"/>
        <w:snapToGrid w:val="0"/>
        <w:spacing w:line="360" w:lineRule="auto"/>
        <w:ind w:firstLine="480" w:firstLineChars="200"/>
        <w:jc w:val="left"/>
        <w:rPr>
          <w:rFonts w:ascii="仿宋_GB2312" w:hAnsi="宋体" w:cs="宋体"/>
          <w:bCs/>
          <w:color w:val="auto"/>
          <w:kern w:val="0"/>
          <w:szCs w:val="24"/>
          <w:highlight w:val="none"/>
        </w:rPr>
      </w:pPr>
      <w:r>
        <w:rPr>
          <w:rFonts w:hint="eastAsia" w:ascii="仿宋_GB2312" w:hAnsi="宋体" w:cs="宋体"/>
          <w:bCs/>
          <w:color w:val="auto"/>
          <w:kern w:val="0"/>
          <w:szCs w:val="24"/>
          <w:highlight w:val="none"/>
        </w:rPr>
        <w:t>3.理财产品投资的其他资产产品合同约定暂停估值或无法估值的情形发生，导致理财产品无法估值时；</w:t>
      </w:r>
    </w:p>
    <w:p w14:paraId="2EEF943C">
      <w:pPr>
        <w:autoSpaceDE w:val="0"/>
        <w:autoSpaceDN w:val="0"/>
        <w:adjustRightInd w:val="0"/>
        <w:snapToGrid w:val="0"/>
        <w:spacing w:line="360" w:lineRule="auto"/>
        <w:ind w:firstLine="480" w:firstLineChars="200"/>
        <w:jc w:val="left"/>
        <w:rPr>
          <w:rFonts w:ascii="仿宋_GB2312" w:hAnsi="宋体" w:cs="宋体"/>
          <w:bCs/>
          <w:color w:val="auto"/>
          <w:kern w:val="0"/>
          <w:szCs w:val="24"/>
          <w:highlight w:val="none"/>
        </w:rPr>
      </w:pPr>
      <w:r>
        <w:rPr>
          <w:rFonts w:hint="eastAsia" w:ascii="仿宋_GB2312" w:hAnsi="宋体" w:cs="宋体"/>
          <w:bCs/>
          <w:color w:val="auto"/>
          <w:kern w:val="0"/>
          <w:szCs w:val="24"/>
          <w:highlight w:val="none"/>
        </w:rPr>
        <w:t>4</w:t>
      </w:r>
      <w:r>
        <w:rPr>
          <w:rFonts w:ascii="仿宋_GB2312" w:hAnsi="宋体" w:cs="宋体"/>
          <w:bCs/>
          <w:color w:val="auto"/>
          <w:kern w:val="0"/>
          <w:szCs w:val="24"/>
          <w:highlight w:val="none"/>
        </w:rPr>
        <w:t>.</w:t>
      </w:r>
      <w:r>
        <w:rPr>
          <w:rFonts w:hint="eastAsia" w:ascii="仿宋_GB2312" w:hAnsi="宋体" w:cs="宋体"/>
          <w:bCs/>
          <w:color w:val="auto"/>
          <w:kern w:val="0"/>
          <w:szCs w:val="24"/>
          <w:highlight w:val="none"/>
        </w:rPr>
        <w:t>当前一估值日理财产品资产净值5</w:t>
      </w:r>
      <w:r>
        <w:rPr>
          <w:rFonts w:ascii="仿宋_GB2312" w:hAnsi="宋体" w:cs="宋体"/>
          <w:bCs/>
          <w:color w:val="auto"/>
          <w:kern w:val="0"/>
          <w:szCs w:val="24"/>
          <w:highlight w:val="none"/>
        </w:rPr>
        <w:t>0</w:t>
      </w:r>
      <w:r>
        <w:rPr>
          <w:rFonts w:hint="eastAsia" w:ascii="仿宋_GB2312" w:hAnsi="宋体" w:cs="宋体"/>
          <w:bCs/>
          <w:color w:val="auto"/>
          <w:kern w:val="0"/>
          <w:szCs w:val="24"/>
          <w:highlight w:val="none"/>
        </w:rPr>
        <w:t>%以上的资产不具备活跃市场或在活跃市场中无报价，且采用估值技术不能可靠计量公允价值时；</w:t>
      </w:r>
    </w:p>
    <w:p w14:paraId="301B459B">
      <w:pPr>
        <w:autoSpaceDE w:val="0"/>
        <w:autoSpaceDN w:val="0"/>
        <w:adjustRightInd w:val="0"/>
        <w:snapToGrid w:val="0"/>
        <w:spacing w:line="360" w:lineRule="auto"/>
        <w:ind w:firstLine="480" w:firstLineChars="200"/>
        <w:jc w:val="left"/>
        <w:rPr>
          <w:rFonts w:ascii="仿宋_GB2312" w:hAnsi="宋体" w:cs="宋体"/>
          <w:bCs/>
          <w:color w:val="auto"/>
          <w:kern w:val="0"/>
          <w:szCs w:val="24"/>
          <w:highlight w:val="none"/>
        </w:rPr>
      </w:pPr>
      <w:r>
        <w:rPr>
          <w:rFonts w:ascii="仿宋_GB2312" w:hAnsi="宋体" w:cs="宋体"/>
          <w:bCs/>
          <w:color w:val="auto"/>
          <w:kern w:val="0"/>
          <w:szCs w:val="24"/>
          <w:highlight w:val="none"/>
        </w:rPr>
        <w:t>5</w:t>
      </w:r>
      <w:r>
        <w:rPr>
          <w:rFonts w:hint="eastAsia" w:ascii="仿宋_GB2312" w:hAnsi="宋体" w:cs="宋体"/>
          <w:bCs/>
          <w:color w:val="auto"/>
          <w:kern w:val="0"/>
          <w:szCs w:val="24"/>
          <w:highlight w:val="none"/>
        </w:rPr>
        <w:t>.国家金融监督管理总局认定的其他情形或理财产品管理人、托管人有合理理由认为将影响本理财产品估值的其他情形。</w:t>
      </w:r>
    </w:p>
    <w:p w14:paraId="62FBDA3E">
      <w:pPr>
        <w:jc w:val="left"/>
        <w:rPr>
          <w:rFonts w:ascii="仿宋_GB2312" w:hAnsi="宋体" w:cs="宋体"/>
          <w:bCs/>
          <w:color w:val="auto"/>
          <w:kern w:val="0"/>
          <w:szCs w:val="24"/>
          <w:highlight w:val="none"/>
        </w:rPr>
      </w:pPr>
      <w:r>
        <w:rPr>
          <w:rFonts w:hint="eastAsia" w:ascii="仿宋_GB2312" w:hAnsi="宋体" w:cs="宋体"/>
          <w:bCs/>
          <w:color w:val="auto"/>
          <w:kern w:val="0"/>
          <w:szCs w:val="24"/>
          <w:highlight w:val="none"/>
        </w:rPr>
        <w:br w:type="page"/>
      </w:r>
    </w:p>
    <w:p w14:paraId="482C2469">
      <w:pPr>
        <w:pStyle w:val="2"/>
        <w:rPr>
          <w:color w:val="auto"/>
          <w:highlight w:val="none"/>
        </w:rPr>
      </w:pPr>
      <w:r>
        <w:rPr>
          <w:rFonts w:hint="eastAsia"/>
          <w:color w:val="auto"/>
          <w:highlight w:val="none"/>
        </w:rPr>
        <w:t>理财产品的利益分配</w:t>
      </w:r>
    </w:p>
    <w:p w14:paraId="4594C92F">
      <w:pPr>
        <w:pStyle w:val="3"/>
        <w:ind w:firstLine="482"/>
        <w:rPr>
          <w:color w:val="auto"/>
          <w:highlight w:val="none"/>
        </w:rPr>
      </w:pPr>
      <w:r>
        <w:rPr>
          <w:rFonts w:hint="eastAsia"/>
          <w:color w:val="auto"/>
          <w:highlight w:val="none"/>
        </w:rPr>
        <w:t>理财产品的收益构成</w:t>
      </w:r>
    </w:p>
    <w:p w14:paraId="76717598">
      <w:pPr>
        <w:pStyle w:val="3"/>
        <w:numPr>
          <w:ilvl w:val="0"/>
          <w:numId w:val="0"/>
        </w:numPr>
        <w:tabs>
          <w:tab w:val="left" w:pos="3261"/>
        </w:tabs>
        <w:ind w:firstLine="482"/>
        <w:rPr>
          <w:color w:val="auto"/>
          <w:highlight w:val="none"/>
          <w:u w:val="none"/>
        </w:rPr>
      </w:pPr>
      <w:r>
        <w:rPr>
          <w:rFonts w:hint="eastAsia"/>
          <w:color w:val="auto"/>
          <w:highlight w:val="none"/>
          <w:u w:val="none"/>
        </w:rPr>
        <w:t>本理财产品的收益包括：投资债券、货币市场工具等投资范围内的资产和监管机构认可的资产或资产管理产品所产生的利息收入、买卖证券差价收入、银行存款利息以及其他合法收入。该收益构成不代表投资者一定可以获得的收益。</w:t>
      </w:r>
    </w:p>
    <w:p w14:paraId="1EEC93CE">
      <w:pPr>
        <w:pStyle w:val="3"/>
        <w:tabs>
          <w:tab w:val="clear" w:pos="709"/>
        </w:tabs>
        <w:ind w:firstLine="482"/>
        <w:rPr>
          <w:color w:val="auto"/>
          <w:highlight w:val="none"/>
          <w:u w:val="none"/>
        </w:rPr>
      </w:pPr>
      <w:r>
        <w:rPr>
          <w:rFonts w:hint="eastAsia"/>
          <w:color w:val="auto"/>
          <w:highlight w:val="none"/>
          <w:u w:val="none"/>
        </w:rPr>
        <w:t>理财</w:t>
      </w:r>
      <w:r>
        <w:rPr>
          <w:rFonts w:hint="eastAsia"/>
          <w:color w:val="auto"/>
          <w:highlight w:val="none"/>
          <w:u w:val="none"/>
          <w:lang w:eastAsia="zh-CN"/>
        </w:rPr>
        <w:t>收益</w:t>
      </w:r>
      <w:r>
        <w:rPr>
          <w:rFonts w:hint="eastAsia"/>
          <w:color w:val="auto"/>
          <w:highlight w:val="none"/>
          <w:u w:val="none"/>
        </w:rPr>
        <w:t>的分配类型</w:t>
      </w:r>
    </w:p>
    <w:p w14:paraId="459ADC0E">
      <w:pPr>
        <w:autoSpaceDE w:val="0"/>
        <w:autoSpaceDN w:val="0"/>
        <w:adjustRightInd w:val="0"/>
        <w:snapToGrid w:val="0"/>
        <w:spacing w:line="360" w:lineRule="auto"/>
        <w:ind w:firstLine="480" w:firstLineChars="200"/>
        <w:jc w:val="left"/>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1.依据分配时点，理财</w:t>
      </w:r>
      <w:r>
        <w:rPr>
          <w:rFonts w:hint="eastAsia" w:ascii="仿宋_GB2312" w:hAnsi="宋体" w:cs="宋体"/>
          <w:bCs/>
          <w:color w:val="auto"/>
          <w:kern w:val="0"/>
          <w:szCs w:val="24"/>
          <w:highlight w:val="none"/>
          <w:u w:val="none"/>
          <w:lang w:eastAsia="zh-CN"/>
        </w:rPr>
        <w:t>收益</w:t>
      </w:r>
      <w:r>
        <w:rPr>
          <w:rFonts w:hint="eastAsia" w:ascii="仿宋_GB2312" w:hAnsi="宋体" w:cs="宋体"/>
          <w:bCs/>
          <w:color w:val="auto"/>
          <w:kern w:val="0"/>
          <w:szCs w:val="24"/>
          <w:highlight w:val="none"/>
          <w:u w:val="none"/>
        </w:rPr>
        <w:t>的分配可分为“期间分配”与“终止分配”。</w:t>
      </w:r>
    </w:p>
    <w:p w14:paraId="780D5FD9">
      <w:pPr>
        <w:autoSpaceDE w:val="0"/>
        <w:autoSpaceDN w:val="0"/>
        <w:adjustRightInd w:val="0"/>
        <w:snapToGrid w:val="0"/>
        <w:spacing w:line="360" w:lineRule="auto"/>
        <w:ind w:firstLine="480" w:firstLineChars="200"/>
        <w:jc w:val="left"/>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2.依据分配方式，理财</w:t>
      </w:r>
      <w:r>
        <w:rPr>
          <w:rFonts w:hint="eastAsia" w:ascii="仿宋_GB2312" w:hAnsi="宋体" w:cs="宋体"/>
          <w:bCs/>
          <w:color w:val="auto"/>
          <w:kern w:val="0"/>
          <w:szCs w:val="24"/>
          <w:highlight w:val="none"/>
          <w:u w:val="none"/>
          <w:lang w:eastAsia="zh-CN"/>
        </w:rPr>
        <w:t>收益</w:t>
      </w:r>
      <w:r>
        <w:rPr>
          <w:rFonts w:hint="eastAsia" w:ascii="仿宋_GB2312" w:hAnsi="宋体" w:cs="宋体"/>
          <w:bCs/>
          <w:color w:val="auto"/>
          <w:kern w:val="0"/>
          <w:szCs w:val="24"/>
          <w:highlight w:val="none"/>
          <w:u w:val="none"/>
        </w:rPr>
        <w:t>的分配可分为“现金分配”与“非现金分配”。</w:t>
      </w:r>
    </w:p>
    <w:p w14:paraId="153B4453">
      <w:pPr>
        <w:pStyle w:val="3"/>
        <w:tabs>
          <w:tab w:val="clear" w:pos="709"/>
        </w:tabs>
        <w:ind w:firstLine="482"/>
        <w:rPr>
          <w:color w:val="auto"/>
          <w:highlight w:val="none"/>
          <w:u w:val="none"/>
        </w:rPr>
      </w:pPr>
      <w:r>
        <w:rPr>
          <w:rFonts w:hint="eastAsia"/>
          <w:color w:val="auto"/>
          <w:highlight w:val="none"/>
          <w:u w:val="none"/>
        </w:rPr>
        <w:t>理财</w:t>
      </w:r>
      <w:r>
        <w:rPr>
          <w:rFonts w:hint="eastAsia"/>
          <w:color w:val="auto"/>
          <w:highlight w:val="none"/>
          <w:u w:val="none"/>
          <w:lang w:eastAsia="zh-CN"/>
        </w:rPr>
        <w:t>收益</w:t>
      </w:r>
      <w:r>
        <w:rPr>
          <w:rFonts w:hint="eastAsia"/>
          <w:color w:val="auto"/>
          <w:highlight w:val="none"/>
          <w:u w:val="none"/>
        </w:rPr>
        <w:t>的分配原则</w:t>
      </w:r>
    </w:p>
    <w:p w14:paraId="5F9DB5EF">
      <w:pPr>
        <w:autoSpaceDE w:val="0"/>
        <w:autoSpaceDN w:val="0"/>
        <w:adjustRightInd w:val="0"/>
        <w:snapToGrid w:val="0"/>
        <w:spacing w:line="360" w:lineRule="auto"/>
        <w:ind w:firstLine="480" w:firstLineChars="200"/>
        <w:jc w:val="left"/>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1.本产品</w:t>
      </w:r>
      <w:r>
        <w:rPr>
          <w:rFonts w:hint="eastAsia" w:ascii="仿宋_GB2312" w:hAnsi="宋体" w:cs="宋体"/>
          <w:bCs/>
          <w:color w:val="auto"/>
          <w:kern w:val="0"/>
          <w:szCs w:val="24"/>
          <w:highlight w:val="none"/>
          <w:u w:val="none"/>
          <w:lang w:eastAsia="zh-CN"/>
        </w:rPr>
        <w:t>收益</w:t>
      </w:r>
      <w:r>
        <w:rPr>
          <w:rFonts w:hint="eastAsia" w:ascii="仿宋_GB2312" w:hAnsi="宋体" w:cs="宋体"/>
          <w:bCs/>
          <w:color w:val="auto"/>
          <w:kern w:val="0"/>
          <w:szCs w:val="24"/>
          <w:highlight w:val="none"/>
          <w:u w:val="none"/>
        </w:rPr>
        <w:t>分配应遵循下列原则：</w:t>
      </w:r>
    </w:p>
    <w:p w14:paraId="68253A8A">
      <w:pPr>
        <w:autoSpaceDE w:val="0"/>
        <w:autoSpaceDN w:val="0"/>
        <w:adjustRightInd w:val="0"/>
        <w:snapToGrid w:val="0"/>
        <w:spacing w:line="360" w:lineRule="auto"/>
        <w:ind w:firstLine="480" w:firstLineChars="200"/>
        <w:jc w:val="left"/>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（1）每一产品份额享有同等分配权。</w:t>
      </w:r>
    </w:p>
    <w:p w14:paraId="43CEB321">
      <w:pPr>
        <w:autoSpaceDE w:val="0"/>
        <w:autoSpaceDN w:val="0"/>
        <w:adjustRightInd w:val="0"/>
        <w:snapToGrid w:val="0"/>
        <w:spacing w:line="360" w:lineRule="auto"/>
        <w:ind w:firstLine="480" w:firstLineChars="200"/>
        <w:jc w:val="left"/>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（2）在不</w:t>
      </w:r>
      <w:r>
        <w:rPr>
          <w:rFonts w:ascii="仿宋_GB2312" w:hAnsi="宋体" w:cs="宋体"/>
          <w:bCs/>
          <w:color w:val="auto"/>
          <w:kern w:val="0"/>
          <w:szCs w:val="24"/>
          <w:highlight w:val="none"/>
          <w:u w:val="none"/>
        </w:rPr>
        <w:t>违反法律法规、理财产品销售文件约定以及对份额持有人权益无实质性不利影响的情况下，产品管理人可</w:t>
      </w:r>
      <w:r>
        <w:rPr>
          <w:rFonts w:hint="eastAsia" w:ascii="仿宋_GB2312" w:hAnsi="宋体" w:cs="宋体"/>
          <w:bCs/>
          <w:color w:val="auto"/>
          <w:kern w:val="0"/>
          <w:szCs w:val="24"/>
          <w:highlight w:val="none"/>
          <w:u w:val="none"/>
        </w:rPr>
        <w:t>调整</w:t>
      </w:r>
      <w:r>
        <w:rPr>
          <w:rFonts w:ascii="仿宋_GB2312" w:hAnsi="宋体" w:cs="宋体"/>
          <w:bCs/>
          <w:color w:val="auto"/>
          <w:kern w:val="0"/>
          <w:szCs w:val="24"/>
          <w:highlight w:val="none"/>
          <w:u w:val="none"/>
        </w:rPr>
        <w:t>本理财产品</w:t>
      </w:r>
      <w:r>
        <w:rPr>
          <w:rFonts w:hint="eastAsia" w:ascii="仿宋_GB2312" w:hAnsi="宋体" w:cs="宋体"/>
          <w:bCs/>
          <w:color w:val="auto"/>
          <w:kern w:val="0"/>
          <w:szCs w:val="24"/>
          <w:highlight w:val="none"/>
          <w:u w:val="none"/>
          <w:lang w:eastAsia="zh-CN"/>
        </w:rPr>
        <w:t>收益</w:t>
      </w:r>
      <w:r>
        <w:rPr>
          <w:rFonts w:ascii="仿宋_GB2312" w:hAnsi="宋体" w:cs="宋体"/>
          <w:bCs/>
          <w:color w:val="auto"/>
          <w:kern w:val="0"/>
          <w:szCs w:val="24"/>
          <w:highlight w:val="none"/>
          <w:u w:val="none"/>
        </w:rPr>
        <w:t>的分配原则与支付方式。法律</w:t>
      </w:r>
      <w:r>
        <w:rPr>
          <w:rFonts w:hint="eastAsia" w:ascii="仿宋_GB2312" w:hAnsi="宋体" w:cs="宋体"/>
          <w:bCs/>
          <w:color w:val="auto"/>
          <w:kern w:val="0"/>
          <w:szCs w:val="24"/>
          <w:highlight w:val="none"/>
          <w:u w:val="none"/>
        </w:rPr>
        <w:t>法规</w:t>
      </w:r>
      <w:r>
        <w:rPr>
          <w:rFonts w:ascii="仿宋_GB2312" w:hAnsi="宋体" w:cs="宋体"/>
          <w:bCs/>
          <w:color w:val="auto"/>
          <w:kern w:val="0"/>
          <w:szCs w:val="24"/>
          <w:highlight w:val="none"/>
          <w:u w:val="none"/>
        </w:rPr>
        <w:t>或监管机构另有规定的从其规定。</w:t>
      </w:r>
    </w:p>
    <w:p w14:paraId="4FFFE82E">
      <w:pPr>
        <w:pStyle w:val="3"/>
        <w:tabs>
          <w:tab w:val="clear" w:pos="709"/>
        </w:tabs>
        <w:autoSpaceDE w:val="0"/>
        <w:autoSpaceDN w:val="0"/>
        <w:adjustRightInd w:val="0"/>
        <w:snapToGrid w:val="0"/>
        <w:ind w:firstLine="482"/>
        <w:rPr>
          <w:color w:val="auto"/>
          <w:highlight w:val="none"/>
          <w:u w:val="none"/>
        </w:rPr>
      </w:pPr>
      <w:r>
        <w:rPr>
          <w:rFonts w:hint="eastAsia"/>
          <w:color w:val="auto"/>
          <w:highlight w:val="none"/>
          <w:u w:val="none"/>
        </w:rPr>
        <w:t>理财</w:t>
      </w:r>
      <w:r>
        <w:rPr>
          <w:rFonts w:hint="eastAsia"/>
          <w:color w:val="auto"/>
          <w:highlight w:val="none"/>
          <w:u w:val="none"/>
          <w:lang w:eastAsia="zh-CN"/>
        </w:rPr>
        <w:t>收益</w:t>
      </w:r>
      <w:r>
        <w:rPr>
          <w:rFonts w:hint="eastAsia"/>
          <w:color w:val="auto"/>
          <w:highlight w:val="none"/>
          <w:u w:val="none"/>
        </w:rPr>
        <w:t xml:space="preserve">的分配方案 </w:t>
      </w:r>
    </w:p>
    <w:p w14:paraId="517F0A27">
      <w:pPr>
        <w:autoSpaceDE w:val="0"/>
        <w:autoSpaceDN w:val="0"/>
        <w:adjustRightInd w:val="0"/>
        <w:snapToGrid w:val="0"/>
        <w:spacing w:line="360" w:lineRule="auto"/>
        <w:ind w:firstLine="480" w:firstLineChars="200"/>
        <w:jc w:val="left"/>
        <w:rPr>
          <w:color w:val="auto"/>
          <w:highlight w:val="none"/>
          <w:u w:val="none"/>
        </w:rPr>
      </w:pPr>
      <w:r>
        <w:rPr>
          <w:rFonts w:hint="eastAsia" w:ascii="仿宋_GB2312" w:hAnsi="宋体" w:cs="宋体"/>
          <w:bCs/>
          <w:color w:val="auto"/>
          <w:kern w:val="0"/>
          <w:szCs w:val="24"/>
          <w:highlight w:val="none"/>
          <w:u w:val="none"/>
        </w:rPr>
        <w:t>1.</w:t>
      </w:r>
      <w:r>
        <w:rPr>
          <w:rFonts w:hint="eastAsia"/>
          <w:color w:val="auto"/>
          <w:highlight w:val="none"/>
          <w:u w:val="none"/>
        </w:rPr>
        <w:t>分配方案要点：</w:t>
      </w:r>
    </w:p>
    <w:p w14:paraId="6C555A27">
      <w:pPr>
        <w:autoSpaceDE w:val="0"/>
        <w:autoSpaceDN w:val="0"/>
        <w:adjustRightInd w:val="0"/>
        <w:snapToGrid w:val="0"/>
        <w:spacing w:line="360" w:lineRule="auto"/>
        <w:ind w:firstLine="480" w:firstLineChars="200"/>
        <w:jc w:val="left"/>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w:t>
      </w:r>
      <w:r>
        <w:rPr>
          <w:rFonts w:ascii="仿宋_GB2312" w:hAnsi="宋体" w:cs="宋体"/>
          <w:bCs/>
          <w:color w:val="auto"/>
          <w:kern w:val="0"/>
          <w:szCs w:val="24"/>
          <w:highlight w:val="none"/>
          <w:u w:val="none"/>
        </w:rPr>
        <w:t>1）</w:t>
      </w:r>
      <w:r>
        <w:rPr>
          <w:rFonts w:hint="eastAsia" w:ascii="仿宋_GB2312" w:hAnsi="宋体" w:cs="宋体"/>
          <w:bCs/>
          <w:color w:val="auto"/>
          <w:kern w:val="0"/>
          <w:szCs w:val="24"/>
          <w:highlight w:val="none"/>
          <w:u w:val="none"/>
        </w:rPr>
        <w:t>本</w:t>
      </w:r>
      <w:r>
        <w:rPr>
          <w:rFonts w:ascii="仿宋_GB2312" w:hAnsi="宋体" w:cs="宋体"/>
          <w:bCs/>
          <w:color w:val="auto"/>
          <w:kern w:val="0"/>
          <w:szCs w:val="24"/>
          <w:highlight w:val="none"/>
          <w:u w:val="none"/>
        </w:rPr>
        <w:t>理财产品的分配时点包括</w:t>
      </w:r>
      <w:r>
        <w:rPr>
          <w:rFonts w:hint="eastAsia" w:ascii="仿宋_GB2312" w:hAnsi="宋体" w:cs="宋体"/>
          <w:bCs/>
          <w:kern w:val="0"/>
          <w:szCs w:val="24"/>
          <w:highlight w:val="none"/>
          <w:lang w:eastAsia="zh-CN"/>
        </w:rPr>
        <w:t>【</w:t>
      </w:r>
      <w:r>
        <w:rPr>
          <w:rFonts w:hint="eastAsia" w:ascii="仿宋_GB2312" w:hAnsi="宋体" w:cs="宋体"/>
          <w:bCs/>
          <w:kern w:val="0"/>
          <w:szCs w:val="24"/>
          <w:highlight w:val="none"/>
        </w:rPr>
        <w:t>“终止分配”</w:t>
      </w:r>
      <w:r>
        <w:rPr>
          <w:rFonts w:hint="eastAsia" w:ascii="仿宋_GB2312" w:hAnsi="宋体" w:cs="宋体"/>
          <w:bCs/>
          <w:kern w:val="0"/>
          <w:szCs w:val="24"/>
          <w:highlight w:val="none"/>
          <w:lang w:eastAsia="zh-CN"/>
        </w:rPr>
        <w:t>】</w:t>
      </w:r>
      <w:r>
        <w:rPr>
          <w:rFonts w:hint="eastAsia" w:ascii="仿宋_GB2312" w:hAnsi="宋体" w:cs="宋体"/>
          <w:bCs/>
          <w:color w:val="auto"/>
          <w:kern w:val="0"/>
          <w:szCs w:val="24"/>
          <w:highlight w:val="none"/>
          <w:u w:val="none"/>
        </w:rPr>
        <w:t>。</w:t>
      </w:r>
    </w:p>
    <w:p w14:paraId="20D563FC">
      <w:pPr>
        <w:autoSpaceDE w:val="0"/>
        <w:autoSpaceDN w:val="0"/>
        <w:adjustRightInd w:val="0"/>
        <w:snapToGrid w:val="0"/>
        <w:spacing w:line="360" w:lineRule="auto"/>
        <w:ind w:firstLine="480" w:firstLineChars="200"/>
        <w:jc w:val="left"/>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（2</w:t>
      </w:r>
      <w:r>
        <w:rPr>
          <w:rFonts w:ascii="仿宋_GB2312" w:hAnsi="宋体" w:cs="宋体"/>
          <w:bCs/>
          <w:color w:val="auto"/>
          <w:kern w:val="0"/>
          <w:szCs w:val="24"/>
          <w:highlight w:val="none"/>
          <w:u w:val="none"/>
        </w:rPr>
        <w:t>）</w:t>
      </w:r>
      <w:r>
        <w:rPr>
          <w:rFonts w:hint="eastAsia" w:ascii="仿宋_GB2312" w:hAnsi="宋体" w:cs="宋体"/>
          <w:bCs/>
          <w:color w:val="auto"/>
          <w:kern w:val="0"/>
          <w:szCs w:val="24"/>
          <w:highlight w:val="none"/>
          <w:u w:val="none"/>
        </w:rPr>
        <w:t>本</w:t>
      </w:r>
      <w:r>
        <w:rPr>
          <w:rFonts w:ascii="仿宋_GB2312" w:hAnsi="宋体" w:cs="宋体"/>
          <w:bCs/>
          <w:color w:val="auto"/>
          <w:kern w:val="0"/>
          <w:szCs w:val="24"/>
          <w:highlight w:val="none"/>
          <w:u w:val="none"/>
        </w:rPr>
        <w:t>理财产品的分配</w:t>
      </w:r>
      <w:r>
        <w:rPr>
          <w:rFonts w:hint="eastAsia" w:ascii="仿宋_GB2312" w:hAnsi="宋体" w:cs="宋体"/>
          <w:bCs/>
          <w:color w:val="auto"/>
          <w:kern w:val="0"/>
          <w:szCs w:val="24"/>
          <w:highlight w:val="none"/>
          <w:u w:val="none"/>
        </w:rPr>
        <w:t>方式</w:t>
      </w:r>
      <w:r>
        <w:rPr>
          <w:rFonts w:ascii="仿宋_GB2312" w:hAnsi="宋体" w:cs="宋体"/>
          <w:bCs/>
          <w:color w:val="auto"/>
          <w:kern w:val="0"/>
          <w:szCs w:val="24"/>
          <w:highlight w:val="none"/>
          <w:u w:val="none"/>
        </w:rPr>
        <w:t>采取</w:t>
      </w:r>
      <w:r>
        <w:rPr>
          <w:rFonts w:hint="eastAsia" w:ascii="仿宋_GB2312" w:hAnsi="宋体" w:cs="宋体"/>
          <w:bCs/>
          <w:kern w:val="0"/>
          <w:szCs w:val="24"/>
          <w:highlight w:val="none"/>
          <w:lang w:eastAsia="zh-CN"/>
        </w:rPr>
        <w:t>【</w:t>
      </w:r>
      <w:r>
        <w:rPr>
          <w:rFonts w:hint="eastAsia" w:ascii="仿宋_GB2312" w:hAnsi="宋体" w:cs="宋体"/>
          <w:bCs/>
          <w:kern w:val="0"/>
          <w:szCs w:val="24"/>
          <w:highlight w:val="none"/>
        </w:rPr>
        <w:t>“现金分配”</w:t>
      </w:r>
      <w:r>
        <w:rPr>
          <w:rFonts w:hint="eastAsia" w:ascii="仿宋_GB2312" w:hAnsi="宋体" w:cs="宋体"/>
          <w:bCs/>
          <w:kern w:val="0"/>
          <w:szCs w:val="24"/>
          <w:highlight w:val="none"/>
          <w:lang w:eastAsia="zh-CN"/>
        </w:rPr>
        <w:t>】</w:t>
      </w:r>
      <w:r>
        <w:rPr>
          <w:rFonts w:hint="eastAsia" w:ascii="仿宋_GB2312" w:hAnsi="宋体" w:cs="宋体"/>
          <w:bCs/>
          <w:color w:val="auto"/>
          <w:kern w:val="0"/>
          <w:szCs w:val="24"/>
          <w:highlight w:val="none"/>
          <w:u w:val="none"/>
        </w:rPr>
        <w:t>。</w:t>
      </w:r>
    </w:p>
    <w:p w14:paraId="0D00753A">
      <w:pPr>
        <w:autoSpaceDE w:val="0"/>
        <w:autoSpaceDN w:val="0"/>
        <w:adjustRightInd w:val="0"/>
        <w:snapToGrid w:val="0"/>
        <w:spacing w:line="360" w:lineRule="auto"/>
        <w:ind w:firstLine="480" w:firstLineChars="200"/>
        <w:jc w:val="left"/>
        <w:rPr>
          <w:rFonts w:ascii="仿宋_GB2312" w:hAnsi="宋体" w:cs="宋体"/>
          <w:bCs/>
          <w:color w:val="auto"/>
          <w:kern w:val="0"/>
          <w:szCs w:val="24"/>
          <w:highlight w:val="none"/>
          <w:u w:val="none"/>
        </w:rPr>
      </w:pPr>
      <w:r>
        <w:rPr>
          <w:rFonts w:ascii="仿宋_GB2312" w:hAnsi="宋体" w:cs="宋体"/>
          <w:bCs/>
          <w:color w:val="auto"/>
          <w:kern w:val="0"/>
          <w:szCs w:val="24"/>
          <w:highlight w:val="none"/>
          <w:u w:val="none"/>
        </w:rPr>
        <w:t>2.</w:t>
      </w:r>
      <w:r>
        <w:rPr>
          <w:rFonts w:hint="eastAsia" w:ascii="仿宋_GB2312" w:hAnsi="宋体" w:cs="宋体"/>
          <w:bCs/>
          <w:color w:val="auto"/>
          <w:kern w:val="0"/>
          <w:szCs w:val="24"/>
          <w:highlight w:val="none"/>
          <w:u w:val="none"/>
        </w:rPr>
        <w:t>具体</w:t>
      </w:r>
      <w:r>
        <w:rPr>
          <w:rFonts w:ascii="仿宋_GB2312" w:hAnsi="宋体" w:cs="宋体"/>
          <w:bCs/>
          <w:color w:val="auto"/>
          <w:kern w:val="0"/>
          <w:szCs w:val="24"/>
          <w:highlight w:val="none"/>
          <w:u w:val="none"/>
        </w:rPr>
        <w:t>理财产品</w:t>
      </w:r>
      <w:r>
        <w:rPr>
          <w:rFonts w:hint="eastAsia" w:ascii="仿宋_GB2312" w:hAnsi="宋体" w:cs="宋体"/>
          <w:bCs/>
          <w:color w:val="auto"/>
          <w:kern w:val="0"/>
          <w:szCs w:val="24"/>
          <w:highlight w:val="none"/>
          <w:u w:val="none"/>
          <w:lang w:eastAsia="zh-CN"/>
        </w:rPr>
        <w:t>收益</w:t>
      </w:r>
      <w:r>
        <w:rPr>
          <w:rFonts w:ascii="仿宋_GB2312" w:hAnsi="宋体" w:cs="宋体"/>
          <w:bCs/>
          <w:color w:val="auto"/>
          <w:kern w:val="0"/>
          <w:szCs w:val="24"/>
          <w:highlight w:val="none"/>
          <w:u w:val="none"/>
        </w:rPr>
        <w:t>分配方案由产品管理人拟定，并由产品托管人复核后确定。</w:t>
      </w:r>
    </w:p>
    <w:p w14:paraId="7FB7D83A">
      <w:pPr>
        <w:autoSpaceDE w:val="0"/>
        <w:autoSpaceDN w:val="0"/>
        <w:adjustRightInd w:val="0"/>
        <w:snapToGrid w:val="0"/>
        <w:spacing w:line="360" w:lineRule="auto"/>
        <w:ind w:firstLine="480" w:firstLineChars="200"/>
        <w:jc w:val="left"/>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3.理财</w:t>
      </w:r>
      <w:r>
        <w:rPr>
          <w:rFonts w:ascii="仿宋_GB2312" w:hAnsi="宋体" w:cs="宋体"/>
          <w:bCs/>
          <w:color w:val="auto"/>
          <w:kern w:val="0"/>
          <w:szCs w:val="24"/>
          <w:highlight w:val="none"/>
          <w:u w:val="none"/>
        </w:rPr>
        <w:t>产品存续期间，产品管理人有权</w:t>
      </w:r>
      <w:r>
        <w:rPr>
          <w:rFonts w:hint="eastAsia" w:ascii="仿宋_GB2312" w:hAnsi="宋体" w:cs="宋体"/>
          <w:bCs/>
          <w:color w:val="auto"/>
          <w:kern w:val="0"/>
          <w:szCs w:val="24"/>
          <w:highlight w:val="none"/>
          <w:u w:val="none"/>
        </w:rPr>
        <w:t>视</w:t>
      </w:r>
      <w:r>
        <w:rPr>
          <w:rFonts w:ascii="仿宋_GB2312" w:hAnsi="宋体" w:cs="宋体"/>
          <w:bCs/>
          <w:color w:val="auto"/>
          <w:kern w:val="0"/>
          <w:szCs w:val="24"/>
          <w:highlight w:val="none"/>
          <w:u w:val="none"/>
        </w:rPr>
        <w:t>理财产品收益情况进行主动分配，相应</w:t>
      </w:r>
      <w:r>
        <w:rPr>
          <w:rFonts w:hint="eastAsia" w:ascii="仿宋_GB2312" w:hAnsi="宋体" w:cs="宋体"/>
          <w:bCs/>
          <w:color w:val="auto"/>
          <w:kern w:val="0"/>
          <w:szCs w:val="24"/>
          <w:highlight w:val="none"/>
          <w:u w:val="none"/>
          <w:lang w:eastAsia="zh-CN"/>
        </w:rPr>
        <w:t>收益</w:t>
      </w:r>
      <w:r>
        <w:rPr>
          <w:rFonts w:ascii="仿宋_GB2312" w:hAnsi="宋体" w:cs="宋体"/>
          <w:bCs/>
          <w:color w:val="auto"/>
          <w:kern w:val="0"/>
          <w:szCs w:val="24"/>
          <w:highlight w:val="none"/>
          <w:u w:val="none"/>
        </w:rPr>
        <w:t>分配基准日、分配方案由管理人及时披露。</w:t>
      </w:r>
    </w:p>
    <w:p w14:paraId="10765B29">
      <w:pPr>
        <w:pStyle w:val="3"/>
        <w:ind w:firstLine="482" w:firstLineChars="0"/>
        <w:rPr>
          <w:color w:val="auto"/>
          <w:highlight w:val="none"/>
          <w:u w:val="none"/>
        </w:rPr>
      </w:pPr>
      <w:r>
        <w:rPr>
          <w:rFonts w:hint="eastAsia"/>
          <w:color w:val="auto"/>
          <w:highlight w:val="none"/>
          <w:u w:val="none"/>
        </w:rPr>
        <w:t>理财</w:t>
      </w:r>
      <w:r>
        <w:rPr>
          <w:rFonts w:hint="eastAsia"/>
          <w:color w:val="auto"/>
          <w:highlight w:val="none"/>
          <w:u w:val="none"/>
          <w:lang w:eastAsia="zh-CN"/>
        </w:rPr>
        <w:t>收益</w:t>
      </w:r>
      <w:r>
        <w:rPr>
          <w:rFonts w:hint="eastAsia"/>
          <w:color w:val="auto"/>
          <w:highlight w:val="none"/>
          <w:u w:val="none"/>
        </w:rPr>
        <w:t>的分配</w:t>
      </w:r>
    </w:p>
    <w:p w14:paraId="32700D47">
      <w:pPr>
        <w:autoSpaceDE w:val="0"/>
        <w:autoSpaceDN w:val="0"/>
        <w:adjustRightInd w:val="0"/>
        <w:snapToGrid w:val="0"/>
        <w:spacing w:line="360" w:lineRule="auto"/>
        <w:ind w:firstLine="480" w:firstLineChars="200"/>
        <w:jc w:val="left"/>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1.理财</w:t>
      </w:r>
      <w:r>
        <w:rPr>
          <w:rFonts w:hint="eastAsia" w:ascii="仿宋_GB2312" w:hAnsi="宋体" w:cs="宋体"/>
          <w:bCs/>
          <w:color w:val="auto"/>
          <w:kern w:val="0"/>
          <w:szCs w:val="24"/>
          <w:highlight w:val="none"/>
          <w:u w:val="none"/>
          <w:lang w:eastAsia="zh-CN"/>
        </w:rPr>
        <w:t>收益</w:t>
      </w:r>
      <w:r>
        <w:rPr>
          <w:rFonts w:ascii="仿宋_GB2312" w:hAnsi="宋体" w:cs="宋体"/>
          <w:bCs/>
          <w:color w:val="auto"/>
          <w:kern w:val="0"/>
          <w:szCs w:val="24"/>
          <w:highlight w:val="none"/>
          <w:u w:val="none"/>
        </w:rPr>
        <w:t>的分配日</w:t>
      </w:r>
    </w:p>
    <w:p w14:paraId="0751488D">
      <w:pPr>
        <w:autoSpaceDE w:val="0"/>
        <w:autoSpaceDN w:val="0"/>
        <w:adjustRightInd w:val="0"/>
        <w:snapToGrid w:val="0"/>
        <w:spacing w:line="360" w:lineRule="auto"/>
        <w:ind w:firstLine="480" w:firstLineChars="200"/>
        <w:jc w:val="left"/>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（1</w:t>
      </w:r>
      <w:r>
        <w:rPr>
          <w:rFonts w:ascii="仿宋_GB2312" w:hAnsi="宋体" w:cs="宋体"/>
          <w:bCs/>
          <w:color w:val="auto"/>
          <w:kern w:val="0"/>
          <w:szCs w:val="24"/>
          <w:highlight w:val="none"/>
          <w:u w:val="none"/>
        </w:rPr>
        <w:t>）</w:t>
      </w:r>
      <w:r>
        <w:rPr>
          <w:rFonts w:hint="eastAsia" w:ascii="仿宋_GB2312" w:hAnsi="宋体" w:cs="宋体"/>
          <w:bCs/>
          <w:color w:val="auto"/>
          <w:kern w:val="0"/>
          <w:szCs w:val="24"/>
          <w:highlight w:val="none"/>
          <w:u w:val="none"/>
        </w:rPr>
        <w:t>若</w:t>
      </w:r>
      <w:r>
        <w:rPr>
          <w:rFonts w:ascii="仿宋_GB2312" w:hAnsi="宋体" w:cs="宋体"/>
          <w:bCs/>
          <w:color w:val="auto"/>
          <w:kern w:val="0"/>
          <w:szCs w:val="24"/>
          <w:highlight w:val="none"/>
          <w:u w:val="none"/>
        </w:rPr>
        <w:t>为期间分配的，原则上产品管理人应于分配基准日后</w:t>
      </w:r>
      <w:r>
        <w:rPr>
          <w:rFonts w:hint="eastAsia" w:ascii="仿宋_GB2312" w:hAnsi="宋体" w:cs="宋体"/>
          <w:bCs/>
          <w:kern w:val="0"/>
          <w:szCs w:val="24"/>
          <w:highlight w:val="none"/>
          <w:lang w:eastAsia="zh-CN"/>
        </w:rPr>
        <w:t>【</w:t>
      </w:r>
      <w:r>
        <w:rPr>
          <w:rFonts w:hint="eastAsia" w:ascii="仿宋_GB2312" w:hAnsi="宋体" w:cs="宋体"/>
          <w:bCs/>
          <w:kern w:val="0"/>
          <w:szCs w:val="24"/>
          <w:highlight w:val="none"/>
          <w:lang w:val="en-US" w:eastAsia="zh-CN"/>
        </w:rPr>
        <w:t>5</w:t>
      </w:r>
      <w:r>
        <w:rPr>
          <w:rFonts w:hint="eastAsia" w:ascii="仿宋_GB2312" w:hAnsi="宋体" w:cs="宋体"/>
          <w:bCs/>
          <w:kern w:val="0"/>
          <w:szCs w:val="24"/>
          <w:highlight w:val="none"/>
          <w:lang w:eastAsia="zh-CN"/>
        </w:rPr>
        <w:t>】</w:t>
      </w:r>
      <w:r>
        <w:rPr>
          <w:rFonts w:hint="eastAsia" w:ascii="仿宋_GB2312" w:hAnsi="宋体" w:cs="宋体"/>
          <w:bCs/>
          <w:kern w:val="0"/>
          <w:szCs w:val="24"/>
          <w:highlight w:val="none"/>
        </w:rPr>
        <w:t>个</w:t>
      </w:r>
      <w:r>
        <w:rPr>
          <w:rFonts w:hint="eastAsia" w:ascii="仿宋_GB2312" w:hAnsi="宋体" w:cs="宋体"/>
          <w:bCs/>
          <w:kern w:val="0"/>
          <w:szCs w:val="24"/>
          <w:highlight w:val="none"/>
          <w:lang w:eastAsia="zh-CN"/>
        </w:rPr>
        <w:t>工作日</w:t>
      </w:r>
      <w:r>
        <w:rPr>
          <w:rFonts w:ascii="仿宋_GB2312" w:hAnsi="宋体" w:cs="宋体"/>
          <w:bCs/>
          <w:color w:val="auto"/>
          <w:kern w:val="0"/>
          <w:szCs w:val="24"/>
          <w:highlight w:val="none"/>
          <w:u w:val="none"/>
        </w:rPr>
        <w:t>内分配理财</w:t>
      </w:r>
      <w:r>
        <w:rPr>
          <w:rFonts w:hint="eastAsia" w:ascii="仿宋_GB2312" w:hAnsi="宋体" w:cs="宋体"/>
          <w:bCs/>
          <w:color w:val="auto"/>
          <w:kern w:val="0"/>
          <w:szCs w:val="24"/>
          <w:highlight w:val="none"/>
          <w:u w:val="none"/>
          <w:lang w:eastAsia="zh-CN"/>
        </w:rPr>
        <w:t>收益</w:t>
      </w:r>
      <w:r>
        <w:rPr>
          <w:rFonts w:ascii="仿宋_GB2312" w:hAnsi="宋体" w:cs="宋体"/>
          <w:bCs/>
          <w:color w:val="auto"/>
          <w:kern w:val="0"/>
          <w:szCs w:val="24"/>
          <w:highlight w:val="none"/>
          <w:u w:val="none"/>
        </w:rPr>
        <w:t>（</w:t>
      </w:r>
      <w:r>
        <w:rPr>
          <w:rFonts w:hint="eastAsia" w:ascii="仿宋_GB2312" w:hAnsi="宋体" w:cs="宋体"/>
          <w:bCs/>
          <w:color w:val="auto"/>
          <w:kern w:val="0"/>
          <w:szCs w:val="24"/>
          <w:highlight w:val="none"/>
          <w:u w:val="none"/>
        </w:rPr>
        <w:t>如有</w:t>
      </w:r>
      <w:r>
        <w:rPr>
          <w:rFonts w:ascii="仿宋_GB2312" w:hAnsi="宋体" w:cs="宋体"/>
          <w:bCs/>
          <w:color w:val="auto"/>
          <w:kern w:val="0"/>
          <w:szCs w:val="24"/>
          <w:highlight w:val="none"/>
          <w:u w:val="none"/>
        </w:rPr>
        <w:t>）</w:t>
      </w:r>
      <w:r>
        <w:rPr>
          <w:rFonts w:hint="eastAsia" w:ascii="仿宋_GB2312" w:hAnsi="宋体" w:cs="宋体"/>
          <w:bCs/>
          <w:color w:val="auto"/>
          <w:kern w:val="0"/>
          <w:szCs w:val="24"/>
          <w:highlight w:val="none"/>
          <w:u w:val="none"/>
        </w:rPr>
        <w:t>。</w:t>
      </w:r>
    </w:p>
    <w:p w14:paraId="2A75CACE">
      <w:pPr>
        <w:autoSpaceDE w:val="0"/>
        <w:autoSpaceDN w:val="0"/>
        <w:adjustRightInd w:val="0"/>
        <w:snapToGrid w:val="0"/>
        <w:spacing w:line="360" w:lineRule="auto"/>
        <w:ind w:firstLine="480" w:firstLineChars="200"/>
        <w:jc w:val="left"/>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（2</w:t>
      </w:r>
      <w:r>
        <w:rPr>
          <w:rFonts w:ascii="仿宋_GB2312" w:hAnsi="宋体" w:cs="宋体"/>
          <w:bCs/>
          <w:color w:val="auto"/>
          <w:kern w:val="0"/>
          <w:szCs w:val="24"/>
          <w:highlight w:val="none"/>
          <w:u w:val="none"/>
        </w:rPr>
        <w:t>）</w:t>
      </w:r>
      <w:r>
        <w:rPr>
          <w:rFonts w:hint="eastAsia" w:ascii="仿宋_GB2312" w:hAnsi="宋体" w:cs="宋体"/>
          <w:bCs/>
          <w:color w:val="auto"/>
          <w:kern w:val="0"/>
          <w:szCs w:val="24"/>
          <w:highlight w:val="none"/>
          <w:u w:val="none"/>
        </w:rPr>
        <w:t>若为</w:t>
      </w:r>
      <w:r>
        <w:rPr>
          <w:rFonts w:ascii="仿宋_GB2312" w:hAnsi="宋体" w:cs="宋体"/>
          <w:bCs/>
          <w:color w:val="auto"/>
          <w:kern w:val="0"/>
          <w:szCs w:val="24"/>
          <w:highlight w:val="none"/>
          <w:u w:val="none"/>
        </w:rPr>
        <w:t>终止分配的，</w:t>
      </w:r>
      <w:r>
        <w:rPr>
          <w:rFonts w:hint="eastAsia" w:ascii="仿宋_GB2312" w:hAnsi="宋体" w:cs="宋体"/>
          <w:bCs/>
          <w:color w:val="auto"/>
          <w:kern w:val="0"/>
          <w:szCs w:val="24"/>
          <w:highlight w:val="none"/>
          <w:u w:val="none"/>
        </w:rPr>
        <w:t>产品</w:t>
      </w:r>
      <w:r>
        <w:rPr>
          <w:rFonts w:ascii="仿宋_GB2312" w:hAnsi="宋体" w:cs="宋体"/>
          <w:bCs/>
          <w:color w:val="auto"/>
          <w:kern w:val="0"/>
          <w:szCs w:val="24"/>
          <w:highlight w:val="none"/>
          <w:u w:val="none"/>
        </w:rPr>
        <w:t>管理人应按“</w:t>
      </w:r>
      <w:r>
        <w:rPr>
          <w:rFonts w:hint="eastAsia" w:ascii="仿宋_GB2312" w:hAnsi="宋体" w:cs="宋体"/>
          <w:bCs/>
          <w:color w:val="auto"/>
          <w:kern w:val="0"/>
          <w:szCs w:val="24"/>
          <w:highlight w:val="none"/>
          <w:u w:val="none"/>
        </w:rPr>
        <w:t>第十</w:t>
      </w:r>
      <w:r>
        <w:rPr>
          <w:rFonts w:hint="eastAsia" w:ascii="仿宋_GB2312" w:hAnsi="宋体" w:cs="宋体"/>
          <w:bCs/>
          <w:color w:val="auto"/>
          <w:kern w:val="0"/>
          <w:szCs w:val="24"/>
          <w:highlight w:val="none"/>
          <w:u w:val="none"/>
          <w:lang w:eastAsia="zh-CN"/>
        </w:rPr>
        <w:t>一</w:t>
      </w:r>
      <w:r>
        <w:rPr>
          <w:rFonts w:hint="eastAsia" w:ascii="仿宋_GB2312" w:hAnsi="宋体" w:cs="宋体"/>
          <w:bCs/>
          <w:color w:val="auto"/>
          <w:kern w:val="0"/>
          <w:szCs w:val="24"/>
          <w:highlight w:val="none"/>
          <w:u w:val="none"/>
        </w:rPr>
        <w:t>节 理财</w:t>
      </w:r>
      <w:r>
        <w:rPr>
          <w:rFonts w:ascii="仿宋_GB2312" w:hAnsi="宋体" w:cs="宋体"/>
          <w:bCs/>
          <w:color w:val="auto"/>
          <w:kern w:val="0"/>
          <w:szCs w:val="24"/>
          <w:highlight w:val="none"/>
          <w:u w:val="none"/>
        </w:rPr>
        <w:t>产品</w:t>
      </w:r>
      <w:r>
        <w:rPr>
          <w:rFonts w:hint="eastAsia" w:ascii="仿宋_GB2312" w:hAnsi="宋体" w:cs="宋体"/>
          <w:bCs/>
          <w:color w:val="auto"/>
          <w:kern w:val="0"/>
          <w:szCs w:val="24"/>
          <w:highlight w:val="none"/>
          <w:u w:val="none"/>
          <w:lang w:eastAsia="zh-CN"/>
        </w:rPr>
        <w:t>的</w:t>
      </w:r>
      <w:r>
        <w:rPr>
          <w:rFonts w:ascii="仿宋_GB2312" w:hAnsi="宋体" w:cs="宋体"/>
          <w:bCs/>
          <w:color w:val="auto"/>
          <w:kern w:val="0"/>
          <w:szCs w:val="24"/>
          <w:highlight w:val="none"/>
          <w:u w:val="none"/>
        </w:rPr>
        <w:t>终止与清算”</w:t>
      </w:r>
      <w:r>
        <w:rPr>
          <w:rFonts w:hint="eastAsia" w:ascii="仿宋_GB2312" w:hAnsi="宋体" w:cs="宋体"/>
          <w:bCs/>
          <w:color w:val="auto"/>
          <w:kern w:val="0"/>
          <w:szCs w:val="24"/>
          <w:highlight w:val="none"/>
          <w:u w:val="none"/>
        </w:rPr>
        <w:t>中</w:t>
      </w:r>
      <w:r>
        <w:rPr>
          <w:rFonts w:ascii="仿宋_GB2312" w:hAnsi="宋体" w:cs="宋体"/>
          <w:bCs/>
          <w:color w:val="auto"/>
          <w:kern w:val="0"/>
          <w:szCs w:val="24"/>
          <w:highlight w:val="none"/>
          <w:u w:val="none"/>
        </w:rPr>
        <w:t>产品清算期的相关约定向投资者分配</w:t>
      </w:r>
      <w:r>
        <w:rPr>
          <w:rFonts w:hint="eastAsia" w:ascii="仿宋_GB2312" w:hAnsi="宋体" w:cs="宋体"/>
          <w:bCs/>
          <w:color w:val="auto"/>
          <w:kern w:val="0"/>
          <w:szCs w:val="24"/>
          <w:highlight w:val="none"/>
          <w:u w:val="none"/>
        </w:rPr>
        <w:t>理财</w:t>
      </w:r>
      <w:r>
        <w:rPr>
          <w:rFonts w:hint="eastAsia" w:ascii="仿宋_GB2312" w:hAnsi="宋体" w:cs="宋体"/>
          <w:bCs/>
          <w:color w:val="auto"/>
          <w:kern w:val="0"/>
          <w:szCs w:val="24"/>
          <w:highlight w:val="none"/>
          <w:u w:val="none"/>
          <w:lang w:eastAsia="zh-CN"/>
        </w:rPr>
        <w:t>收益</w:t>
      </w:r>
      <w:r>
        <w:rPr>
          <w:rFonts w:ascii="仿宋_GB2312" w:hAnsi="宋体" w:cs="宋体"/>
          <w:bCs/>
          <w:color w:val="auto"/>
          <w:kern w:val="0"/>
          <w:szCs w:val="24"/>
          <w:highlight w:val="none"/>
          <w:u w:val="none"/>
        </w:rPr>
        <w:t>（</w:t>
      </w:r>
      <w:r>
        <w:rPr>
          <w:rFonts w:hint="eastAsia" w:ascii="仿宋_GB2312" w:hAnsi="宋体" w:cs="宋体"/>
          <w:bCs/>
          <w:color w:val="auto"/>
          <w:kern w:val="0"/>
          <w:szCs w:val="24"/>
          <w:highlight w:val="none"/>
          <w:u w:val="none"/>
        </w:rPr>
        <w:t>如有</w:t>
      </w:r>
      <w:r>
        <w:rPr>
          <w:rFonts w:ascii="仿宋_GB2312" w:hAnsi="宋体" w:cs="宋体"/>
          <w:bCs/>
          <w:color w:val="auto"/>
          <w:kern w:val="0"/>
          <w:szCs w:val="24"/>
          <w:highlight w:val="none"/>
          <w:u w:val="none"/>
        </w:rPr>
        <w:t>）</w:t>
      </w:r>
      <w:r>
        <w:rPr>
          <w:rFonts w:hint="eastAsia" w:ascii="仿宋_GB2312" w:hAnsi="宋体" w:cs="宋体"/>
          <w:bCs/>
          <w:color w:val="auto"/>
          <w:kern w:val="0"/>
          <w:szCs w:val="24"/>
          <w:highlight w:val="none"/>
          <w:u w:val="none"/>
        </w:rPr>
        <w:t>。</w:t>
      </w:r>
    </w:p>
    <w:p w14:paraId="332FEB98">
      <w:pPr>
        <w:autoSpaceDE w:val="0"/>
        <w:autoSpaceDN w:val="0"/>
        <w:adjustRightInd w:val="0"/>
        <w:snapToGrid w:val="0"/>
        <w:spacing w:line="360" w:lineRule="auto"/>
        <w:ind w:firstLine="480" w:firstLineChars="200"/>
        <w:jc w:val="left"/>
        <w:rPr>
          <w:rFonts w:ascii="仿宋_GB2312" w:hAnsi="宋体" w:cs="宋体"/>
          <w:bCs/>
          <w:color w:val="auto"/>
          <w:kern w:val="0"/>
          <w:szCs w:val="24"/>
          <w:highlight w:val="none"/>
          <w:u w:val="none"/>
        </w:rPr>
      </w:pPr>
      <w:r>
        <w:rPr>
          <w:rFonts w:ascii="仿宋_GB2312" w:hAnsi="宋体" w:cs="宋体"/>
          <w:bCs/>
          <w:color w:val="auto"/>
          <w:kern w:val="0"/>
          <w:szCs w:val="24"/>
          <w:highlight w:val="none"/>
          <w:u w:val="none"/>
        </w:rPr>
        <w:t>2.</w:t>
      </w:r>
      <w:r>
        <w:rPr>
          <w:rFonts w:hint="eastAsia" w:ascii="仿宋_GB2312" w:hAnsi="宋体" w:cs="宋体"/>
          <w:bCs/>
          <w:color w:val="auto"/>
          <w:kern w:val="0"/>
          <w:szCs w:val="24"/>
          <w:highlight w:val="none"/>
          <w:u w:val="none"/>
        </w:rPr>
        <w:t>具体</w:t>
      </w:r>
      <w:r>
        <w:rPr>
          <w:rFonts w:ascii="仿宋_GB2312" w:hAnsi="宋体" w:cs="宋体"/>
          <w:bCs/>
          <w:color w:val="auto"/>
          <w:kern w:val="0"/>
          <w:szCs w:val="24"/>
          <w:highlight w:val="none"/>
          <w:u w:val="none"/>
        </w:rPr>
        <w:t>的理财产品分配</w:t>
      </w:r>
      <w:r>
        <w:rPr>
          <w:rFonts w:hint="eastAsia" w:ascii="仿宋_GB2312" w:hAnsi="宋体" w:cs="宋体"/>
          <w:bCs/>
          <w:color w:val="auto"/>
          <w:kern w:val="0"/>
          <w:szCs w:val="24"/>
          <w:highlight w:val="none"/>
          <w:u w:val="none"/>
        </w:rPr>
        <w:t>以</w:t>
      </w:r>
      <w:r>
        <w:rPr>
          <w:rFonts w:ascii="仿宋_GB2312" w:hAnsi="宋体" w:cs="宋体"/>
          <w:bCs/>
          <w:color w:val="auto"/>
          <w:kern w:val="0"/>
          <w:szCs w:val="24"/>
          <w:highlight w:val="none"/>
          <w:u w:val="none"/>
        </w:rPr>
        <w:t>管理人实际分配的为准。</w:t>
      </w:r>
    </w:p>
    <w:p w14:paraId="659F8F6D">
      <w:pPr>
        <w:widowControl/>
        <w:jc w:val="left"/>
        <w:rPr>
          <w:rFonts w:ascii="仿宋_GB2312" w:hAnsi="宋体" w:eastAsia="宋体" w:cs="宋体"/>
          <w:bCs/>
          <w:color w:val="auto"/>
          <w:kern w:val="0"/>
          <w:szCs w:val="24"/>
          <w:highlight w:val="none"/>
        </w:rPr>
      </w:pPr>
      <w:r>
        <w:rPr>
          <w:rFonts w:ascii="仿宋_GB2312" w:hAnsi="宋体"/>
          <w:bCs/>
          <w:color w:val="auto"/>
          <w:highlight w:val="none"/>
        </w:rPr>
        <w:br w:type="page"/>
      </w:r>
    </w:p>
    <w:p w14:paraId="49857DFE">
      <w:pPr>
        <w:pStyle w:val="2"/>
        <w:rPr>
          <w:color w:val="auto"/>
          <w:highlight w:val="none"/>
        </w:rPr>
      </w:pPr>
      <w:r>
        <w:rPr>
          <w:rFonts w:hint="eastAsia"/>
          <w:color w:val="auto"/>
          <w:highlight w:val="none"/>
        </w:rPr>
        <w:t>理财产品的费用与税收</w:t>
      </w:r>
    </w:p>
    <w:p w14:paraId="52F790C9">
      <w:pPr>
        <w:pStyle w:val="3"/>
        <w:ind w:firstLine="482"/>
        <w:rPr>
          <w:color w:val="auto"/>
          <w:highlight w:val="none"/>
        </w:rPr>
      </w:pPr>
      <w:r>
        <w:rPr>
          <w:rFonts w:hint="eastAsia"/>
          <w:color w:val="auto"/>
          <w:highlight w:val="none"/>
        </w:rPr>
        <w:t>理财费用</w:t>
      </w:r>
    </w:p>
    <w:p w14:paraId="1E1BFFFC">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1.理财产品费用的种类</w:t>
      </w:r>
    </w:p>
    <w:p w14:paraId="644C9E90">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（1）理财产品的认购费、申购费、赎回费；</w:t>
      </w:r>
    </w:p>
    <w:p w14:paraId="4FAF9D9C">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（2）理财产品的销售服务费；</w:t>
      </w:r>
    </w:p>
    <w:p w14:paraId="01D56DF5">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（3）理财产品的</w:t>
      </w:r>
      <w:r>
        <w:rPr>
          <w:rFonts w:hint="eastAsia" w:ascii="仿宋_GB2312" w:hAnsi="宋体" w:cs="宋体"/>
          <w:bCs/>
          <w:color w:val="auto"/>
          <w:kern w:val="0"/>
          <w:szCs w:val="24"/>
          <w:highlight w:val="none"/>
          <w:lang w:eastAsia="zh-CN"/>
        </w:rPr>
        <w:t>固定管理费</w:t>
      </w:r>
      <w:r>
        <w:rPr>
          <w:rFonts w:ascii="仿宋_GB2312" w:hAnsi="宋体" w:cs="宋体"/>
          <w:bCs/>
          <w:color w:val="auto"/>
          <w:kern w:val="0"/>
          <w:szCs w:val="24"/>
          <w:highlight w:val="none"/>
        </w:rPr>
        <w:t>及</w:t>
      </w:r>
      <w:r>
        <w:rPr>
          <w:rFonts w:hint="eastAsia" w:ascii="仿宋_GB2312" w:hAnsi="宋体" w:cs="宋体"/>
          <w:bCs/>
          <w:color w:val="auto"/>
          <w:kern w:val="0"/>
          <w:szCs w:val="24"/>
          <w:highlight w:val="none"/>
          <w:lang w:eastAsia="zh-CN"/>
        </w:rPr>
        <w:t>浮动管理费</w:t>
      </w:r>
      <w:r>
        <w:rPr>
          <w:rFonts w:ascii="仿宋_GB2312" w:hAnsi="宋体" w:cs="宋体"/>
          <w:bCs/>
          <w:color w:val="auto"/>
          <w:kern w:val="0"/>
          <w:szCs w:val="24"/>
          <w:highlight w:val="none"/>
        </w:rPr>
        <w:t>；</w:t>
      </w:r>
    </w:p>
    <w:p w14:paraId="58A8C06C">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（4）理财产品的</w:t>
      </w:r>
      <w:r>
        <w:rPr>
          <w:rFonts w:hint="eastAsia" w:ascii="仿宋_GB2312" w:hAnsi="宋体" w:cs="宋体"/>
          <w:bCs/>
          <w:color w:val="auto"/>
          <w:kern w:val="0"/>
          <w:szCs w:val="24"/>
          <w:highlight w:val="none"/>
          <w:lang w:eastAsia="zh-CN"/>
        </w:rPr>
        <w:t>托管费</w:t>
      </w:r>
      <w:r>
        <w:rPr>
          <w:rFonts w:ascii="仿宋_GB2312" w:hAnsi="宋体" w:cs="宋体"/>
          <w:bCs/>
          <w:color w:val="auto"/>
          <w:kern w:val="0"/>
          <w:szCs w:val="24"/>
          <w:highlight w:val="none"/>
        </w:rPr>
        <w:t>；</w:t>
      </w:r>
    </w:p>
    <w:p w14:paraId="14761C5C">
      <w:pPr>
        <w:widowControl/>
        <w:tabs>
          <w:tab w:val="left" w:pos="709"/>
        </w:tabs>
        <w:snapToGrid w:val="0"/>
        <w:spacing w:line="360" w:lineRule="auto"/>
        <w:ind w:firstLine="480" w:firstLineChars="200"/>
        <w:rPr>
          <w:rFonts w:hint="default" w:ascii="仿宋_GB2312" w:hAnsi="宋体" w:eastAsia="仿宋_GB2312" w:cs="宋体"/>
          <w:bCs/>
          <w:color w:val="auto"/>
          <w:kern w:val="0"/>
          <w:szCs w:val="24"/>
          <w:highlight w:val="none"/>
          <w:lang w:val="en-US" w:eastAsia="zh-CN"/>
        </w:rPr>
      </w:pPr>
      <w:r>
        <w:rPr>
          <w:rFonts w:hint="eastAsia" w:ascii="仿宋_GB2312" w:hAnsi="宋体" w:cs="宋体"/>
          <w:bCs/>
          <w:color w:val="auto"/>
          <w:kern w:val="0"/>
          <w:szCs w:val="24"/>
          <w:highlight w:val="none"/>
          <w:lang w:eastAsia="zh-CN"/>
        </w:rPr>
        <w:t>（</w:t>
      </w:r>
      <w:r>
        <w:rPr>
          <w:rFonts w:hint="eastAsia" w:ascii="仿宋_GB2312" w:hAnsi="宋体" w:cs="宋体"/>
          <w:bCs/>
          <w:color w:val="auto"/>
          <w:kern w:val="0"/>
          <w:szCs w:val="24"/>
          <w:highlight w:val="none"/>
          <w:lang w:val="en-US" w:eastAsia="zh-CN"/>
        </w:rPr>
        <w:t>5</w:t>
      </w:r>
      <w:r>
        <w:rPr>
          <w:rFonts w:hint="eastAsia" w:ascii="仿宋_GB2312" w:hAnsi="宋体" w:cs="宋体"/>
          <w:bCs/>
          <w:color w:val="auto"/>
          <w:kern w:val="0"/>
          <w:szCs w:val="24"/>
          <w:highlight w:val="none"/>
          <w:lang w:eastAsia="zh-CN"/>
        </w:rPr>
        <w:t>）</w:t>
      </w:r>
      <w:r>
        <w:rPr>
          <w:rFonts w:hint="eastAsia" w:ascii="仿宋_GB2312" w:hAnsi="宋体" w:cs="宋体"/>
          <w:bCs/>
          <w:color w:val="auto"/>
          <w:kern w:val="0"/>
          <w:szCs w:val="24"/>
          <w:highlight w:val="none"/>
          <w:lang w:val="en-US" w:eastAsia="zh-CN"/>
        </w:rPr>
        <w:t>理财产品的信息服务费；</w:t>
      </w:r>
    </w:p>
    <w:p w14:paraId="0A66EBDD">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w:t>
      </w:r>
      <w:r>
        <w:rPr>
          <w:rFonts w:hint="eastAsia" w:ascii="仿宋_GB2312" w:hAnsi="宋体" w:cs="宋体"/>
          <w:bCs/>
          <w:color w:val="auto"/>
          <w:kern w:val="0"/>
          <w:szCs w:val="24"/>
          <w:highlight w:val="none"/>
          <w:lang w:val="en-US" w:eastAsia="zh-CN"/>
        </w:rPr>
        <w:t>6</w:t>
      </w:r>
      <w:r>
        <w:rPr>
          <w:rFonts w:ascii="仿宋_GB2312" w:hAnsi="宋体" w:cs="宋体"/>
          <w:bCs/>
          <w:color w:val="auto"/>
          <w:kern w:val="0"/>
          <w:szCs w:val="24"/>
          <w:highlight w:val="none"/>
        </w:rPr>
        <w:t>）</w:t>
      </w:r>
      <w:r>
        <w:rPr>
          <w:rFonts w:hint="eastAsia" w:ascii="仿宋_GB2312" w:hAnsi="宋体" w:cs="宋体"/>
          <w:bCs/>
          <w:color w:val="auto"/>
          <w:kern w:val="0"/>
          <w:szCs w:val="24"/>
          <w:highlight w:val="none"/>
        </w:rPr>
        <w:t>其他费用，包括但不限于：与</w:t>
      </w:r>
      <w:r>
        <w:rPr>
          <w:rFonts w:ascii="仿宋_GB2312" w:hAnsi="宋体" w:cs="宋体"/>
          <w:bCs/>
          <w:color w:val="auto"/>
          <w:kern w:val="0"/>
          <w:szCs w:val="24"/>
          <w:highlight w:val="none"/>
        </w:rPr>
        <w:t>理财产品相关的</w:t>
      </w:r>
      <w:r>
        <w:rPr>
          <w:rFonts w:hint="eastAsia" w:ascii="仿宋_GB2312" w:hAnsi="宋体" w:cs="宋体"/>
          <w:bCs/>
          <w:color w:val="auto"/>
          <w:kern w:val="0"/>
          <w:szCs w:val="24"/>
          <w:highlight w:val="none"/>
        </w:rPr>
        <w:t>账户服务费用、资产服务费用、交易费用（包括但不限于交易佣金、撮合费用等）、注册登记费、验资费、审计费、信息披露费、清算费用、执行费用（包括但不限于律师费、诉讼费、仲裁费、公证费、保全费、执行费等）以及按照法律法规、监管规定和理财产品销售文件约定可以列入的其他费用，具体以实际发生为准。</w:t>
      </w:r>
    </w:p>
    <w:p w14:paraId="1656919E">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宋体" w:hAnsi="宋体" w:cs="宋体"/>
          <w:color w:val="auto"/>
          <w:kern w:val="0"/>
          <w:szCs w:val="24"/>
          <w:highlight w:val="none"/>
        </w:rPr>
        <w:t>本产品可能根据投资者购买理财产品的</w:t>
      </w:r>
      <w:r>
        <w:rPr>
          <w:rFonts w:hint="eastAsia" w:ascii="仿宋_GB2312" w:hAnsi="宋体" w:cs="宋体"/>
          <w:bCs/>
          <w:color w:val="auto"/>
          <w:kern w:val="0"/>
          <w:szCs w:val="24"/>
          <w:highlight w:val="none"/>
        </w:rPr>
        <w:t>金额、销售渠道、客户类型</w:t>
      </w:r>
      <w:r>
        <w:rPr>
          <w:rFonts w:hint="eastAsia" w:ascii="宋体" w:hAnsi="宋体" w:cs="宋体"/>
          <w:color w:val="auto"/>
          <w:kern w:val="0"/>
          <w:szCs w:val="24"/>
          <w:highlight w:val="none"/>
        </w:rPr>
        <w:t>等因素设置不同产品份额</w:t>
      </w:r>
      <w:r>
        <w:rPr>
          <w:rFonts w:hint="eastAsia" w:ascii="仿宋_GB2312" w:hAnsi="宋体" w:cs="宋体"/>
          <w:bCs/>
          <w:color w:val="auto"/>
          <w:kern w:val="0"/>
          <w:szCs w:val="24"/>
          <w:highlight w:val="none"/>
        </w:rPr>
        <w:t>类别</w:t>
      </w:r>
      <w:r>
        <w:rPr>
          <w:rFonts w:hint="eastAsia" w:ascii="宋体" w:hAnsi="宋体" w:cs="宋体"/>
          <w:color w:val="auto"/>
          <w:kern w:val="0"/>
          <w:szCs w:val="24"/>
          <w:highlight w:val="none"/>
        </w:rPr>
        <w:t>，各类产品份额</w:t>
      </w:r>
      <w:r>
        <w:rPr>
          <w:rFonts w:hint="eastAsia" w:ascii="仿宋_GB2312" w:hAnsi="宋体" w:cs="宋体"/>
          <w:bCs/>
          <w:color w:val="auto"/>
          <w:kern w:val="0"/>
          <w:szCs w:val="24"/>
          <w:highlight w:val="none"/>
        </w:rPr>
        <w:t>可能分别设置不同的</w:t>
      </w:r>
      <w:r>
        <w:rPr>
          <w:rFonts w:ascii="仿宋_GB2312" w:hAnsi="宋体" w:cs="宋体"/>
          <w:bCs/>
          <w:color w:val="auto"/>
          <w:kern w:val="0"/>
          <w:szCs w:val="24"/>
          <w:highlight w:val="none"/>
        </w:rPr>
        <w:t>销售服务</w:t>
      </w:r>
      <w:r>
        <w:rPr>
          <w:rFonts w:ascii="宋体" w:hAnsi="宋体" w:cs="宋体"/>
          <w:color w:val="auto"/>
          <w:kern w:val="0"/>
          <w:szCs w:val="24"/>
          <w:highlight w:val="none"/>
        </w:rPr>
        <w:t>费率，</w:t>
      </w:r>
      <w:r>
        <w:rPr>
          <w:rFonts w:ascii="仿宋_GB2312" w:hAnsi="宋体" w:cs="宋体"/>
          <w:bCs/>
          <w:color w:val="auto"/>
          <w:kern w:val="0"/>
          <w:szCs w:val="24"/>
          <w:highlight w:val="none"/>
        </w:rPr>
        <w:t>费率具体数值以《产品说明书》“</w:t>
      </w:r>
      <w:r>
        <w:rPr>
          <w:rFonts w:hint="eastAsia" w:ascii="仿宋_GB2312" w:hAnsi="宋体" w:cs="宋体"/>
          <w:bCs/>
          <w:color w:val="auto"/>
          <w:kern w:val="0"/>
          <w:szCs w:val="24"/>
          <w:highlight w:val="none"/>
          <w:lang w:eastAsia="zh-CN"/>
        </w:rPr>
        <w:t>第一节 理财产品说明书关键要素</w:t>
      </w:r>
      <w:r>
        <w:rPr>
          <w:rFonts w:ascii="仿宋_GB2312" w:hAnsi="宋体" w:cs="宋体"/>
          <w:bCs/>
          <w:color w:val="auto"/>
          <w:kern w:val="0"/>
          <w:szCs w:val="24"/>
          <w:highlight w:val="none"/>
        </w:rPr>
        <w:t>”为准。</w:t>
      </w:r>
    </w:p>
    <w:p w14:paraId="48ACC7A1">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2.理财产品费用计提方法、计提标准和支付方式</w:t>
      </w:r>
    </w:p>
    <w:p w14:paraId="6657C9CE">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（1）理财产品的认购费、申购费、赎回费</w:t>
      </w:r>
    </w:p>
    <w:p w14:paraId="376A0984">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1）认购费：费率具体数值以《产品说明书》“</w:t>
      </w:r>
      <w:r>
        <w:rPr>
          <w:rFonts w:hint="eastAsia" w:ascii="仿宋_GB2312" w:hAnsi="宋体" w:cs="宋体"/>
          <w:bCs/>
          <w:color w:val="auto"/>
          <w:kern w:val="0"/>
          <w:szCs w:val="24"/>
          <w:highlight w:val="none"/>
          <w:lang w:eastAsia="zh-CN"/>
        </w:rPr>
        <w:t>第一节 理财产品说明书关键要素</w:t>
      </w:r>
      <w:r>
        <w:rPr>
          <w:rFonts w:ascii="仿宋_GB2312" w:hAnsi="宋体" w:cs="宋体"/>
          <w:bCs/>
          <w:color w:val="auto"/>
          <w:kern w:val="0"/>
          <w:szCs w:val="24"/>
          <w:highlight w:val="none"/>
        </w:rPr>
        <w:t>”为准。</w:t>
      </w:r>
    </w:p>
    <w:p w14:paraId="52CAC344">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2）申购费：费率具体数值以《产品说明书》“</w:t>
      </w:r>
      <w:r>
        <w:rPr>
          <w:rFonts w:hint="eastAsia" w:ascii="仿宋_GB2312" w:hAnsi="宋体" w:cs="宋体"/>
          <w:bCs/>
          <w:color w:val="auto"/>
          <w:kern w:val="0"/>
          <w:szCs w:val="24"/>
          <w:highlight w:val="none"/>
          <w:lang w:eastAsia="zh-CN"/>
        </w:rPr>
        <w:t>第一节 理财产品说明书关键要素</w:t>
      </w:r>
      <w:r>
        <w:rPr>
          <w:rFonts w:ascii="仿宋_GB2312" w:hAnsi="宋体" w:cs="宋体"/>
          <w:bCs/>
          <w:color w:val="auto"/>
          <w:kern w:val="0"/>
          <w:szCs w:val="24"/>
          <w:highlight w:val="none"/>
        </w:rPr>
        <w:t>”为准。</w:t>
      </w:r>
    </w:p>
    <w:p w14:paraId="4C2A5503">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3）赎回费：费率具体数值以《产品说明书》“</w:t>
      </w:r>
      <w:r>
        <w:rPr>
          <w:rFonts w:hint="eastAsia" w:ascii="仿宋_GB2312" w:hAnsi="宋体" w:cs="宋体"/>
          <w:bCs/>
          <w:color w:val="auto"/>
          <w:kern w:val="0"/>
          <w:szCs w:val="24"/>
          <w:highlight w:val="none"/>
          <w:lang w:eastAsia="zh-CN"/>
        </w:rPr>
        <w:t>第一节 理财产品说明书关键要素</w:t>
      </w:r>
      <w:r>
        <w:rPr>
          <w:rFonts w:hint="eastAsia" w:ascii="仿宋_GB2312" w:hAnsi="宋体" w:cs="宋体"/>
          <w:bCs/>
          <w:color w:val="auto"/>
          <w:kern w:val="0"/>
          <w:szCs w:val="24"/>
          <w:highlight w:val="none"/>
        </w:rPr>
        <w:t>”为准。</w:t>
      </w:r>
    </w:p>
    <w:p w14:paraId="676E403A">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（2）理财产品的销售服务费</w:t>
      </w:r>
    </w:p>
    <w:p w14:paraId="71C7877C">
      <w:pPr>
        <w:tabs>
          <w:tab w:val="left" w:pos="3119"/>
        </w:tabs>
        <w:autoSpaceDE w:val="0"/>
        <w:autoSpaceDN w:val="0"/>
        <w:snapToGrid w:val="0"/>
        <w:spacing w:line="360" w:lineRule="auto"/>
        <w:ind w:firstLine="480" w:firstLineChars="200"/>
        <w:rPr>
          <w:rFonts w:ascii="仿宋_GB2312" w:hAnsi="宋体" w:cs="宋体"/>
          <w:bCs/>
          <w:color w:val="auto"/>
          <w:spacing w:val="-4"/>
          <w:kern w:val="0"/>
          <w:szCs w:val="24"/>
          <w:highlight w:val="none"/>
        </w:rPr>
      </w:pPr>
      <w:r>
        <w:rPr>
          <w:rFonts w:hint="eastAsia" w:ascii="仿宋_GB2312" w:hAnsi="宋体" w:cs="宋体"/>
          <w:bCs/>
          <w:color w:val="auto"/>
          <w:kern w:val="0"/>
          <w:szCs w:val="24"/>
          <w:highlight w:val="none"/>
        </w:rPr>
        <w:t>本产品的销售服务费按前一日理财资产净值与销售服务费费率每日计提。</w:t>
      </w:r>
      <w:r>
        <w:rPr>
          <w:rFonts w:hint="eastAsia" w:ascii="仿宋_GB2312" w:hAnsi="宋体" w:cs="宋体"/>
          <w:bCs/>
          <w:color w:val="auto"/>
          <w:spacing w:val="-4"/>
          <w:kern w:val="0"/>
          <w:szCs w:val="24"/>
          <w:highlight w:val="none"/>
        </w:rPr>
        <w:t>管理人可按季或产品开放周期（如有）收取，或与后续季度、开放周期（如有）合并收取</w:t>
      </w:r>
      <w:r>
        <w:rPr>
          <w:rFonts w:hint="eastAsia" w:ascii="仿宋_GB2312" w:hAnsi="宋体" w:cs="宋体"/>
          <w:bCs/>
          <w:color w:val="auto"/>
          <w:kern w:val="0"/>
          <w:szCs w:val="24"/>
          <w:highlight w:val="none"/>
        </w:rPr>
        <w:t>。销售服务费</w:t>
      </w:r>
      <w:r>
        <w:rPr>
          <w:rFonts w:hint="eastAsia" w:ascii="仿宋_GB2312" w:hAnsi="宋体" w:cs="宋体"/>
          <w:bCs/>
          <w:color w:val="auto"/>
          <w:spacing w:val="-4"/>
          <w:kern w:val="0"/>
          <w:szCs w:val="24"/>
          <w:highlight w:val="none"/>
        </w:rPr>
        <w:t>精确到小数点后2位，小数点2位以后四舍五入。</w:t>
      </w:r>
    </w:p>
    <w:p w14:paraId="74EE622E">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销售服务费的计算方法如下：</w:t>
      </w:r>
    </w:p>
    <w:p w14:paraId="36682B32">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H＝E×销售服务费年费率÷365</w:t>
      </w:r>
    </w:p>
    <w:p w14:paraId="3010AA63">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H为每日应计提的销售服务费</w:t>
      </w:r>
    </w:p>
    <w:p w14:paraId="5D073F1E">
      <w:pPr>
        <w:widowControl/>
        <w:tabs>
          <w:tab w:val="left" w:pos="709"/>
        </w:tabs>
        <w:snapToGrid w:val="0"/>
        <w:spacing w:line="360" w:lineRule="auto"/>
        <w:ind w:firstLine="480" w:firstLineChars="200"/>
        <w:rPr>
          <w:rFonts w:hint="eastAsia" w:ascii="仿宋_GB2312" w:hAnsi="宋体" w:eastAsia="仿宋_GB2312" w:cs="宋体"/>
          <w:bCs/>
          <w:color w:val="auto"/>
          <w:kern w:val="0"/>
          <w:szCs w:val="24"/>
          <w:highlight w:val="none"/>
          <w:lang w:eastAsia="zh-CN"/>
        </w:rPr>
      </w:pPr>
      <w:r>
        <w:rPr>
          <w:rFonts w:hint="eastAsia" w:ascii="仿宋_GB2312" w:hAnsi="宋体" w:cs="宋体"/>
          <w:bCs/>
          <w:color w:val="auto"/>
          <w:kern w:val="0"/>
          <w:szCs w:val="24"/>
          <w:highlight w:val="none"/>
        </w:rPr>
        <w:t>E为前一日的理财资产净值</w:t>
      </w:r>
    </w:p>
    <w:p w14:paraId="428AD3E3">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销售服务费依照上述约定，从理财财产中支付。费率具体数值以《产品说明书》“</w:t>
      </w:r>
      <w:r>
        <w:rPr>
          <w:rFonts w:hint="eastAsia" w:ascii="仿宋_GB2312" w:hAnsi="宋体" w:cs="宋体"/>
          <w:bCs/>
          <w:color w:val="auto"/>
          <w:kern w:val="0"/>
          <w:szCs w:val="24"/>
          <w:highlight w:val="none"/>
          <w:lang w:eastAsia="zh-CN"/>
        </w:rPr>
        <w:t>第一节 理财产品说明书关键要素</w:t>
      </w:r>
      <w:r>
        <w:rPr>
          <w:rFonts w:hint="eastAsia" w:ascii="仿宋_GB2312" w:hAnsi="宋体" w:cs="宋体"/>
          <w:bCs/>
          <w:color w:val="auto"/>
          <w:kern w:val="0"/>
          <w:szCs w:val="24"/>
          <w:highlight w:val="none"/>
        </w:rPr>
        <w:t>”为准。</w:t>
      </w:r>
    </w:p>
    <w:p w14:paraId="469286C3">
      <w:pPr>
        <w:widowControl/>
        <w:tabs>
          <w:tab w:val="left" w:pos="709"/>
        </w:tabs>
        <w:snapToGrid w:val="0"/>
        <w:spacing w:line="360" w:lineRule="auto"/>
        <w:ind w:firstLine="480" w:firstLineChars="200"/>
        <w:rPr>
          <w:rFonts w:hint="eastAsia" w:ascii="仿宋_GB2312" w:hAnsi="宋体" w:eastAsia="仿宋_GB2312" w:cs="宋体"/>
          <w:bCs/>
          <w:color w:val="auto"/>
          <w:kern w:val="0"/>
          <w:szCs w:val="24"/>
          <w:highlight w:val="none"/>
          <w:lang w:eastAsia="zh-CN"/>
        </w:rPr>
      </w:pPr>
      <w:r>
        <w:rPr>
          <w:rFonts w:hint="eastAsia" w:ascii="仿宋_GB2312" w:hAnsi="宋体" w:cs="宋体"/>
          <w:bCs/>
          <w:color w:val="auto"/>
          <w:kern w:val="0"/>
          <w:szCs w:val="24"/>
          <w:highlight w:val="none"/>
        </w:rPr>
        <w:t>（3）理财产品的</w:t>
      </w:r>
      <w:r>
        <w:rPr>
          <w:rFonts w:hint="eastAsia" w:ascii="仿宋_GB2312" w:hAnsi="宋体" w:cs="宋体"/>
          <w:bCs/>
          <w:color w:val="auto"/>
          <w:kern w:val="0"/>
          <w:szCs w:val="24"/>
          <w:highlight w:val="none"/>
          <w:lang w:eastAsia="zh-CN"/>
        </w:rPr>
        <w:t>固定管理费</w:t>
      </w:r>
    </w:p>
    <w:p w14:paraId="53F628F3">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本产品的</w:t>
      </w:r>
      <w:r>
        <w:rPr>
          <w:rFonts w:hint="eastAsia" w:ascii="仿宋_GB2312" w:hAnsi="宋体" w:cs="宋体"/>
          <w:bCs/>
          <w:color w:val="auto"/>
          <w:kern w:val="0"/>
          <w:szCs w:val="24"/>
          <w:highlight w:val="none"/>
          <w:lang w:eastAsia="zh-CN"/>
        </w:rPr>
        <w:t>固定管理费</w:t>
      </w:r>
      <w:r>
        <w:rPr>
          <w:rFonts w:hint="eastAsia" w:ascii="仿宋_GB2312" w:hAnsi="宋体" w:cs="宋体"/>
          <w:bCs/>
          <w:color w:val="auto"/>
          <w:kern w:val="0"/>
          <w:szCs w:val="24"/>
          <w:highlight w:val="none"/>
        </w:rPr>
        <w:t>按前一日理财资产净值与</w:t>
      </w:r>
      <w:r>
        <w:rPr>
          <w:rFonts w:hint="eastAsia" w:ascii="仿宋_GB2312" w:hAnsi="宋体" w:cs="宋体"/>
          <w:bCs/>
          <w:color w:val="auto"/>
          <w:kern w:val="0"/>
          <w:szCs w:val="24"/>
          <w:highlight w:val="none"/>
          <w:lang w:eastAsia="zh-CN"/>
        </w:rPr>
        <w:t>固定管理费</w:t>
      </w:r>
      <w:r>
        <w:rPr>
          <w:rFonts w:hint="eastAsia" w:ascii="仿宋_GB2312" w:hAnsi="宋体" w:cs="宋体"/>
          <w:bCs/>
          <w:color w:val="auto"/>
          <w:kern w:val="0"/>
          <w:szCs w:val="24"/>
          <w:highlight w:val="none"/>
        </w:rPr>
        <w:t>费率每日计提，</w:t>
      </w:r>
      <w:r>
        <w:rPr>
          <w:rFonts w:hint="eastAsia" w:ascii="仿宋_GB2312" w:hAnsi="宋体" w:cs="宋体"/>
          <w:bCs/>
          <w:color w:val="auto"/>
          <w:spacing w:val="-4"/>
          <w:kern w:val="0"/>
          <w:szCs w:val="24"/>
          <w:highlight w:val="none"/>
        </w:rPr>
        <w:t>管理人可按季或产品开放周期（如有）收取，或与后续季度、开放周期（如有）合并收取。</w:t>
      </w:r>
      <w:r>
        <w:rPr>
          <w:rFonts w:hint="eastAsia" w:ascii="仿宋_GB2312" w:hAnsi="宋体" w:cs="宋体"/>
          <w:bCs/>
          <w:color w:val="auto"/>
          <w:kern w:val="0"/>
          <w:szCs w:val="24"/>
          <w:highlight w:val="none"/>
          <w:lang w:eastAsia="zh-CN"/>
        </w:rPr>
        <w:t>固定管理费</w:t>
      </w:r>
      <w:r>
        <w:rPr>
          <w:rFonts w:hint="eastAsia" w:ascii="仿宋_GB2312" w:hAnsi="宋体" w:cs="宋体"/>
          <w:bCs/>
          <w:color w:val="auto"/>
          <w:spacing w:val="-4"/>
          <w:kern w:val="0"/>
          <w:szCs w:val="24"/>
          <w:highlight w:val="none"/>
        </w:rPr>
        <w:t>精确到小数点后2位，小数点2位以后四舍五入</w:t>
      </w:r>
      <w:r>
        <w:rPr>
          <w:rFonts w:hint="eastAsia" w:ascii="仿宋_GB2312" w:hAnsi="宋体" w:cs="宋体"/>
          <w:bCs/>
          <w:color w:val="auto"/>
          <w:kern w:val="0"/>
          <w:szCs w:val="24"/>
          <w:highlight w:val="none"/>
        </w:rPr>
        <w:t>。</w:t>
      </w:r>
    </w:p>
    <w:p w14:paraId="17C44AB3">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lang w:eastAsia="zh-CN"/>
        </w:rPr>
        <w:t>固定管理费</w:t>
      </w:r>
      <w:r>
        <w:rPr>
          <w:rFonts w:hint="eastAsia" w:ascii="仿宋_GB2312" w:hAnsi="宋体" w:cs="宋体"/>
          <w:bCs/>
          <w:color w:val="auto"/>
          <w:kern w:val="0"/>
          <w:szCs w:val="24"/>
          <w:highlight w:val="none"/>
        </w:rPr>
        <w:t>的计算方法如下：</w:t>
      </w:r>
    </w:p>
    <w:p w14:paraId="4788B764">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H＝E×</w:t>
      </w:r>
      <w:r>
        <w:rPr>
          <w:rFonts w:hint="eastAsia" w:ascii="仿宋_GB2312" w:hAnsi="宋体" w:cs="宋体"/>
          <w:bCs/>
          <w:color w:val="auto"/>
          <w:kern w:val="0"/>
          <w:szCs w:val="24"/>
          <w:highlight w:val="none"/>
          <w:lang w:eastAsia="zh-CN"/>
        </w:rPr>
        <w:t>固定管理费</w:t>
      </w:r>
      <w:r>
        <w:rPr>
          <w:rFonts w:hint="eastAsia" w:ascii="仿宋_GB2312" w:hAnsi="宋体" w:cs="宋体"/>
          <w:bCs/>
          <w:color w:val="auto"/>
          <w:kern w:val="0"/>
          <w:szCs w:val="24"/>
          <w:highlight w:val="none"/>
        </w:rPr>
        <w:t>年费率÷365</w:t>
      </w:r>
    </w:p>
    <w:p w14:paraId="380AE5AA">
      <w:pPr>
        <w:widowControl/>
        <w:tabs>
          <w:tab w:val="left" w:pos="709"/>
        </w:tabs>
        <w:snapToGrid w:val="0"/>
        <w:spacing w:line="360" w:lineRule="auto"/>
        <w:ind w:firstLine="480" w:firstLineChars="200"/>
        <w:rPr>
          <w:rFonts w:hint="eastAsia" w:ascii="仿宋_GB2312" w:hAnsi="宋体" w:eastAsia="仿宋_GB2312" w:cs="宋体"/>
          <w:bCs/>
          <w:color w:val="auto"/>
          <w:kern w:val="0"/>
          <w:szCs w:val="24"/>
          <w:highlight w:val="none"/>
          <w:lang w:eastAsia="zh-CN"/>
        </w:rPr>
      </w:pPr>
      <w:r>
        <w:rPr>
          <w:rFonts w:hint="eastAsia" w:ascii="仿宋_GB2312" w:hAnsi="宋体" w:cs="宋体"/>
          <w:bCs/>
          <w:color w:val="auto"/>
          <w:kern w:val="0"/>
          <w:szCs w:val="24"/>
          <w:highlight w:val="none"/>
        </w:rPr>
        <w:t>H为每日应计提的产品</w:t>
      </w:r>
      <w:r>
        <w:rPr>
          <w:rFonts w:hint="eastAsia" w:ascii="仿宋_GB2312" w:hAnsi="宋体" w:cs="宋体"/>
          <w:bCs/>
          <w:color w:val="auto"/>
          <w:kern w:val="0"/>
          <w:szCs w:val="24"/>
          <w:highlight w:val="none"/>
          <w:lang w:eastAsia="zh-CN"/>
        </w:rPr>
        <w:t>固定管理费</w:t>
      </w:r>
    </w:p>
    <w:p w14:paraId="0D6A05E9">
      <w:pPr>
        <w:widowControl/>
        <w:tabs>
          <w:tab w:val="left" w:pos="709"/>
        </w:tabs>
        <w:snapToGrid w:val="0"/>
        <w:spacing w:line="360" w:lineRule="auto"/>
        <w:ind w:firstLine="480" w:firstLineChars="200"/>
        <w:rPr>
          <w:rFonts w:hint="eastAsia" w:ascii="仿宋_GB2312" w:hAnsi="宋体" w:eastAsia="仿宋_GB2312" w:cs="宋体"/>
          <w:bCs/>
          <w:color w:val="auto"/>
          <w:kern w:val="0"/>
          <w:szCs w:val="24"/>
          <w:highlight w:val="none"/>
          <w:lang w:eastAsia="zh-CN"/>
        </w:rPr>
      </w:pPr>
      <w:r>
        <w:rPr>
          <w:rFonts w:hint="eastAsia" w:ascii="仿宋_GB2312" w:hAnsi="宋体" w:cs="宋体"/>
          <w:bCs/>
          <w:color w:val="auto"/>
          <w:kern w:val="0"/>
          <w:szCs w:val="24"/>
          <w:highlight w:val="none"/>
        </w:rPr>
        <w:t>E为前一日的理财资产净值</w:t>
      </w:r>
    </w:p>
    <w:p w14:paraId="67164320">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lang w:eastAsia="zh-CN"/>
        </w:rPr>
        <w:t>固定管理费</w:t>
      </w:r>
      <w:r>
        <w:rPr>
          <w:rFonts w:hint="eastAsia" w:ascii="仿宋_GB2312" w:hAnsi="宋体" w:cs="宋体"/>
          <w:bCs/>
          <w:color w:val="auto"/>
          <w:kern w:val="0"/>
          <w:szCs w:val="24"/>
          <w:highlight w:val="none"/>
        </w:rPr>
        <w:t>依照上述约定，从理财财产中支付。费率具体数值以《产品说明书》“</w:t>
      </w:r>
      <w:r>
        <w:rPr>
          <w:rFonts w:hint="eastAsia" w:ascii="仿宋_GB2312" w:hAnsi="宋体" w:cs="宋体"/>
          <w:bCs/>
          <w:color w:val="auto"/>
          <w:kern w:val="0"/>
          <w:szCs w:val="24"/>
          <w:highlight w:val="none"/>
          <w:lang w:eastAsia="zh-CN"/>
        </w:rPr>
        <w:t>第一节 理财产品说明书关键要素</w:t>
      </w:r>
      <w:r>
        <w:rPr>
          <w:rFonts w:hint="eastAsia" w:ascii="仿宋_GB2312" w:hAnsi="宋体" w:cs="宋体"/>
          <w:bCs/>
          <w:color w:val="auto"/>
          <w:kern w:val="0"/>
          <w:szCs w:val="24"/>
          <w:highlight w:val="none"/>
        </w:rPr>
        <w:t>”为准。</w:t>
      </w:r>
    </w:p>
    <w:p w14:paraId="4229EDDE">
      <w:pPr>
        <w:widowControl/>
        <w:tabs>
          <w:tab w:val="left" w:pos="709"/>
        </w:tabs>
        <w:snapToGrid w:val="0"/>
        <w:spacing w:line="360" w:lineRule="auto"/>
        <w:ind w:firstLine="480" w:firstLineChars="200"/>
        <w:rPr>
          <w:rFonts w:hint="eastAsia" w:ascii="仿宋_GB2312" w:hAnsi="宋体" w:eastAsia="仿宋_GB2312" w:cs="宋体"/>
          <w:bCs/>
          <w:color w:val="auto"/>
          <w:kern w:val="0"/>
          <w:szCs w:val="24"/>
          <w:highlight w:val="none"/>
          <w:lang w:eastAsia="zh-CN"/>
        </w:rPr>
      </w:pPr>
      <w:r>
        <w:rPr>
          <w:rFonts w:hint="eastAsia" w:ascii="仿宋_GB2312" w:hAnsi="宋体" w:cs="宋体"/>
          <w:bCs/>
          <w:color w:val="auto"/>
          <w:kern w:val="0"/>
          <w:szCs w:val="24"/>
          <w:highlight w:val="none"/>
        </w:rPr>
        <w:t>（</w:t>
      </w:r>
      <w:r>
        <w:rPr>
          <w:rFonts w:ascii="仿宋_GB2312" w:hAnsi="宋体" w:cs="宋体"/>
          <w:bCs/>
          <w:color w:val="auto"/>
          <w:kern w:val="0"/>
          <w:szCs w:val="24"/>
          <w:highlight w:val="none"/>
        </w:rPr>
        <w:t>4）</w:t>
      </w:r>
      <w:r>
        <w:rPr>
          <w:rFonts w:hint="eastAsia" w:ascii="仿宋_GB2312" w:hAnsi="宋体" w:cs="宋体"/>
          <w:bCs/>
          <w:color w:val="auto"/>
          <w:kern w:val="0"/>
          <w:szCs w:val="24"/>
          <w:highlight w:val="none"/>
          <w:lang w:eastAsia="zh-CN"/>
        </w:rPr>
        <w:t>浮动管理费</w:t>
      </w:r>
    </w:p>
    <w:p w14:paraId="020701BD">
      <w:pPr>
        <w:pStyle w:val="28"/>
        <w:widowControl/>
        <w:snapToGrid w:val="0"/>
        <w:spacing w:line="360" w:lineRule="auto"/>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rPr>
        <w:t>【□本产品</w:t>
      </w:r>
      <w:r>
        <w:rPr>
          <w:rFonts w:ascii="仿宋_GB2312" w:hAnsi="宋体" w:cs="宋体"/>
          <w:bCs/>
          <w:color w:val="auto"/>
          <w:kern w:val="0"/>
          <w:szCs w:val="24"/>
          <w:highlight w:val="none"/>
        </w:rPr>
        <w:t>无</w:t>
      </w:r>
      <w:r>
        <w:rPr>
          <w:rFonts w:hint="eastAsia" w:ascii="仿宋_GB2312" w:hAnsi="宋体" w:cs="宋体"/>
          <w:bCs/>
          <w:color w:val="auto"/>
          <w:kern w:val="0"/>
          <w:szCs w:val="24"/>
          <w:highlight w:val="none"/>
          <w:lang w:eastAsia="zh-CN"/>
        </w:rPr>
        <w:t>浮动管理费</w:t>
      </w:r>
      <w:r>
        <w:rPr>
          <w:rFonts w:ascii="仿宋_GB2312" w:hAnsi="宋体" w:cs="宋体"/>
          <w:bCs/>
          <w:color w:val="auto"/>
          <w:kern w:val="0"/>
          <w:szCs w:val="24"/>
          <w:highlight w:val="none"/>
        </w:rPr>
        <w:t>。</w:t>
      </w:r>
      <w:r>
        <w:rPr>
          <w:rFonts w:hint="eastAsia" w:ascii="仿宋_GB2312" w:hAnsi="宋体" w:cs="宋体"/>
          <w:bCs/>
          <w:color w:val="auto"/>
          <w:kern w:val="0"/>
          <w:szCs w:val="24"/>
          <w:highlight w:val="none"/>
          <w:lang w:eastAsia="zh-CN"/>
        </w:rPr>
        <w:t>】</w:t>
      </w:r>
    </w:p>
    <w:p w14:paraId="514F1B14">
      <w:pPr>
        <w:widowControl/>
        <w:tabs>
          <w:tab w:val="left" w:pos="709"/>
        </w:tabs>
        <w:snapToGrid w:val="0"/>
        <w:spacing w:line="360" w:lineRule="auto"/>
        <w:ind w:firstLine="480" w:firstLineChars="200"/>
        <w:rPr>
          <w:color w:val="auto"/>
          <w:highlight w:val="none"/>
        </w:rPr>
      </w:pPr>
      <w:r>
        <w:rPr>
          <w:rFonts w:hint="eastAsia" w:ascii="仿宋_GB2312" w:hAnsi="宋体" w:cs="宋体"/>
          <w:bCs/>
          <w:color w:val="auto"/>
          <w:kern w:val="0"/>
          <w:szCs w:val="24"/>
          <w:highlight w:val="none"/>
          <w:lang w:eastAsia="zh-CN"/>
        </w:rPr>
        <w:t>【</w:t>
      </w:r>
      <w:r>
        <w:rPr>
          <w:rFonts w:ascii="Wingdings 2" w:hAnsi="Wingdings 2" w:cs="宋体"/>
          <w:bCs/>
          <w:color w:val="auto"/>
          <w:kern w:val="0"/>
          <w:szCs w:val="24"/>
          <w:highlight w:val="none"/>
        </w:rPr>
        <w:t>R</w:t>
      </w:r>
      <w:r>
        <w:rPr>
          <w:rFonts w:hint="eastAsia" w:ascii="仿宋_GB2312" w:hAnsi="宋体" w:cs="宋体"/>
          <w:bCs/>
          <w:color w:val="auto"/>
          <w:kern w:val="0"/>
          <w:szCs w:val="24"/>
          <w:highlight w:val="none"/>
        </w:rPr>
        <w:t>理财产品管理人收取理财产品</w:t>
      </w:r>
      <w:r>
        <w:rPr>
          <w:rFonts w:hint="eastAsia" w:ascii="仿宋_GB2312" w:hAnsi="宋体" w:cs="宋体"/>
          <w:bCs/>
          <w:color w:val="auto"/>
          <w:kern w:val="0"/>
          <w:szCs w:val="24"/>
          <w:highlight w:val="none"/>
          <w:lang w:eastAsia="zh-CN"/>
        </w:rPr>
        <w:t>浮动管理费</w:t>
      </w:r>
      <w:r>
        <w:rPr>
          <w:rFonts w:hint="eastAsia" w:ascii="仿宋_GB2312" w:hAnsi="宋体" w:cs="宋体"/>
          <w:bCs/>
          <w:color w:val="auto"/>
          <w:kern w:val="0"/>
          <w:szCs w:val="24"/>
          <w:highlight w:val="none"/>
        </w:rPr>
        <w:t>。</w:t>
      </w:r>
      <w:r>
        <w:rPr>
          <w:rFonts w:hint="eastAsia" w:ascii="仿宋_GB2312" w:hAnsi="宋体" w:cs="宋体"/>
          <w:bCs/>
          <w:color w:val="auto"/>
          <w:kern w:val="0"/>
          <w:szCs w:val="24"/>
          <w:highlight w:val="none"/>
          <w:lang w:eastAsia="zh-CN"/>
        </w:rPr>
        <w:t>浮动管理费</w:t>
      </w:r>
      <w:r>
        <w:rPr>
          <w:rFonts w:hint="eastAsia" w:ascii="仿宋_GB2312" w:hAnsi="宋体" w:cs="宋体"/>
          <w:bCs/>
          <w:color w:val="auto"/>
          <w:kern w:val="0"/>
          <w:szCs w:val="24"/>
          <w:highlight w:val="none"/>
        </w:rPr>
        <w:t>每日计提，在产品到期日收取（如有）。在理财产品到期日时</w:t>
      </w:r>
      <w:r>
        <w:rPr>
          <w:rFonts w:hint="eastAsia"/>
          <w:color w:val="auto"/>
          <w:highlight w:val="none"/>
        </w:rPr>
        <w:t>，若理财资产扣除销售服务费、</w:t>
      </w:r>
      <w:r>
        <w:rPr>
          <w:rFonts w:hint="eastAsia"/>
          <w:color w:val="auto"/>
          <w:highlight w:val="none"/>
          <w:lang w:eastAsia="zh-CN"/>
        </w:rPr>
        <w:t>托管费</w:t>
      </w:r>
      <w:r>
        <w:rPr>
          <w:rFonts w:hint="eastAsia"/>
          <w:color w:val="auto"/>
          <w:highlight w:val="none"/>
        </w:rPr>
        <w:t>和</w:t>
      </w:r>
      <w:r>
        <w:rPr>
          <w:rFonts w:hint="eastAsia"/>
          <w:color w:val="auto"/>
          <w:highlight w:val="none"/>
          <w:lang w:eastAsia="zh-CN"/>
        </w:rPr>
        <w:t>固定管理费</w:t>
      </w:r>
      <w:r>
        <w:rPr>
          <w:rFonts w:hint="eastAsia"/>
          <w:color w:val="auto"/>
          <w:highlight w:val="none"/>
        </w:rPr>
        <w:t>等相关费用和税收后，产品年化收益率超过</w:t>
      </w:r>
      <w:r>
        <w:rPr>
          <w:rFonts w:hint="eastAsia"/>
          <w:color w:val="auto"/>
          <w:highlight w:val="none"/>
          <w:lang w:eastAsia="zh-CN"/>
        </w:rPr>
        <w:t>浮动管理费</w:t>
      </w:r>
      <w:r>
        <w:rPr>
          <w:rFonts w:hint="eastAsia"/>
          <w:color w:val="auto"/>
          <w:highlight w:val="none"/>
        </w:rPr>
        <w:t>计提基准，则产品管理人收取超出部分的一定比例作为</w:t>
      </w:r>
      <w:r>
        <w:rPr>
          <w:rFonts w:hint="eastAsia"/>
          <w:color w:val="auto"/>
          <w:highlight w:val="none"/>
          <w:lang w:eastAsia="zh-CN"/>
        </w:rPr>
        <w:t>浮动管理费</w:t>
      </w:r>
      <w:r>
        <w:rPr>
          <w:rFonts w:hint="eastAsia"/>
          <w:color w:val="auto"/>
          <w:highlight w:val="none"/>
        </w:rPr>
        <w:t>。</w:t>
      </w:r>
    </w:p>
    <w:p w14:paraId="24CD945C">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lang w:eastAsia="zh-CN"/>
        </w:rPr>
        <w:t>浮动管理费</w:t>
      </w:r>
      <w:r>
        <w:rPr>
          <w:rFonts w:hint="eastAsia" w:ascii="仿宋_GB2312" w:hAnsi="宋体" w:cs="宋体"/>
          <w:bCs/>
          <w:color w:val="auto"/>
          <w:kern w:val="0"/>
          <w:szCs w:val="24"/>
          <w:highlight w:val="none"/>
        </w:rPr>
        <w:t>计提基准的设置、</w:t>
      </w:r>
      <w:r>
        <w:rPr>
          <w:rFonts w:hint="eastAsia"/>
          <w:color w:val="auto"/>
          <w:highlight w:val="none"/>
          <w:lang w:eastAsia="zh-CN"/>
        </w:rPr>
        <w:t>浮动管理费</w:t>
      </w:r>
      <w:r>
        <w:rPr>
          <w:rFonts w:hint="eastAsia" w:ascii="仿宋_GB2312" w:hAnsi="宋体" w:cs="宋体"/>
          <w:bCs/>
          <w:color w:val="auto"/>
          <w:kern w:val="0"/>
          <w:szCs w:val="24"/>
          <w:highlight w:val="none"/>
        </w:rPr>
        <w:t>的具体比例数值以《产品说明书》“</w:t>
      </w:r>
      <w:r>
        <w:rPr>
          <w:rFonts w:hint="eastAsia" w:ascii="仿宋_GB2312" w:hAnsi="宋体" w:cs="宋体"/>
          <w:bCs/>
          <w:color w:val="auto"/>
          <w:kern w:val="0"/>
          <w:szCs w:val="24"/>
          <w:highlight w:val="none"/>
          <w:lang w:eastAsia="zh-CN"/>
        </w:rPr>
        <w:t>第一节 理财产品说明书关键要素</w:t>
      </w:r>
      <w:r>
        <w:rPr>
          <w:rFonts w:hint="eastAsia" w:ascii="仿宋_GB2312" w:hAnsi="宋体" w:cs="宋体"/>
          <w:bCs/>
          <w:color w:val="auto"/>
          <w:kern w:val="0"/>
          <w:szCs w:val="24"/>
          <w:highlight w:val="none"/>
        </w:rPr>
        <w:t>”为准。</w:t>
      </w:r>
    </w:p>
    <w:p w14:paraId="44DEC1C3">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color w:val="auto"/>
          <w:highlight w:val="none"/>
          <w:lang w:eastAsia="zh-CN"/>
        </w:rPr>
        <w:t>浮动管理费</w:t>
      </w:r>
      <w:r>
        <w:rPr>
          <w:rFonts w:hint="eastAsia" w:ascii="仿宋_GB2312" w:hAnsi="宋体" w:cs="宋体"/>
          <w:bCs/>
          <w:color w:val="auto"/>
          <w:kern w:val="0"/>
          <w:szCs w:val="24"/>
          <w:highlight w:val="none"/>
        </w:rPr>
        <w:t xml:space="preserve">的计提/收取如下： </w:t>
      </w:r>
    </w:p>
    <w:p w14:paraId="45030969">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产品年化收益率</w:t>
      </w:r>
      <w:r>
        <w:rPr>
          <w:rFonts w:ascii="仿宋_GB2312" w:hAnsi="宋体" w:cs="宋体"/>
          <w:bCs/>
          <w:color w:val="auto"/>
          <w:kern w:val="0"/>
          <w:szCs w:val="24"/>
          <w:highlight w:val="none"/>
        </w:rPr>
        <w:t>R</w:t>
      </w:r>
      <w:r>
        <w:rPr>
          <w:rFonts w:hint="eastAsia" w:ascii="仿宋_GB2312" w:hAnsi="宋体" w:cs="宋体"/>
          <w:bCs/>
          <w:color w:val="auto"/>
          <w:kern w:val="0"/>
          <w:szCs w:val="24"/>
          <w:highlight w:val="none"/>
        </w:rPr>
        <w:t>的计算公式，R=（</w:t>
      </w:r>
      <w:r>
        <w:rPr>
          <w:rFonts w:ascii="仿宋_GB2312" w:hAnsi="宋体" w:cs="宋体"/>
          <w:bCs/>
          <w:color w:val="auto"/>
          <w:kern w:val="0"/>
          <w:szCs w:val="24"/>
          <w:highlight w:val="none"/>
        </w:rPr>
        <w:t>V</w:t>
      </w:r>
      <w:r>
        <w:rPr>
          <w:rFonts w:hint="eastAsia" w:ascii="仿宋_GB2312" w:hAnsi="宋体" w:cs="宋体"/>
          <w:bCs/>
          <w:color w:val="auto"/>
          <w:kern w:val="0"/>
          <w:sz w:val="13"/>
          <w:szCs w:val="24"/>
          <w:highlight w:val="none"/>
        </w:rPr>
        <w:t>计提/到期日产品份额累计净值</w:t>
      </w:r>
      <w:r>
        <w:rPr>
          <w:rFonts w:hint="eastAsia" w:ascii="仿宋_GB2312" w:hAnsi="宋体" w:cs="宋体"/>
          <w:bCs/>
          <w:color w:val="auto"/>
          <w:kern w:val="0"/>
          <w:szCs w:val="24"/>
          <w:highlight w:val="none"/>
        </w:rPr>
        <w:t>-V</w:t>
      </w:r>
      <w:r>
        <w:rPr>
          <w:rFonts w:hint="eastAsia" w:ascii="仿宋_GB2312" w:hAnsi="宋体" w:cs="宋体"/>
          <w:bCs/>
          <w:color w:val="auto"/>
          <w:kern w:val="0"/>
          <w:sz w:val="13"/>
          <w:szCs w:val="24"/>
          <w:highlight w:val="none"/>
        </w:rPr>
        <w:t>期初份额净值</w:t>
      </w:r>
      <w:r>
        <w:rPr>
          <w:rFonts w:hint="eastAsia" w:ascii="仿宋_GB2312" w:hAnsi="宋体" w:cs="宋体"/>
          <w:bCs/>
          <w:color w:val="auto"/>
          <w:kern w:val="0"/>
          <w:szCs w:val="24"/>
          <w:highlight w:val="none"/>
        </w:rPr>
        <w:t>）/V</w:t>
      </w:r>
      <w:r>
        <w:rPr>
          <w:rFonts w:hint="eastAsia" w:ascii="仿宋_GB2312" w:hAnsi="宋体" w:cs="宋体"/>
          <w:bCs/>
          <w:color w:val="auto"/>
          <w:kern w:val="0"/>
          <w:sz w:val="13"/>
          <w:szCs w:val="24"/>
          <w:highlight w:val="none"/>
        </w:rPr>
        <w:t>期初份额净值</w:t>
      </w:r>
      <w:r>
        <w:rPr>
          <w:rFonts w:hint="eastAsia" w:ascii="仿宋_GB2312" w:hAnsi="宋体" w:cs="宋体"/>
          <w:bCs/>
          <w:color w:val="auto"/>
          <w:kern w:val="0"/>
          <w:szCs w:val="24"/>
          <w:highlight w:val="none"/>
        </w:rPr>
        <w:t>/（</w:t>
      </w:r>
      <w:r>
        <w:rPr>
          <w:rFonts w:ascii="仿宋_GB2312" w:hAnsi="宋体" w:cs="宋体"/>
          <w:bCs/>
          <w:color w:val="auto"/>
          <w:kern w:val="0"/>
          <w:szCs w:val="24"/>
          <w:highlight w:val="none"/>
        </w:rPr>
        <w:t>D+1</w:t>
      </w:r>
      <w:r>
        <w:rPr>
          <w:rFonts w:hint="eastAsia" w:ascii="仿宋_GB2312" w:hAnsi="宋体" w:cs="宋体"/>
          <w:bCs/>
          <w:color w:val="auto"/>
          <w:kern w:val="0"/>
          <w:szCs w:val="24"/>
          <w:highlight w:val="none"/>
        </w:rPr>
        <w:t>）</w:t>
      </w:r>
      <w:r>
        <w:rPr>
          <w:rFonts w:ascii="仿宋_GB2312" w:hAnsi="宋体" w:cs="宋体"/>
          <w:bCs/>
          <w:color w:val="auto"/>
          <w:kern w:val="0"/>
          <w:szCs w:val="24"/>
          <w:highlight w:val="none"/>
        </w:rPr>
        <w:t>*365*100</w:t>
      </w:r>
      <w:r>
        <w:rPr>
          <w:rFonts w:hint="eastAsia" w:ascii="仿宋_GB2312" w:hAnsi="宋体" w:cs="宋体"/>
          <w:bCs/>
          <w:color w:val="auto"/>
          <w:kern w:val="0"/>
          <w:szCs w:val="24"/>
          <w:highlight w:val="none"/>
        </w:rPr>
        <w:t>%</w:t>
      </w:r>
    </w:p>
    <w:p w14:paraId="505AFFD9">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产品管理人对产品年化收益率</w:t>
      </w:r>
      <w:r>
        <w:rPr>
          <w:rFonts w:ascii="仿宋_GB2312" w:hAnsi="宋体" w:cs="宋体"/>
          <w:bCs/>
          <w:color w:val="auto"/>
          <w:kern w:val="0"/>
          <w:szCs w:val="24"/>
          <w:highlight w:val="none"/>
        </w:rPr>
        <w:t>超过</w:t>
      </w:r>
      <w:r>
        <w:rPr>
          <w:rFonts w:hint="eastAsia" w:ascii="仿宋_GB2312" w:hAnsi="宋体" w:cs="宋体"/>
          <w:bCs/>
          <w:color w:val="auto"/>
          <w:kern w:val="0"/>
          <w:szCs w:val="24"/>
          <w:highlight w:val="none"/>
          <w:lang w:eastAsia="zh-CN"/>
        </w:rPr>
        <w:t>浮动管理费</w:t>
      </w:r>
      <w:r>
        <w:rPr>
          <w:rFonts w:hint="eastAsia" w:ascii="仿宋_GB2312" w:hAnsi="宋体" w:cs="宋体"/>
          <w:bCs/>
          <w:color w:val="auto"/>
          <w:kern w:val="0"/>
          <w:szCs w:val="24"/>
          <w:highlight w:val="none"/>
        </w:rPr>
        <w:t>计提基准的部分，按</w:t>
      </w:r>
      <w:r>
        <w:rPr>
          <w:rFonts w:hint="eastAsia" w:ascii="仿宋_GB2312" w:hAnsi="宋体" w:cs="宋体"/>
          <w:bCs/>
          <w:color w:val="auto"/>
          <w:kern w:val="0"/>
          <w:szCs w:val="24"/>
          <w:highlight w:val="none"/>
          <w:lang w:eastAsia="zh-CN"/>
        </w:rPr>
        <w:t>浮动管理费</w:t>
      </w:r>
      <w:r>
        <w:rPr>
          <w:rFonts w:hint="eastAsia" w:ascii="仿宋_GB2312" w:hAnsi="宋体" w:cs="宋体"/>
          <w:bCs/>
          <w:color w:val="auto"/>
          <w:kern w:val="0"/>
          <w:szCs w:val="24"/>
          <w:highlight w:val="none"/>
        </w:rPr>
        <w:t>分成比例</w:t>
      </w:r>
      <w:r>
        <w:rPr>
          <w:rFonts w:ascii="仿宋_GB2312" w:hAnsi="宋体" w:cs="宋体"/>
          <w:bCs/>
          <w:color w:val="auto"/>
          <w:kern w:val="0"/>
          <w:szCs w:val="24"/>
          <w:highlight w:val="none"/>
        </w:rPr>
        <w:t>以及产品份额持有天数</w:t>
      </w:r>
      <w:r>
        <w:rPr>
          <w:rFonts w:hint="eastAsia" w:ascii="仿宋_GB2312" w:hAnsi="宋体" w:cs="宋体"/>
          <w:bCs/>
          <w:color w:val="auto"/>
          <w:kern w:val="0"/>
          <w:szCs w:val="24"/>
          <w:highlight w:val="none"/>
        </w:rPr>
        <w:t>计提/收取</w:t>
      </w:r>
      <w:r>
        <w:rPr>
          <w:rFonts w:hint="eastAsia"/>
          <w:color w:val="auto"/>
          <w:highlight w:val="none"/>
          <w:lang w:eastAsia="zh-CN"/>
        </w:rPr>
        <w:t>浮动管理费</w:t>
      </w:r>
      <w:r>
        <w:rPr>
          <w:rFonts w:hint="eastAsia" w:ascii="仿宋_GB2312" w:hAnsi="宋体" w:cs="宋体"/>
          <w:bCs/>
          <w:color w:val="auto"/>
          <w:kern w:val="0"/>
          <w:szCs w:val="24"/>
          <w:highlight w:val="none"/>
        </w:rPr>
        <w:t>，计算方法如下：</w:t>
      </w:r>
    </w:p>
    <w:p w14:paraId="0C27EC48">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当</w:t>
      </w:r>
      <w:r>
        <w:rPr>
          <w:rFonts w:ascii="仿宋_GB2312" w:hAnsi="宋体" w:cs="宋体"/>
          <w:bCs/>
          <w:color w:val="auto"/>
          <w:kern w:val="0"/>
          <w:szCs w:val="24"/>
          <w:highlight w:val="none"/>
        </w:rPr>
        <w:t>R≤</w:t>
      </w:r>
      <w:r>
        <w:rPr>
          <w:rFonts w:hint="eastAsia" w:ascii="仿宋_GB2312" w:hAnsi="宋体" w:cs="宋体"/>
          <w:bCs/>
          <w:color w:val="auto"/>
          <w:kern w:val="0"/>
          <w:szCs w:val="24"/>
          <w:highlight w:val="none"/>
          <w:lang w:eastAsia="zh-CN"/>
        </w:rPr>
        <w:t>浮动管理费</w:t>
      </w:r>
      <w:r>
        <w:rPr>
          <w:rFonts w:hint="eastAsia" w:ascii="仿宋_GB2312" w:hAnsi="宋体" w:cs="宋体"/>
          <w:bCs/>
          <w:color w:val="auto"/>
          <w:kern w:val="0"/>
          <w:szCs w:val="24"/>
          <w:highlight w:val="none"/>
        </w:rPr>
        <w:t>计提基准，可计提/收取</w:t>
      </w:r>
      <w:r>
        <w:rPr>
          <w:rFonts w:hint="eastAsia"/>
          <w:color w:val="auto"/>
          <w:highlight w:val="none"/>
          <w:lang w:eastAsia="zh-CN"/>
        </w:rPr>
        <w:t>浮动管理费</w:t>
      </w:r>
      <w:r>
        <w:rPr>
          <w:rFonts w:ascii="仿宋_GB2312" w:hAnsi="宋体" w:cs="宋体"/>
          <w:bCs/>
          <w:color w:val="auto"/>
          <w:kern w:val="0"/>
          <w:szCs w:val="24"/>
          <w:highlight w:val="none"/>
        </w:rPr>
        <w:t>=0；</w:t>
      </w:r>
    </w:p>
    <w:p w14:paraId="62C16AF4">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当</w:t>
      </w:r>
      <w:r>
        <w:rPr>
          <w:rFonts w:ascii="仿宋_GB2312" w:hAnsi="宋体" w:cs="宋体"/>
          <w:bCs/>
          <w:color w:val="auto"/>
          <w:kern w:val="0"/>
          <w:szCs w:val="24"/>
          <w:highlight w:val="none"/>
        </w:rPr>
        <w:t>R＞</w:t>
      </w:r>
      <w:r>
        <w:rPr>
          <w:rFonts w:hint="eastAsia" w:ascii="仿宋_GB2312" w:hAnsi="宋体" w:cs="宋体"/>
          <w:bCs/>
          <w:color w:val="auto"/>
          <w:kern w:val="0"/>
          <w:szCs w:val="24"/>
          <w:highlight w:val="none"/>
          <w:lang w:eastAsia="zh-CN"/>
        </w:rPr>
        <w:t>浮动管理费</w:t>
      </w:r>
      <w:r>
        <w:rPr>
          <w:rFonts w:hint="eastAsia" w:ascii="仿宋_GB2312" w:hAnsi="宋体" w:cs="宋体"/>
          <w:bCs/>
          <w:color w:val="auto"/>
          <w:kern w:val="0"/>
          <w:szCs w:val="24"/>
          <w:highlight w:val="none"/>
        </w:rPr>
        <w:t>计提基准，可计提/收取</w:t>
      </w:r>
      <w:r>
        <w:rPr>
          <w:rFonts w:hint="eastAsia"/>
          <w:color w:val="auto"/>
          <w:highlight w:val="none"/>
          <w:lang w:eastAsia="zh-CN"/>
        </w:rPr>
        <w:t>浮动管理费</w:t>
      </w:r>
      <w:r>
        <w:rPr>
          <w:rFonts w:ascii="仿宋_GB2312" w:hAnsi="宋体" w:cs="宋体"/>
          <w:bCs/>
          <w:color w:val="auto"/>
          <w:kern w:val="0"/>
          <w:szCs w:val="24"/>
          <w:highlight w:val="none"/>
        </w:rPr>
        <w:t>=</w:t>
      </w:r>
      <w:r>
        <w:rPr>
          <w:rFonts w:hint="eastAsia" w:ascii="仿宋_GB2312" w:hAnsi="宋体" w:cs="宋体"/>
          <w:bCs/>
          <w:color w:val="auto"/>
          <w:kern w:val="0"/>
          <w:szCs w:val="24"/>
          <w:highlight w:val="none"/>
        </w:rPr>
        <w:t>产品计提/到期日投资者持有的产品份额×V</w:t>
      </w:r>
      <w:r>
        <w:rPr>
          <w:rFonts w:hint="eastAsia" w:ascii="仿宋_GB2312" w:hAnsi="宋体" w:cs="宋体"/>
          <w:bCs/>
          <w:color w:val="auto"/>
          <w:kern w:val="0"/>
          <w:sz w:val="13"/>
          <w:szCs w:val="24"/>
          <w:highlight w:val="none"/>
        </w:rPr>
        <w:t>期初份额净值</w:t>
      </w:r>
      <w:r>
        <w:rPr>
          <w:rFonts w:hint="eastAsia" w:ascii="仿宋_GB2312" w:hAnsi="宋体" w:cs="宋体"/>
          <w:bCs/>
          <w:color w:val="auto"/>
          <w:kern w:val="0"/>
          <w:szCs w:val="24"/>
          <w:highlight w:val="none"/>
        </w:rPr>
        <w:t>×（</w:t>
      </w:r>
      <w:r>
        <w:rPr>
          <w:rFonts w:ascii="仿宋_GB2312" w:hAnsi="宋体" w:cs="宋体"/>
          <w:bCs/>
          <w:color w:val="auto"/>
          <w:kern w:val="0"/>
          <w:szCs w:val="24"/>
          <w:highlight w:val="none"/>
        </w:rPr>
        <w:t>R-</w:t>
      </w:r>
      <w:r>
        <w:rPr>
          <w:rFonts w:hint="eastAsia" w:ascii="仿宋_GB2312" w:hAnsi="宋体" w:cs="宋体"/>
          <w:bCs/>
          <w:color w:val="auto"/>
          <w:kern w:val="0"/>
          <w:szCs w:val="24"/>
          <w:highlight w:val="none"/>
          <w:lang w:eastAsia="zh-CN"/>
        </w:rPr>
        <w:t>浮动管理费</w:t>
      </w:r>
      <w:r>
        <w:rPr>
          <w:rFonts w:hint="eastAsia" w:ascii="仿宋_GB2312" w:hAnsi="宋体" w:cs="宋体"/>
          <w:bCs/>
          <w:color w:val="auto"/>
          <w:kern w:val="0"/>
          <w:szCs w:val="24"/>
          <w:highlight w:val="none"/>
        </w:rPr>
        <w:t>计提基准）×</w:t>
      </w:r>
      <w:r>
        <w:rPr>
          <w:rFonts w:ascii="仿宋_GB2312" w:hAnsi="宋体" w:cs="宋体"/>
          <w:bCs/>
          <w:color w:val="auto"/>
          <w:kern w:val="0"/>
          <w:szCs w:val="24"/>
          <w:highlight w:val="none"/>
        </w:rPr>
        <w:t>N×</w:t>
      </w:r>
      <w:r>
        <w:rPr>
          <w:rFonts w:hint="eastAsia" w:ascii="仿宋_GB2312" w:hAnsi="宋体" w:cs="宋体"/>
          <w:bCs/>
          <w:color w:val="auto"/>
          <w:kern w:val="0"/>
          <w:szCs w:val="24"/>
          <w:highlight w:val="none"/>
        </w:rPr>
        <w:t>（D</w:t>
      </w:r>
      <w:r>
        <w:rPr>
          <w:rFonts w:ascii="仿宋_GB2312" w:hAnsi="宋体" w:cs="宋体"/>
          <w:bCs/>
          <w:color w:val="auto"/>
          <w:kern w:val="0"/>
          <w:szCs w:val="24"/>
          <w:highlight w:val="none"/>
        </w:rPr>
        <w:t>+1</w:t>
      </w:r>
      <w:r>
        <w:rPr>
          <w:rFonts w:hint="eastAsia" w:ascii="仿宋_GB2312" w:hAnsi="宋体" w:cs="宋体"/>
          <w:bCs/>
          <w:color w:val="auto"/>
          <w:kern w:val="0"/>
          <w:szCs w:val="24"/>
          <w:highlight w:val="none"/>
        </w:rPr>
        <w:t>）</w:t>
      </w:r>
      <w:r>
        <w:rPr>
          <w:rFonts w:ascii="仿宋_GB2312" w:hAnsi="宋体" w:cs="宋体"/>
          <w:bCs/>
          <w:color w:val="auto"/>
          <w:kern w:val="0"/>
          <w:szCs w:val="24"/>
          <w:highlight w:val="none"/>
        </w:rPr>
        <w:t>/365。</w:t>
      </w:r>
    </w:p>
    <w:p w14:paraId="3931C1CD">
      <w:pPr>
        <w:widowControl/>
        <w:tabs>
          <w:tab w:val="left" w:pos="709"/>
        </w:tabs>
        <w:snapToGrid w:val="0"/>
        <w:spacing w:line="360" w:lineRule="auto"/>
        <w:ind w:firstLine="480" w:firstLineChars="200"/>
        <w:rPr>
          <w:rFonts w:hint="eastAsia" w:ascii="仿宋_GB2312" w:hAnsi="宋体" w:eastAsia="仿宋_GB2312" w:cs="宋体"/>
          <w:bCs/>
          <w:color w:val="auto"/>
          <w:kern w:val="0"/>
          <w:szCs w:val="24"/>
          <w:highlight w:val="none"/>
          <w:lang w:eastAsia="zh-CN"/>
        </w:rPr>
      </w:pPr>
      <w:r>
        <w:rPr>
          <w:rFonts w:hint="eastAsia" w:ascii="仿宋_GB2312" w:hAnsi="宋体" w:cs="宋体"/>
          <w:bCs/>
          <w:color w:val="auto"/>
          <w:kern w:val="0"/>
          <w:szCs w:val="24"/>
          <w:highlight w:val="none"/>
        </w:rPr>
        <w:t>其中，</w:t>
      </w:r>
      <w:r>
        <w:rPr>
          <w:rFonts w:ascii="仿宋_GB2312" w:hAnsi="宋体" w:cs="宋体"/>
          <w:bCs/>
          <w:color w:val="auto"/>
          <w:kern w:val="0"/>
          <w:szCs w:val="24"/>
          <w:highlight w:val="none"/>
        </w:rPr>
        <w:t>V</w:t>
      </w:r>
      <w:r>
        <w:rPr>
          <w:rFonts w:hint="eastAsia" w:ascii="仿宋_GB2312" w:hAnsi="宋体" w:cs="宋体"/>
          <w:bCs/>
          <w:color w:val="auto"/>
          <w:kern w:val="0"/>
          <w:sz w:val="13"/>
          <w:szCs w:val="24"/>
          <w:highlight w:val="none"/>
        </w:rPr>
        <w:t>计提/到期日产品份额累计净值</w:t>
      </w:r>
      <w:r>
        <w:rPr>
          <w:rFonts w:hint="eastAsia" w:ascii="仿宋_GB2312" w:hAnsi="宋体" w:cs="宋体"/>
          <w:bCs/>
          <w:color w:val="auto"/>
          <w:kern w:val="0"/>
          <w:szCs w:val="24"/>
          <w:highlight w:val="none"/>
        </w:rPr>
        <w:t>表示产品计提/到期日的产品份额累计净值（未扣除</w:t>
      </w:r>
      <w:r>
        <w:rPr>
          <w:rFonts w:hint="eastAsia" w:ascii="仿宋_GB2312" w:hAnsi="宋体" w:cs="宋体"/>
          <w:bCs/>
          <w:color w:val="auto"/>
          <w:kern w:val="0"/>
          <w:szCs w:val="24"/>
          <w:highlight w:val="none"/>
          <w:lang w:eastAsia="zh-CN"/>
        </w:rPr>
        <w:t>浮动管理费</w:t>
      </w:r>
      <w:r>
        <w:rPr>
          <w:rFonts w:hint="eastAsia" w:ascii="仿宋_GB2312" w:hAnsi="宋体" w:cs="宋体"/>
          <w:bCs/>
          <w:color w:val="auto"/>
          <w:kern w:val="0"/>
          <w:szCs w:val="24"/>
          <w:highlight w:val="none"/>
        </w:rPr>
        <w:t>），V</w:t>
      </w:r>
      <w:r>
        <w:rPr>
          <w:rFonts w:hint="eastAsia" w:ascii="仿宋_GB2312" w:hAnsi="宋体" w:cs="宋体"/>
          <w:bCs/>
          <w:color w:val="auto"/>
          <w:kern w:val="0"/>
          <w:sz w:val="13"/>
          <w:szCs w:val="24"/>
          <w:highlight w:val="none"/>
        </w:rPr>
        <w:t>期初份额净值</w:t>
      </w:r>
      <w:r>
        <w:rPr>
          <w:rFonts w:hint="eastAsia" w:ascii="仿宋_GB2312" w:hAnsi="宋体" w:cs="宋体"/>
          <w:bCs/>
          <w:color w:val="auto"/>
          <w:kern w:val="0"/>
          <w:szCs w:val="24"/>
          <w:highlight w:val="none"/>
        </w:rPr>
        <w:t>表示产品成立日的产品份额净值，D表示产品到期日-产品成立日，N表示</w:t>
      </w:r>
      <w:r>
        <w:rPr>
          <w:rFonts w:hint="eastAsia" w:ascii="仿宋_GB2312" w:hAnsi="宋体" w:cs="宋体"/>
          <w:bCs/>
          <w:color w:val="auto"/>
          <w:kern w:val="0"/>
          <w:szCs w:val="24"/>
          <w:highlight w:val="none"/>
          <w:lang w:eastAsia="zh-CN"/>
        </w:rPr>
        <w:t>浮动管理费</w:t>
      </w:r>
      <w:r>
        <w:rPr>
          <w:rFonts w:hint="eastAsia" w:ascii="仿宋_GB2312" w:hAnsi="宋体" w:cs="宋体"/>
          <w:bCs/>
          <w:color w:val="auto"/>
          <w:kern w:val="0"/>
          <w:szCs w:val="24"/>
          <w:highlight w:val="none"/>
        </w:rPr>
        <w:t>分成比例。</w:t>
      </w:r>
      <w:r>
        <w:rPr>
          <w:rFonts w:hint="eastAsia" w:ascii="仿宋_GB2312" w:hAnsi="宋体" w:cs="宋体"/>
          <w:bCs/>
          <w:color w:val="auto"/>
          <w:kern w:val="0"/>
          <w:szCs w:val="24"/>
          <w:highlight w:val="none"/>
          <w:lang w:eastAsia="zh-CN"/>
        </w:rPr>
        <w:t>】</w:t>
      </w:r>
    </w:p>
    <w:p w14:paraId="0F636A7E">
      <w:pPr>
        <w:widowControl/>
        <w:tabs>
          <w:tab w:val="left" w:pos="709"/>
        </w:tabs>
        <w:snapToGrid w:val="0"/>
        <w:spacing w:line="360" w:lineRule="auto"/>
        <w:ind w:firstLine="480" w:firstLineChars="200"/>
        <w:rPr>
          <w:rFonts w:hint="eastAsia" w:ascii="仿宋_GB2312" w:hAnsi="宋体" w:eastAsia="仿宋_GB2312" w:cs="宋体"/>
          <w:bCs/>
          <w:color w:val="auto"/>
          <w:kern w:val="0"/>
          <w:szCs w:val="24"/>
          <w:highlight w:val="none"/>
          <w:lang w:eastAsia="zh-CN"/>
        </w:rPr>
      </w:pPr>
      <w:r>
        <w:rPr>
          <w:rFonts w:hint="eastAsia" w:ascii="仿宋_GB2312" w:hAnsi="宋体" w:cs="宋体"/>
          <w:bCs/>
          <w:color w:val="auto"/>
          <w:kern w:val="0"/>
          <w:szCs w:val="24"/>
          <w:highlight w:val="none"/>
        </w:rPr>
        <w:t>（5）理财产品的</w:t>
      </w:r>
      <w:r>
        <w:rPr>
          <w:rFonts w:hint="eastAsia" w:ascii="仿宋_GB2312" w:hAnsi="宋体" w:cs="宋体"/>
          <w:bCs/>
          <w:color w:val="auto"/>
          <w:kern w:val="0"/>
          <w:szCs w:val="24"/>
          <w:highlight w:val="none"/>
          <w:lang w:eastAsia="zh-CN"/>
        </w:rPr>
        <w:t>托管费</w:t>
      </w:r>
    </w:p>
    <w:p w14:paraId="4314394E">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本产品的</w:t>
      </w:r>
      <w:r>
        <w:rPr>
          <w:rFonts w:hint="eastAsia" w:ascii="仿宋_GB2312" w:hAnsi="宋体" w:cs="宋体"/>
          <w:bCs/>
          <w:color w:val="auto"/>
          <w:kern w:val="0"/>
          <w:szCs w:val="24"/>
          <w:highlight w:val="none"/>
          <w:lang w:eastAsia="zh-CN"/>
        </w:rPr>
        <w:t>托管费</w:t>
      </w:r>
      <w:r>
        <w:rPr>
          <w:rFonts w:hint="eastAsia" w:ascii="仿宋_GB2312" w:hAnsi="宋体" w:cs="宋体"/>
          <w:bCs/>
          <w:color w:val="auto"/>
          <w:kern w:val="0"/>
          <w:szCs w:val="24"/>
          <w:highlight w:val="none"/>
        </w:rPr>
        <w:t>按前一日理财资产净值与</w:t>
      </w:r>
      <w:r>
        <w:rPr>
          <w:rFonts w:hint="eastAsia" w:ascii="仿宋_GB2312" w:hAnsi="宋体" w:cs="宋体"/>
          <w:bCs/>
          <w:color w:val="auto"/>
          <w:kern w:val="0"/>
          <w:szCs w:val="24"/>
          <w:highlight w:val="none"/>
          <w:lang w:eastAsia="zh-CN"/>
        </w:rPr>
        <w:t>托管费</w:t>
      </w:r>
      <w:r>
        <w:rPr>
          <w:rFonts w:hint="eastAsia" w:ascii="仿宋_GB2312" w:hAnsi="宋体" w:cs="宋体"/>
          <w:bCs/>
          <w:color w:val="auto"/>
          <w:kern w:val="0"/>
          <w:szCs w:val="24"/>
          <w:highlight w:val="none"/>
        </w:rPr>
        <w:t>费率每日计提，</w:t>
      </w:r>
      <w:r>
        <w:rPr>
          <w:rFonts w:hint="eastAsia" w:ascii="仿宋_GB2312" w:hAnsi="宋体" w:cs="宋体"/>
          <w:bCs/>
          <w:color w:val="auto"/>
          <w:spacing w:val="-4"/>
          <w:kern w:val="0"/>
          <w:szCs w:val="24"/>
          <w:highlight w:val="none"/>
        </w:rPr>
        <w:t>管理人可按季或产品开放周期（如有）收取，或与后续季度、开放周期（如有）合并收取。</w:t>
      </w:r>
      <w:r>
        <w:rPr>
          <w:rFonts w:hint="eastAsia" w:ascii="仿宋_GB2312" w:hAnsi="宋体" w:cs="宋体"/>
          <w:bCs/>
          <w:color w:val="auto"/>
          <w:kern w:val="0"/>
          <w:szCs w:val="24"/>
          <w:highlight w:val="none"/>
          <w:lang w:eastAsia="zh-CN"/>
        </w:rPr>
        <w:t>托管费</w:t>
      </w:r>
      <w:r>
        <w:rPr>
          <w:rFonts w:hint="eastAsia" w:ascii="仿宋_GB2312" w:hAnsi="宋体" w:cs="宋体"/>
          <w:bCs/>
          <w:color w:val="auto"/>
          <w:spacing w:val="-4"/>
          <w:kern w:val="0"/>
          <w:szCs w:val="24"/>
          <w:highlight w:val="none"/>
        </w:rPr>
        <w:t>精确到小数点后2位，小数点2位以后四舍五入</w:t>
      </w:r>
      <w:r>
        <w:rPr>
          <w:rFonts w:hint="eastAsia" w:ascii="仿宋_GB2312" w:hAnsi="宋体" w:cs="宋体"/>
          <w:bCs/>
          <w:color w:val="auto"/>
          <w:kern w:val="0"/>
          <w:szCs w:val="24"/>
          <w:highlight w:val="none"/>
        </w:rPr>
        <w:t>。</w:t>
      </w:r>
    </w:p>
    <w:p w14:paraId="4476D403">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lang w:eastAsia="zh-CN"/>
        </w:rPr>
        <w:t>托管费</w:t>
      </w:r>
      <w:r>
        <w:rPr>
          <w:rFonts w:hint="eastAsia" w:ascii="仿宋_GB2312" w:hAnsi="宋体" w:cs="宋体"/>
          <w:bCs/>
          <w:color w:val="auto"/>
          <w:kern w:val="0"/>
          <w:szCs w:val="24"/>
          <w:highlight w:val="none"/>
        </w:rPr>
        <w:t>的计算方法如下：</w:t>
      </w:r>
    </w:p>
    <w:p w14:paraId="62AC5FF9">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H＝E×</w:t>
      </w:r>
      <w:r>
        <w:rPr>
          <w:rFonts w:hint="eastAsia" w:ascii="仿宋_GB2312" w:hAnsi="宋体" w:cs="宋体"/>
          <w:bCs/>
          <w:color w:val="auto"/>
          <w:kern w:val="0"/>
          <w:szCs w:val="24"/>
          <w:highlight w:val="none"/>
          <w:lang w:eastAsia="zh-CN"/>
        </w:rPr>
        <w:t>托管费</w:t>
      </w:r>
      <w:r>
        <w:rPr>
          <w:rFonts w:hint="eastAsia" w:ascii="仿宋_GB2312" w:hAnsi="宋体" w:cs="宋体"/>
          <w:bCs/>
          <w:color w:val="auto"/>
          <w:kern w:val="0"/>
          <w:szCs w:val="24"/>
          <w:highlight w:val="none"/>
        </w:rPr>
        <w:t>年费率÷365</w:t>
      </w:r>
    </w:p>
    <w:p w14:paraId="2E8E99F8">
      <w:pPr>
        <w:widowControl/>
        <w:tabs>
          <w:tab w:val="left" w:pos="709"/>
        </w:tabs>
        <w:snapToGrid w:val="0"/>
        <w:spacing w:line="360" w:lineRule="auto"/>
        <w:ind w:firstLine="480" w:firstLineChars="200"/>
        <w:rPr>
          <w:rFonts w:hint="eastAsia" w:ascii="仿宋_GB2312" w:hAnsi="宋体" w:eastAsia="仿宋_GB2312" w:cs="宋体"/>
          <w:bCs/>
          <w:color w:val="auto"/>
          <w:kern w:val="0"/>
          <w:szCs w:val="24"/>
          <w:highlight w:val="none"/>
          <w:lang w:eastAsia="zh-CN"/>
        </w:rPr>
      </w:pPr>
      <w:r>
        <w:rPr>
          <w:rFonts w:hint="eastAsia" w:ascii="仿宋_GB2312" w:hAnsi="宋体" w:cs="宋体"/>
          <w:bCs/>
          <w:color w:val="auto"/>
          <w:kern w:val="0"/>
          <w:szCs w:val="24"/>
          <w:highlight w:val="none"/>
        </w:rPr>
        <w:t>H为每日应计提的</w:t>
      </w:r>
      <w:r>
        <w:rPr>
          <w:rFonts w:hint="eastAsia" w:ascii="仿宋_GB2312" w:hAnsi="宋体" w:cs="宋体"/>
          <w:bCs/>
          <w:color w:val="auto"/>
          <w:kern w:val="0"/>
          <w:szCs w:val="24"/>
          <w:highlight w:val="none"/>
          <w:lang w:eastAsia="zh-CN"/>
        </w:rPr>
        <w:t>托管费</w:t>
      </w:r>
    </w:p>
    <w:p w14:paraId="094FE019">
      <w:pPr>
        <w:widowControl/>
        <w:tabs>
          <w:tab w:val="left" w:pos="709"/>
        </w:tabs>
        <w:snapToGrid w:val="0"/>
        <w:spacing w:line="360" w:lineRule="auto"/>
        <w:ind w:firstLine="480" w:firstLineChars="200"/>
        <w:rPr>
          <w:rFonts w:hint="eastAsia" w:ascii="仿宋_GB2312" w:hAnsi="宋体" w:eastAsia="仿宋_GB2312" w:cs="宋体"/>
          <w:bCs/>
          <w:color w:val="auto"/>
          <w:kern w:val="0"/>
          <w:szCs w:val="24"/>
          <w:highlight w:val="none"/>
          <w:lang w:eastAsia="zh-CN"/>
        </w:rPr>
      </w:pPr>
      <w:r>
        <w:rPr>
          <w:rFonts w:hint="eastAsia" w:ascii="仿宋_GB2312" w:hAnsi="宋体" w:cs="宋体"/>
          <w:bCs/>
          <w:color w:val="auto"/>
          <w:kern w:val="0"/>
          <w:szCs w:val="24"/>
          <w:highlight w:val="none"/>
        </w:rPr>
        <w:t>E为前一日的理财资产净值</w:t>
      </w:r>
    </w:p>
    <w:p w14:paraId="603853C9">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lang w:eastAsia="zh-CN"/>
        </w:rPr>
        <w:t>托管费</w:t>
      </w:r>
      <w:r>
        <w:rPr>
          <w:rFonts w:hint="eastAsia" w:ascii="仿宋_GB2312" w:hAnsi="宋体" w:cs="宋体"/>
          <w:bCs/>
          <w:color w:val="auto"/>
          <w:kern w:val="0"/>
          <w:szCs w:val="24"/>
          <w:highlight w:val="none"/>
        </w:rPr>
        <w:t>依照上述约定，从理财财产中支付。费率具体数值以《产品说明书》“</w:t>
      </w:r>
      <w:r>
        <w:rPr>
          <w:rFonts w:hint="eastAsia" w:ascii="仿宋_GB2312" w:hAnsi="宋体" w:cs="宋体"/>
          <w:bCs/>
          <w:color w:val="auto"/>
          <w:kern w:val="0"/>
          <w:szCs w:val="24"/>
          <w:highlight w:val="none"/>
          <w:lang w:eastAsia="zh-CN"/>
        </w:rPr>
        <w:t>第一节 理财产品说明书关键要素</w:t>
      </w:r>
      <w:r>
        <w:rPr>
          <w:rFonts w:hint="eastAsia" w:ascii="仿宋_GB2312" w:hAnsi="宋体" w:cs="宋体"/>
          <w:bCs/>
          <w:color w:val="auto"/>
          <w:kern w:val="0"/>
          <w:szCs w:val="24"/>
          <w:highlight w:val="none"/>
        </w:rPr>
        <w:t>”为准。</w:t>
      </w:r>
    </w:p>
    <w:p w14:paraId="22CD234C">
      <w:pPr>
        <w:widowControl/>
        <w:tabs>
          <w:tab w:val="left" w:pos="709"/>
        </w:tabs>
        <w:snapToGrid w:val="0"/>
        <w:spacing w:line="360" w:lineRule="auto"/>
        <w:ind w:firstLine="480" w:firstLineChars="200"/>
        <w:rPr>
          <w:rFonts w:hint="eastAsia" w:ascii="仿宋_GB2312" w:hAnsi="宋体" w:cs="宋体"/>
          <w:bCs/>
          <w:color w:val="auto"/>
          <w:kern w:val="0"/>
          <w:szCs w:val="24"/>
          <w:highlight w:val="none"/>
          <w:lang w:val="en-US" w:eastAsia="zh-CN"/>
        </w:rPr>
      </w:pPr>
      <w:r>
        <w:rPr>
          <w:rFonts w:hint="eastAsia" w:ascii="仿宋_GB2312" w:hAnsi="宋体" w:cs="宋体"/>
          <w:bCs/>
          <w:color w:val="auto"/>
          <w:kern w:val="0"/>
          <w:szCs w:val="24"/>
          <w:highlight w:val="none"/>
        </w:rPr>
        <w:t>（6）</w:t>
      </w:r>
      <w:r>
        <w:rPr>
          <w:rFonts w:hint="eastAsia" w:ascii="仿宋_GB2312" w:hAnsi="宋体" w:cs="宋体"/>
          <w:bCs/>
          <w:color w:val="auto"/>
          <w:kern w:val="0"/>
          <w:szCs w:val="24"/>
          <w:highlight w:val="none"/>
          <w:lang w:val="en-US" w:eastAsia="zh-CN"/>
        </w:rPr>
        <w:t>理财产品的信息服务费</w:t>
      </w:r>
    </w:p>
    <w:p w14:paraId="5A56184E">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本产品的</w:t>
      </w:r>
      <w:r>
        <w:rPr>
          <w:rFonts w:hint="eastAsia" w:ascii="仿宋_GB2312" w:hAnsi="宋体" w:cs="宋体"/>
          <w:bCs/>
          <w:color w:val="auto"/>
          <w:kern w:val="0"/>
          <w:szCs w:val="24"/>
          <w:highlight w:val="none"/>
          <w:lang w:eastAsia="zh-CN"/>
        </w:rPr>
        <w:t>信息服务费</w:t>
      </w:r>
      <w:r>
        <w:rPr>
          <w:rFonts w:hint="eastAsia" w:ascii="仿宋_GB2312" w:hAnsi="宋体" w:cs="宋体"/>
          <w:bCs/>
          <w:color w:val="auto"/>
          <w:kern w:val="0"/>
          <w:szCs w:val="24"/>
          <w:highlight w:val="none"/>
        </w:rPr>
        <w:t>按前一日理财资产净值与</w:t>
      </w:r>
      <w:r>
        <w:rPr>
          <w:rFonts w:hint="eastAsia" w:ascii="仿宋_GB2312" w:hAnsi="宋体" w:cs="宋体"/>
          <w:bCs/>
          <w:color w:val="auto"/>
          <w:kern w:val="0"/>
          <w:szCs w:val="24"/>
          <w:highlight w:val="none"/>
          <w:lang w:eastAsia="zh-CN"/>
        </w:rPr>
        <w:t>信息服务费用</w:t>
      </w:r>
      <w:r>
        <w:rPr>
          <w:rFonts w:hint="eastAsia" w:ascii="仿宋_GB2312" w:hAnsi="宋体" w:cs="宋体"/>
          <w:bCs/>
          <w:color w:val="auto"/>
          <w:kern w:val="0"/>
          <w:szCs w:val="24"/>
          <w:highlight w:val="none"/>
        </w:rPr>
        <w:t>费率每日计提，</w:t>
      </w:r>
      <w:r>
        <w:rPr>
          <w:rFonts w:hint="eastAsia" w:ascii="仿宋_GB2312" w:hAnsi="宋体" w:cs="宋体"/>
          <w:bCs/>
          <w:color w:val="auto"/>
          <w:kern w:val="0"/>
          <w:szCs w:val="24"/>
          <w:highlight w:val="none"/>
          <w:lang w:val="en-US" w:eastAsia="zh-CN"/>
        </w:rPr>
        <w:t>按季或按照管理人与银行业理财登记托管中心的约定支付，信息服务费由银行业理财产品登记托管中心有限公司收取</w:t>
      </w:r>
      <w:r>
        <w:rPr>
          <w:rFonts w:hint="eastAsia" w:ascii="仿宋_GB2312" w:hAnsi="宋体" w:cs="宋体"/>
          <w:bCs/>
          <w:color w:val="auto"/>
          <w:spacing w:val="-4"/>
          <w:kern w:val="0"/>
          <w:szCs w:val="24"/>
          <w:highlight w:val="none"/>
        </w:rPr>
        <w:t>。</w:t>
      </w:r>
      <w:r>
        <w:rPr>
          <w:rFonts w:hint="eastAsia" w:ascii="仿宋_GB2312" w:hAnsi="宋体" w:cs="宋体"/>
          <w:bCs/>
          <w:color w:val="auto"/>
          <w:spacing w:val="-4"/>
          <w:kern w:val="0"/>
          <w:szCs w:val="24"/>
          <w:highlight w:val="none"/>
          <w:lang w:eastAsia="zh-CN"/>
        </w:rPr>
        <w:t>信息服务费用</w:t>
      </w:r>
      <w:r>
        <w:rPr>
          <w:rFonts w:hint="eastAsia" w:ascii="仿宋_GB2312" w:hAnsi="宋体" w:cs="宋体"/>
          <w:bCs/>
          <w:color w:val="auto"/>
          <w:spacing w:val="-4"/>
          <w:kern w:val="0"/>
          <w:szCs w:val="24"/>
          <w:highlight w:val="none"/>
        </w:rPr>
        <w:t>精确到小数点后2位，小数点2位以后四舍五入</w:t>
      </w:r>
      <w:r>
        <w:rPr>
          <w:rFonts w:hint="eastAsia" w:ascii="仿宋_GB2312" w:hAnsi="宋体" w:cs="宋体"/>
          <w:bCs/>
          <w:color w:val="auto"/>
          <w:kern w:val="0"/>
          <w:szCs w:val="24"/>
          <w:highlight w:val="none"/>
        </w:rPr>
        <w:t>。</w:t>
      </w:r>
    </w:p>
    <w:p w14:paraId="700608C4">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lang w:eastAsia="zh-CN"/>
        </w:rPr>
        <w:t>信息服务费用</w:t>
      </w:r>
      <w:r>
        <w:rPr>
          <w:rFonts w:hint="eastAsia" w:ascii="仿宋_GB2312" w:hAnsi="宋体" w:cs="宋体"/>
          <w:bCs/>
          <w:color w:val="auto"/>
          <w:kern w:val="0"/>
          <w:szCs w:val="24"/>
          <w:highlight w:val="none"/>
        </w:rPr>
        <w:t>的计算方法如下：</w:t>
      </w:r>
    </w:p>
    <w:p w14:paraId="410AE4D1">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H＝E×</w:t>
      </w:r>
      <w:r>
        <w:rPr>
          <w:rFonts w:hint="eastAsia" w:ascii="仿宋_GB2312" w:hAnsi="宋体" w:cs="宋体"/>
          <w:bCs/>
          <w:color w:val="auto"/>
          <w:kern w:val="0"/>
          <w:szCs w:val="24"/>
          <w:highlight w:val="none"/>
          <w:lang w:eastAsia="zh-CN"/>
        </w:rPr>
        <w:t>信息服务费用年</w:t>
      </w:r>
      <w:r>
        <w:rPr>
          <w:rFonts w:hint="eastAsia" w:ascii="仿宋_GB2312" w:hAnsi="宋体" w:cs="宋体"/>
          <w:bCs/>
          <w:color w:val="auto"/>
          <w:kern w:val="0"/>
          <w:szCs w:val="24"/>
          <w:highlight w:val="none"/>
        </w:rPr>
        <w:t>费率÷365</w:t>
      </w:r>
    </w:p>
    <w:p w14:paraId="60C4FFE0">
      <w:pPr>
        <w:widowControl/>
        <w:tabs>
          <w:tab w:val="left" w:pos="709"/>
        </w:tabs>
        <w:snapToGrid w:val="0"/>
        <w:spacing w:line="360" w:lineRule="auto"/>
        <w:ind w:firstLine="480" w:firstLineChars="200"/>
        <w:rPr>
          <w:rFonts w:hint="eastAsia" w:ascii="仿宋_GB2312" w:hAnsi="宋体" w:cs="宋体"/>
          <w:bCs/>
          <w:color w:val="auto"/>
          <w:kern w:val="0"/>
          <w:szCs w:val="24"/>
          <w:highlight w:val="none"/>
          <w:lang w:eastAsia="zh-CN"/>
        </w:rPr>
      </w:pPr>
      <w:r>
        <w:rPr>
          <w:rFonts w:hint="eastAsia" w:ascii="仿宋_GB2312" w:hAnsi="宋体" w:cs="宋体"/>
          <w:bCs/>
          <w:color w:val="auto"/>
          <w:kern w:val="0"/>
          <w:szCs w:val="24"/>
          <w:highlight w:val="none"/>
        </w:rPr>
        <w:t>H为每日应计提的产品</w:t>
      </w:r>
      <w:r>
        <w:rPr>
          <w:rFonts w:hint="eastAsia" w:ascii="仿宋_GB2312" w:hAnsi="宋体" w:cs="宋体"/>
          <w:bCs/>
          <w:color w:val="auto"/>
          <w:kern w:val="0"/>
          <w:szCs w:val="24"/>
          <w:highlight w:val="none"/>
          <w:lang w:eastAsia="zh-CN"/>
        </w:rPr>
        <w:t>信息服务费用</w:t>
      </w:r>
    </w:p>
    <w:p w14:paraId="1CC2D172">
      <w:pPr>
        <w:widowControl/>
        <w:tabs>
          <w:tab w:val="left" w:pos="709"/>
        </w:tabs>
        <w:snapToGrid w:val="0"/>
        <w:spacing w:line="360" w:lineRule="auto"/>
        <w:ind w:firstLine="480" w:firstLineChars="200"/>
        <w:rPr>
          <w:rFonts w:hint="default" w:ascii="仿宋_GB2312" w:hAnsi="宋体" w:cs="宋体"/>
          <w:bCs/>
          <w:color w:val="auto"/>
          <w:kern w:val="0"/>
          <w:szCs w:val="24"/>
          <w:highlight w:val="none"/>
          <w:lang w:val="en-US" w:eastAsia="zh-CN"/>
        </w:rPr>
      </w:pPr>
      <w:r>
        <w:rPr>
          <w:rFonts w:hint="eastAsia" w:ascii="仿宋_GB2312" w:hAnsi="宋体" w:cs="宋体"/>
          <w:bCs/>
          <w:color w:val="auto"/>
          <w:kern w:val="0"/>
          <w:szCs w:val="24"/>
          <w:highlight w:val="none"/>
        </w:rPr>
        <w:t>E为前一日的理财资产净值</w:t>
      </w:r>
    </w:p>
    <w:p w14:paraId="3B4A1C37">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w:t>
      </w:r>
      <w:r>
        <w:rPr>
          <w:rFonts w:hint="eastAsia" w:ascii="仿宋_GB2312" w:hAnsi="宋体" w:cs="宋体"/>
          <w:bCs/>
          <w:color w:val="auto"/>
          <w:kern w:val="0"/>
          <w:szCs w:val="24"/>
          <w:highlight w:val="none"/>
          <w:lang w:val="en-US" w:eastAsia="zh-CN"/>
        </w:rPr>
        <w:t>7</w:t>
      </w:r>
      <w:r>
        <w:rPr>
          <w:rFonts w:hint="eastAsia" w:ascii="仿宋_GB2312" w:hAnsi="宋体" w:cs="宋体"/>
          <w:bCs/>
          <w:color w:val="auto"/>
          <w:kern w:val="0"/>
          <w:szCs w:val="24"/>
          <w:highlight w:val="none"/>
        </w:rPr>
        <w:t>）其他费用</w:t>
      </w:r>
    </w:p>
    <w:p w14:paraId="7AA757A5">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与理财产品相关的其他费用，按照实际发生金额从产品资产中列支。若产品管理人先行垫付其他费用的，管理人有权从理财产品资产中优先受偿。</w:t>
      </w:r>
    </w:p>
    <w:p w14:paraId="07952C23">
      <w:pPr>
        <w:pStyle w:val="3"/>
        <w:ind w:firstLine="482"/>
        <w:rPr>
          <w:color w:val="auto"/>
          <w:highlight w:val="none"/>
        </w:rPr>
      </w:pPr>
      <w:r>
        <w:rPr>
          <w:rFonts w:hint="eastAsia"/>
          <w:color w:val="auto"/>
          <w:highlight w:val="none"/>
        </w:rPr>
        <w:t>费用调整</w:t>
      </w:r>
    </w:p>
    <w:p w14:paraId="072A0D3C">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产品管理人有权根据相关法律和国家政策规定，对理财产品费用的收费项目、收费条件、收费标准和收费方式等进行调整。产品管理人对费用的调整按本说明书约定的方式进行信息披露。投资者有权不接受调整，并按照信息披露内容中约定的方式提前赎回理财产品。</w:t>
      </w:r>
    </w:p>
    <w:p w14:paraId="126EFE4F">
      <w:pPr>
        <w:pStyle w:val="3"/>
        <w:tabs>
          <w:tab w:val="clear" w:pos="0"/>
        </w:tabs>
        <w:ind w:firstLine="482" w:firstLineChars="200"/>
        <w:rPr>
          <w:color w:val="auto"/>
          <w:highlight w:val="none"/>
        </w:rPr>
      </w:pPr>
      <w:r>
        <w:rPr>
          <w:rFonts w:hint="eastAsia"/>
          <w:color w:val="auto"/>
          <w:highlight w:val="none"/>
        </w:rPr>
        <w:t>税收说明</w:t>
      </w:r>
    </w:p>
    <w:p w14:paraId="069807E1">
      <w:pPr>
        <w:tabs>
          <w:tab w:val="left" w:pos="709"/>
        </w:tabs>
        <w:snapToGrid w:val="0"/>
        <w:spacing w:line="360" w:lineRule="auto"/>
        <w:ind w:firstLine="480" w:firstLineChars="200"/>
        <w:rPr>
          <w:color w:val="auto"/>
          <w:highlight w:val="none"/>
        </w:rPr>
      </w:pPr>
      <w:r>
        <w:rPr>
          <w:rFonts w:hint="eastAsia" w:ascii="仿宋_GB2312" w:hAnsi="宋体" w:cs="宋体"/>
          <w:bCs/>
          <w:color w:val="auto"/>
          <w:kern w:val="0"/>
          <w:szCs w:val="24"/>
          <w:highlight w:val="none"/>
        </w:rPr>
        <w:t>本理财产品运作过程中涉及的各纳税主体的纳税义务按国家税收法律、法规执行。除法律法规特别要求外，理财产品运营过程中发生的增值税应税行为，由理财产品承担增值税及附加税费，并由理财产品管理人进行计算、申报和缴纳，该等税费将直接从理财产品财产中支付。后续国家法律法规如对相关税收政策进行调整，管理人有权根据税收政策相应调整理财产品运营过程中发生的税费的承担方式。理财收益的应纳税款以及其他的投资者应纳税款由投资者自行申报及缴纳，管理人不承担代扣代缴或纳税的义务。</w:t>
      </w:r>
    </w:p>
    <w:p w14:paraId="6A685334">
      <w:pPr>
        <w:jc w:val="left"/>
        <w:rPr>
          <w:rFonts w:ascii="仿宋_GB2312" w:hAnsi="宋体" w:cs="宋体"/>
          <w:bCs/>
          <w:color w:val="auto"/>
          <w:kern w:val="0"/>
          <w:szCs w:val="24"/>
          <w:highlight w:val="none"/>
        </w:rPr>
      </w:pPr>
      <w:r>
        <w:rPr>
          <w:rFonts w:hint="eastAsia" w:ascii="仿宋_GB2312" w:hAnsi="宋体" w:cs="宋体"/>
          <w:bCs/>
          <w:color w:val="auto"/>
          <w:kern w:val="0"/>
          <w:szCs w:val="24"/>
          <w:highlight w:val="none"/>
        </w:rPr>
        <w:br w:type="page"/>
      </w:r>
    </w:p>
    <w:p w14:paraId="191A95A3">
      <w:pPr>
        <w:pStyle w:val="2"/>
        <w:rPr>
          <w:color w:val="auto"/>
          <w:highlight w:val="none"/>
        </w:rPr>
      </w:pPr>
      <w:r>
        <w:rPr>
          <w:rFonts w:hint="eastAsia"/>
          <w:color w:val="auto"/>
          <w:highlight w:val="none"/>
        </w:rPr>
        <w:t>理财产品的终止与清算</w:t>
      </w:r>
    </w:p>
    <w:p w14:paraId="2B3273AF">
      <w:pPr>
        <w:pStyle w:val="3"/>
        <w:ind w:firstLine="482"/>
        <w:rPr>
          <w:color w:val="auto"/>
          <w:highlight w:val="none"/>
        </w:rPr>
      </w:pPr>
      <w:r>
        <w:rPr>
          <w:rFonts w:hint="eastAsia"/>
          <w:color w:val="auto"/>
          <w:highlight w:val="none"/>
        </w:rPr>
        <w:t>理财产品到期</w:t>
      </w:r>
    </w:p>
    <w:p w14:paraId="6680611A">
      <w:pPr>
        <w:widowControl/>
        <w:tabs>
          <w:tab w:val="left" w:pos="709"/>
        </w:tabs>
        <w:adjustRightInd w:val="0"/>
        <w:snapToGrid w:val="0"/>
        <w:spacing w:line="360" w:lineRule="auto"/>
        <w:ind w:firstLine="482" w:firstLineChars="200"/>
        <w:rPr>
          <w:rFonts w:ascii="仿宋_GB2312" w:hAnsi="宋体" w:cs="宋体"/>
          <w:bCs/>
          <w:color w:val="auto"/>
          <w:kern w:val="0"/>
          <w:szCs w:val="24"/>
          <w:highlight w:val="none"/>
        </w:rPr>
      </w:pPr>
      <w:r>
        <w:rPr>
          <w:rFonts w:hint="eastAsia" w:ascii="仿宋_GB2312" w:hAnsi="宋体" w:cs="宋体"/>
          <w:b/>
          <w:bCs/>
          <w:color w:val="auto"/>
          <w:kern w:val="0"/>
          <w:szCs w:val="24"/>
          <w:highlight w:val="none"/>
        </w:rPr>
        <w:t>本理财产品到期日【</w:t>
      </w:r>
      <w:r>
        <w:rPr>
          <w:rFonts w:hint="eastAsia" w:ascii="仿宋_GB2312" w:hAnsi="宋体" w:cs="宋体"/>
          <w:b/>
          <w:bCs/>
          <w:color w:val="auto"/>
          <w:kern w:val="0"/>
          <w:szCs w:val="24"/>
          <w:highlight w:val="none"/>
          <w:lang w:val="en-US" w:eastAsia="zh-CN"/>
        </w:rPr>
        <w:t>2027</w:t>
      </w:r>
      <w:r>
        <w:rPr>
          <w:rFonts w:hint="eastAsia" w:ascii="仿宋_GB2312" w:hAnsi="宋体" w:cs="宋体"/>
          <w:b/>
          <w:bCs/>
          <w:color w:val="auto"/>
          <w:kern w:val="0"/>
          <w:szCs w:val="24"/>
          <w:highlight w:val="none"/>
        </w:rPr>
        <w:t>】年【</w:t>
      </w:r>
      <w:r>
        <w:rPr>
          <w:rFonts w:hint="eastAsia" w:ascii="仿宋_GB2312" w:hAnsi="宋体" w:cs="宋体"/>
          <w:b/>
          <w:bCs/>
          <w:color w:val="auto"/>
          <w:kern w:val="0"/>
          <w:szCs w:val="24"/>
          <w:highlight w:val="none"/>
          <w:lang w:val="en-US" w:eastAsia="zh-CN"/>
        </w:rPr>
        <w:t>11</w:t>
      </w:r>
      <w:r>
        <w:rPr>
          <w:rFonts w:hint="eastAsia" w:ascii="仿宋_GB2312" w:hAnsi="宋体" w:cs="宋体"/>
          <w:b/>
          <w:bCs/>
          <w:color w:val="auto"/>
          <w:kern w:val="0"/>
          <w:szCs w:val="24"/>
          <w:highlight w:val="none"/>
        </w:rPr>
        <w:t>】</w:t>
      </w:r>
      <w:r>
        <w:rPr>
          <w:rFonts w:ascii="仿宋_GB2312" w:hAnsi="宋体" w:cs="宋体"/>
          <w:b/>
          <w:bCs/>
          <w:color w:val="auto"/>
          <w:kern w:val="0"/>
          <w:szCs w:val="24"/>
          <w:highlight w:val="none"/>
        </w:rPr>
        <w:t>月</w:t>
      </w:r>
      <w:r>
        <w:rPr>
          <w:rFonts w:hint="eastAsia" w:ascii="仿宋_GB2312" w:hAnsi="宋体" w:cs="宋体"/>
          <w:b/>
          <w:bCs/>
          <w:color w:val="auto"/>
          <w:kern w:val="0"/>
          <w:szCs w:val="24"/>
          <w:highlight w:val="none"/>
        </w:rPr>
        <w:t>【</w:t>
      </w:r>
      <w:r>
        <w:rPr>
          <w:rFonts w:hint="eastAsia" w:ascii="仿宋_GB2312" w:hAnsi="宋体" w:cs="宋体"/>
          <w:b/>
          <w:bCs/>
          <w:color w:val="auto"/>
          <w:kern w:val="0"/>
          <w:szCs w:val="24"/>
          <w:highlight w:val="none"/>
          <w:lang w:val="en-US" w:eastAsia="zh-CN"/>
        </w:rPr>
        <w:t>9</w:t>
      </w:r>
      <w:r>
        <w:rPr>
          <w:rFonts w:hint="eastAsia" w:ascii="仿宋_GB2312" w:hAnsi="宋体" w:cs="宋体"/>
          <w:b/>
          <w:bCs/>
          <w:color w:val="auto"/>
          <w:kern w:val="0"/>
          <w:szCs w:val="24"/>
          <w:highlight w:val="none"/>
        </w:rPr>
        <w:t>】</w:t>
      </w:r>
      <w:r>
        <w:rPr>
          <w:rFonts w:ascii="仿宋_GB2312" w:hAnsi="宋体" w:cs="宋体"/>
          <w:b/>
          <w:bCs/>
          <w:color w:val="auto"/>
          <w:kern w:val="0"/>
          <w:szCs w:val="24"/>
          <w:highlight w:val="none"/>
        </w:rPr>
        <w:t>日</w:t>
      </w:r>
      <w:r>
        <w:rPr>
          <w:rFonts w:hint="eastAsia" w:ascii="仿宋_GB2312" w:hAnsi="宋体" w:cs="宋体"/>
          <w:bCs/>
          <w:color w:val="auto"/>
          <w:kern w:val="0"/>
          <w:szCs w:val="24"/>
          <w:highlight w:val="none"/>
        </w:rPr>
        <w:t>，</w:t>
      </w:r>
      <w:r>
        <w:rPr>
          <w:rFonts w:hint="eastAsia" w:ascii="宋体" w:hAnsi="宋体"/>
          <w:color w:val="auto"/>
          <w:szCs w:val="24"/>
          <w:highlight w:val="none"/>
        </w:rPr>
        <w:t>如产品提前终止或延期终止，除有特别约定外，实际终止日为到期日。</w:t>
      </w:r>
      <w:r>
        <w:rPr>
          <w:rFonts w:hint="eastAsia" w:ascii="仿宋_GB2312" w:hAnsi="宋体" w:cs="宋体"/>
          <w:bCs/>
          <w:color w:val="auto"/>
          <w:kern w:val="0"/>
          <w:szCs w:val="24"/>
          <w:highlight w:val="none"/>
        </w:rPr>
        <w:t xml:space="preserve"> </w:t>
      </w:r>
    </w:p>
    <w:p w14:paraId="1335115A">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理财产品不因投资者死亡、丧失民事行为能力、破产而终止；投资者的法定继承人、承继人或指定受益人以及继任管理人承担本理财产品销售文件项下的相应权利和义务，产品管理人以及代销机构有权要求投资者的继承人或者指定受益人等相关主体配合办理相关变更手续。</w:t>
      </w:r>
    </w:p>
    <w:p w14:paraId="20A352F2">
      <w:pPr>
        <w:pStyle w:val="3"/>
        <w:ind w:firstLine="482"/>
        <w:rPr>
          <w:color w:val="auto"/>
          <w:highlight w:val="none"/>
        </w:rPr>
      </w:pPr>
      <w:r>
        <w:rPr>
          <w:rFonts w:hint="eastAsia"/>
          <w:color w:val="auto"/>
          <w:highlight w:val="none"/>
        </w:rPr>
        <w:t>理财产品提前终止</w:t>
      </w:r>
    </w:p>
    <w:p w14:paraId="10092276">
      <w:pPr>
        <w:widowControl/>
        <w:tabs>
          <w:tab w:val="left" w:pos="709"/>
        </w:tabs>
        <w:snapToGrid w:val="0"/>
        <w:spacing w:line="360" w:lineRule="auto"/>
        <w:ind w:firstLine="482" w:firstLineChars="200"/>
        <w:rPr>
          <w:rFonts w:ascii="仿宋_GB2312" w:hAnsi="宋体" w:cs="宋体"/>
          <w:b/>
          <w:bCs/>
          <w:color w:val="auto"/>
          <w:kern w:val="0"/>
          <w:szCs w:val="24"/>
          <w:highlight w:val="none"/>
        </w:rPr>
      </w:pPr>
      <w:r>
        <w:rPr>
          <w:rFonts w:hint="eastAsia" w:ascii="仿宋_GB2312" w:hAnsi="宋体" w:cs="宋体"/>
          <w:b/>
          <w:bCs/>
          <w:color w:val="auto"/>
          <w:kern w:val="0"/>
          <w:szCs w:val="24"/>
          <w:highlight w:val="none"/>
        </w:rPr>
        <w:t>本理财产品存续期间，投资者无提前终止权。如出现以下情形，管理人有权但无义务提前终止本产品：</w:t>
      </w:r>
      <w:r>
        <w:rPr>
          <w:rFonts w:ascii="仿宋_GB2312" w:hAnsi="宋体" w:cs="宋体"/>
          <w:b/>
          <w:bCs/>
          <w:color w:val="auto"/>
          <w:kern w:val="0"/>
          <w:szCs w:val="24"/>
          <w:highlight w:val="none"/>
        </w:rPr>
        <w:t xml:space="preserve"> </w:t>
      </w:r>
    </w:p>
    <w:p w14:paraId="1DB79EB8">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1.自然灾害、疫情、金融市场危机、战争等不可抗力因素及/或意外事件导致理财产品无法继续运作。</w:t>
      </w:r>
    </w:p>
    <w:p w14:paraId="6D716F53">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2.遇有市场出现剧烈波动、异常风险事件等情形导致理财产品收益出现大幅波动或严重影响理财产品的资产安全。</w:t>
      </w:r>
    </w:p>
    <w:p w14:paraId="5D811EF8">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3.因投资者理财资金被有权机关扣划等原因导致理财产品剩余资产无法满足相关法律法规规定、所投资市场要求或协议等相</w:t>
      </w:r>
      <w:r>
        <w:rPr>
          <w:rFonts w:hint="eastAsia" w:ascii="仿宋_GB2312" w:hAnsi="宋体" w:cs="宋体"/>
          <w:bCs/>
          <w:color w:val="auto"/>
          <w:kern w:val="0"/>
          <w:szCs w:val="24"/>
          <w:highlight w:val="none"/>
          <w:lang w:val="en-US" w:eastAsia="zh-CN"/>
        </w:rPr>
        <w:tab/>
      </w:r>
      <w:r>
        <w:rPr>
          <w:rFonts w:hint="eastAsia" w:ascii="仿宋_GB2312" w:hAnsi="宋体" w:cs="宋体"/>
          <w:bCs/>
          <w:color w:val="auto"/>
          <w:kern w:val="0"/>
          <w:szCs w:val="24"/>
          <w:highlight w:val="none"/>
        </w:rPr>
        <w:t>关法律文件约定，或者继续存续无法实现投资目标。</w:t>
      </w:r>
    </w:p>
    <w:p w14:paraId="3A51EEE0">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4.因相关投资管理机构解散、破产、撤销、被取消业务资格等原因无法继续履行相应职责导致产品无法继续运作。</w:t>
      </w:r>
    </w:p>
    <w:p w14:paraId="1B92589C">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5.相关投资管理机构或运用理财资金的第三方主体实施符合法律法规规定或协议等相关文件约定的行为导致理财产品被动提前终止。</w:t>
      </w:r>
    </w:p>
    <w:p w14:paraId="392E8D9A">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6.因法律法规变化或国家金融政策调整、紧急措施出台影响产品继续正常运作。</w:t>
      </w:r>
    </w:p>
    <w:p w14:paraId="10D331F9">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7.提前终止产品比维持产品运作更有利于保护产品持有人的权益。</w:t>
      </w:r>
    </w:p>
    <w:p w14:paraId="7465D3BE">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8.遇国家政策出现重大调整并影响到本产品的正常运行。</w:t>
      </w:r>
    </w:p>
    <w:p w14:paraId="502F6D2D">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9.因本产品投资的资产部分或全部提前终止或发生其他影响本产品正常投资运作的重大事件。</w:t>
      </w:r>
    </w:p>
    <w:p w14:paraId="52E146A0">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10.本产品存续期内，所投资资产种类已全部调整为现金资产且无其他投资安排。</w:t>
      </w:r>
    </w:p>
    <w:p w14:paraId="50BE78AF">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11.管理人认为有必要提前终止本产品的其他情形。</w:t>
      </w:r>
    </w:p>
    <w:p w14:paraId="6E74C756">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管理人将于提前终止日前</w:t>
      </w:r>
      <w:r>
        <w:rPr>
          <w:rFonts w:hint="eastAsia" w:ascii="仿宋_GB2312" w:hAnsi="宋体" w:cs="宋体"/>
          <w:bCs/>
          <w:color w:val="auto"/>
          <w:kern w:val="0"/>
          <w:szCs w:val="24"/>
          <w:highlight w:val="none"/>
          <w:lang w:val="en-US" w:eastAsia="zh-CN"/>
        </w:rPr>
        <w:t>1</w:t>
      </w:r>
      <w:r>
        <w:rPr>
          <w:rFonts w:hint="eastAsia" w:ascii="仿宋_GB2312" w:hAnsi="宋体" w:cs="宋体"/>
          <w:bCs/>
          <w:color w:val="auto"/>
          <w:kern w:val="0"/>
          <w:szCs w:val="24"/>
          <w:highlight w:val="none"/>
        </w:rPr>
        <w:t>个</w:t>
      </w:r>
      <w:r>
        <w:rPr>
          <w:rFonts w:hint="eastAsia" w:ascii="宋体" w:hAnsi="宋体"/>
          <w:b/>
          <w:color w:val="auto"/>
          <w:szCs w:val="24"/>
          <w:highlight w:val="none"/>
        </w:rPr>
        <w:t>工作日</w:t>
      </w:r>
      <w:r>
        <w:rPr>
          <w:rFonts w:hint="eastAsia" w:ascii="仿宋_GB2312" w:hAnsi="宋体" w:cs="宋体"/>
          <w:bCs/>
          <w:color w:val="auto"/>
          <w:kern w:val="0"/>
          <w:szCs w:val="24"/>
          <w:highlight w:val="none"/>
        </w:rPr>
        <w:t>通过本产品说明书约定</w:t>
      </w:r>
      <w:r>
        <w:rPr>
          <w:rFonts w:ascii="仿宋_GB2312" w:hAnsi="宋体" w:cs="宋体"/>
          <w:bCs/>
          <w:color w:val="auto"/>
          <w:kern w:val="0"/>
          <w:szCs w:val="24"/>
          <w:highlight w:val="none"/>
        </w:rPr>
        <w:t>方式</w:t>
      </w:r>
      <w:r>
        <w:rPr>
          <w:rFonts w:hint="eastAsia" w:ascii="仿宋_GB2312" w:hAnsi="宋体" w:cs="宋体"/>
          <w:bCs/>
          <w:color w:val="auto"/>
          <w:kern w:val="0"/>
          <w:szCs w:val="24"/>
          <w:highlight w:val="none"/>
        </w:rPr>
        <w:t>发布本产品提前终止公告，并于提前终止日后5个</w:t>
      </w:r>
      <w:r>
        <w:rPr>
          <w:rFonts w:hint="eastAsia" w:ascii="宋体" w:hAnsi="宋体"/>
          <w:b/>
          <w:color w:val="auto"/>
          <w:szCs w:val="24"/>
          <w:highlight w:val="none"/>
          <w:lang w:eastAsia="zh-CN"/>
        </w:rPr>
        <w:t>工作日</w:t>
      </w:r>
      <w:r>
        <w:rPr>
          <w:rFonts w:hint="eastAsia" w:ascii="仿宋_GB2312" w:hAnsi="宋体" w:cs="宋体"/>
          <w:bCs/>
          <w:color w:val="auto"/>
          <w:kern w:val="0"/>
          <w:szCs w:val="24"/>
          <w:highlight w:val="none"/>
        </w:rPr>
        <w:t>内将兑付理财资金划至投资者指定账户。</w:t>
      </w:r>
    </w:p>
    <w:p w14:paraId="5022F5CE">
      <w:pPr>
        <w:pStyle w:val="3"/>
        <w:ind w:firstLine="482"/>
        <w:rPr>
          <w:color w:val="auto"/>
          <w:highlight w:val="none"/>
        </w:rPr>
      </w:pPr>
      <w:r>
        <w:rPr>
          <w:rFonts w:hint="eastAsia" w:ascii="楷体_GB2312" w:hAnsi="宋体" w:eastAsia="楷体_GB2312" w:cs="宋体"/>
          <w:bCs/>
          <w:color w:val="auto"/>
          <w:kern w:val="0"/>
          <w:szCs w:val="24"/>
          <w:highlight w:val="none"/>
        </w:rPr>
        <w:t>理财产品到期清算</w:t>
      </w:r>
    </w:p>
    <w:p w14:paraId="4642CA67">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1.清算程序</w:t>
      </w:r>
    </w:p>
    <w:p w14:paraId="2E904697">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产品到期（含提前终止）后，理财产品终止运作，本理财产品</w:t>
      </w:r>
      <w:r>
        <w:rPr>
          <w:color w:val="auto"/>
          <w:highlight w:val="none"/>
        </w:rPr>
        <w:t>管</w:t>
      </w:r>
      <w:r>
        <w:rPr>
          <w:rFonts w:hint="eastAsia" w:ascii="仿宋_GB2312" w:hAnsi="宋体" w:cs="宋体"/>
          <w:bCs/>
          <w:color w:val="auto"/>
          <w:kern w:val="0"/>
          <w:szCs w:val="24"/>
          <w:highlight w:val="none"/>
        </w:rPr>
        <w:t>理人启动产品清算，理财资产清</w:t>
      </w:r>
      <w:r>
        <w:rPr>
          <w:rFonts w:ascii="仿宋_GB2312" w:hAnsi="宋体" w:cs="宋体"/>
          <w:bCs/>
          <w:color w:val="auto"/>
          <w:kern w:val="0"/>
          <w:szCs w:val="24"/>
          <w:highlight w:val="none"/>
        </w:rPr>
        <w:t>算后扣除理财相关费用、缴纳所欠税款并清偿理财产品负债后，</w:t>
      </w:r>
      <w:r>
        <w:rPr>
          <w:rFonts w:hint="eastAsia"/>
          <w:color w:val="auto"/>
          <w:highlight w:val="none"/>
        </w:rPr>
        <w:t>管</w:t>
      </w:r>
      <w:r>
        <w:rPr>
          <w:rFonts w:hint="eastAsia" w:ascii="仿宋_GB2312" w:hAnsi="宋体" w:cs="宋体"/>
          <w:bCs/>
          <w:color w:val="auto"/>
          <w:kern w:val="0"/>
          <w:szCs w:val="24"/>
          <w:highlight w:val="none"/>
        </w:rPr>
        <w:t>理人通过销售机构将投资者应得资金（如有，下同）划至投资者指定账户。本产品到期时，如本产品项下财产全部变现，管理人将在产品到期后5个</w:t>
      </w:r>
      <w:r>
        <w:rPr>
          <w:rFonts w:hint="eastAsia" w:ascii="宋体" w:hAnsi="宋体"/>
          <w:b/>
          <w:color w:val="auto"/>
          <w:szCs w:val="24"/>
          <w:highlight w:val="none"/>
          <w:lang w:eastAsia="zh-CN"/>
        </w:rPr>
        <w:t>工作日</w:t>
      </w:r>
      <w:r>
        <w:rPr>
          <w:rFonts w:hint="eastAsia" w:ascii="仿宋_GB2312" w:hAnsi="宋体" w:cs="宋体"/>
          <w:bCs/>
          <w:color w:val="auto"/>
          <w:kern w:val="0"/>
          <w:szCs w:val="24"/>
          <w:highlight w:val="none"/>
        </w:rPr>
        <w:t>内向投资者完成</w:t>
      </w:r>
      <w:r>
        <w:rPr>
          <w:rFonts w:ascii="仿宋_GB2312" w:hAnsi="宋体" w:cs="宋体"/>
          <w:bCs/>
          <w:color w:val="auto"/>
          <w:kern w:val="0"/>
          <w:szCs w:val="24"/>
          <w:highlight w:val="none"/>
        </w:rPr>
        <w:t>分配</w:t>
      </w:r>
      <w:r>
        <w:rPr>
          <w:rFonts w:hint="eastAsia" w:ascii="仿宋_GB2312" w:hAnsi="宋体" w:cs="宋体"/>
          <w:bCs/>
          <w:color w:val="auto"/>
          <w:kern w:val="0"/>
          <w:szCs w:val="24"/>
          <w:highlight w:val="none"/>
        </w:rPr>
        <w:t>。</w:t>
      </w:r>
      <w:r>
        <w:rPr>
          <w:rFonts w:hint="eastAsia" w:ascii="仿宋_GB2312" w:hAnsi="宋体" w:cs="宋体"/>
          <w:b/>
          <w:bCs/>
          <w:color w:val="auto"/>
          <w:kern w:val="0"/>
          <w:szCs w:val="24"/>
          <w:highlight w:val="none"/>
        </w:rPr>
        <w:t>产品到期日/终止日至资金</w:t>
      </w:r>
      <w:r>
        <w:rPr>
          <w:rFonts w:ascii="仿宋_GB2312" w:hAnsi="宋体" w:cs="宋体"/>
          <w:b/>
          <w:bCs/>
          <w:color w:val="auto"/>
          <w:kern w:val="0"/>
          <w:szCs w:val="24"/>
          <w:highlight w:val="none"/>
        </w:rPr>
        <w:t>到账</w:t>
      </w:r>
      <w:r>
        <w:rPr>
          <w:rFonts w:hint="eastAsia" w:ascii="仿宋_GB2312" w:hAnsi="宋体" w:cs="宋体"/>
          <w:b/>
          <w:bCs/>
          <w:color w:val="auto"/>
          <w:kern w:val="0"/>
          <w:szCs w:val="24"/>
          <w:highlight w:val="none"/>
        </w:rPr>
        <w:t>日期间，投资者理财资金如因清算安排实际产生利息的，相关利息归投资者所有。</w:t>
      </w:r>
    </w:p>
    <w:p w14:paraId="264B5318">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如因清算需要，本产品无法在到期后5个</w:t>
      </w:r>
      <w:r>
        <w:rPr>
          <w:rFonts w:hint="eastAsia" w:ascii="宋体" w:hAnsi="宋体"/>
          <w:b/>
          <w:color w:val="auto"/>
          <w:szCs w:val="24"/>
          <w:highlight w:val="none"/>
          <w:lang w:eastAsia="zh-CN"/>
        </w:rPr>
        <w:t>工作日</w:t>
      </w:r>
      <w:r>
        <w:rPr>
          <w:rFonts w:hint="eastAsia" w:ascii="仿宋_GB2312" w:hAnsi="宋体" w:cs="宋体"/>
          <w:bCs/>
          <w:color w:val="auto"/>
          <w:kern w:val="0"/>
          <w:szCs w:val="24"/>
          <w:highlight w:val="none"/>
        </w:rPr>
        <w:t>内向投资者完成</w:t>
      </w:r>
      <w:r>
        <w:rPr>
          <w:rFonts w:ascii="仿宋_GB2312" w:hAnsi="宋体" w:cs="宋体"/>
          <w:bCs/>
          <w:color w:val="auto"/>
          <w:kern w:val="0"/>
          <w:szCs w:val="24"/>
          <w:highlight w:val="none"/>
        </w:rPr>
        <w:t>分配</w:t>
      </w:r>
      <w:r>
        <w:rPr>
          <w:rFonts w:hint="eastAsia" w:ascii="仿宋_GB2312" w:hAnsi="宋体" w:cs="宋体"/>
          <w:bCs/>
          <w:color w:val="auto"/>
          <w:kern w:val="0"/>
          <w:szCs w:val="24"/>
          <w:highlight w:val="none"/>
        </w:rPr>
        <w:t>的，管理人有权延后产品可得资金分配并于产品到期日前公告。</w:t>
      </w:r>
    </w:p>
    <w:p w14:paraId="3D36EBEF">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2.清算费用分别按照实际发生费用从产品资产中列支。</w:t>
      </w:r>
    </w:p>
    <w:p w14:paraId="67A43E9B">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3.产品资产清算剩余资产的分配</w:t>
      </w:r>
    </w:p>
    <w:p w14:paraId="471F4889">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产品资产按下列顺序清偿：</w:t>
      </w:r>
    </w:p>
    <w:p w14:paraId="07DC583C">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（1）支付清算费用和交纳所欠税款；</w:t>
      </w:r>
    </w:p>
    <w:p w14:paraId="19EFDAF4">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（2）清偿产品债务；</w:t>
      </w:r>
    </w:p>
    <w:p w14:paraId="2C0548A0">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（3）按产品份额持有人持有的产品份额比例进行分配。</w:t>
      </w:r>
    </w:p>
    <w:p w14:paraId="14EB77B5">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4.产品终止投资者到账资金计算</w:t>
      </w:r>
    </w:p>
    <w:p w14:paraId="5EB251F9">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若产品终止或提前终止时本理财产品项下资产全部变现，产品管理人将</w:t>
      </w:r>
      <w:r>
        <w:rPr>
          <w:rFonts w:hint="eastAsia" w:ascii="仿宋_GB2312" w:hAnsi="宋体" w:cs="宋体"/>
          <w:bCs/>
          <w:color w:val="auto"/>
          <w:kern w:val="0"/>
          <w:szCs w:val="24"/>
          <w:highlight w:val="none"/>
        </w:rPr>
        <w:t>扣除理财产品财产清算费用、缴纳所欠税款并清偿理财产品债务后，按照各投资者持有理财产品份额占理财产品总份额的比例于</w:t>
      </w:r>
      <w:r>
        <w:rPr>
          <w:rFonts w:ascii="仿宋_GB2312" w:hAnsi="宋体" w:cs="宋体"/>
          <w:bCs/>
          <w:color w:val="auto"/>
          <w:kern w:val="0"/>
          <w:szCs w:val="24"/>
          <w:highlight w:val="none"/>
        </w:rPr>
        <w:t>产品到期日后</w:t>
      </w:r>
      <w:r>
        <w:rPr>
          <w:rFonts w:hint="eastAsia" w:ascii="仿宋_GB2312" w:hAnsi="宋体" w:cs="宋体"/>
          <w:bCs/>
          <w:color w:val="auto"/>
          <w:kern w:val="0"/>
          <w:szCs w:val="24"/>
          <w:highlight w:val="none"/>
        </w:rPr>
        <w:t>5</w:t>
      </w:r>
      <w:r>
        <w:rPr>
          <w:rFonts w:ascii="仿宋_GB2312" w:hAnsi="宋体" w:cs="宋体"/>
          <w:bCs/>
          <w:color w:val="auto"/>
          <w:kern w:val="0"/>
          <w:szCs w:val="24"/>
          <w:highlight w:val="none"/>
        </w:rPr>
        <w:t>个</w:t>
      </w:r>
      <w:r>
        <w:rPr>
          <w:rFonts w:hint="eastAsia" w:ascii="宋体" w:hAnsi="宋体"/>
          <w:b/>
          <w:color w:val="auto"/>
          <w:szCs w:val="24"/>
          <w:highlight w:val="none"/>
          <w:lang w:eastAsia="zh-CN"/>
        </w:rPr>
        <w:t>工作日</w:t>
      </w:r>
      <w:r>
        <w:rPr>
          <w:rFonts w:ascii="仿宋_GB2312" w:hAnsi="宋体" w:cs="宋体"/>
          <w:bCs/>
          <w:color w:val="auto"/>
          <w:kern w:val="0"/>
          <w:szCs w:val="24"/>
          <w:highlight w:val="none"/>
        </w:rPr>
        <w:t>内或提前终止日后</w:t>
      </w:r>
      <w:r>
        <w:rPr>
          <w:rFonts w:hint="eastAsia" w:ascii="仿宋_GB2312" w:hAnsi="宋体" w:cs="宋体"/>
          <w:bCs/>
          <w:color w:val="auto"/>
          <w:kern w:val="0"/>
          <w:szCs w:val="24"/>
          <w:highlight w:val="none"/>
        </w:rPr>
        <w:t>5</w:t>
      </w:r>
      <w:r>
        <w:rPr>
          <w:rFonts w:ascii="仿宋_GB2312" w:hAnsi="宋体" w:cs="宋体"/>
          <w:bCs/>
          <w:color w:val="auto"/>
          <w:kern w:val="0"/>
          <w:szCs w:val="24"/>
          <w:highlight w:val="none"/>
        </w:rPr>
        <w:t>个</w:t>
      </w:r>
      <w:r>
        <w:rPr>
          <w:rFonts w:hint="eastAsia" w:ascii="宋体" w:hAnsi="宋体"/>
          <w:b/>
          <w:color w:val="auto"/>
          <w:szCs w:val="24"/>
          <w:highlight w:val="none"/>
          <w:lang w:eastAsia="zh-CN"/>
        </w:rPr>
        <w:t>工作日</w:t>
      </w:r>
      <w:r>
        <w:rPr>
          <w:rFonts w:ascii="仿宋_GB2312" w:hAnsi="宋体" w:cs="宋体"/>
          <w:bCs/>
          <w:color w:val="auto"/>
          <w:kern w:val="0"/>
          <w:szCs w:val="24"/>
          <w:highlight w:val="none"/>
        </w:rPr>
        <w:t>内将投资者应得资金划转投资者指定账户。计算公式如下：</w:t>
      </w:r>
    </w:p>
    <w:p w14:paraId="79BBE4E8">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本产品兑付金额(理财产品总资产净值)=理财产品资产总值-理财产品负债总值</w:t>
      </w:r>
    </w:p>
    <w:p w14:paraId="5E4E9A40">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其中，投资者到账金额为：</w:t>
      </w:r>
    </w:p>
    <w:p w14:paraId="0603320C">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本产品投资者到账金额=投资者在到期日持有理财产品份额/理财产品总份额*理财产品总资产净值，</w:t>
      </w:r>
      <w:r>
        <w:rPr>
          <w:rFonts w:ascii="仿宋_GB2312" w:hAnsi="宋体" w:cs="宋体"/>
          <w:bCs/>
          <w:color w:val="auto"/>
          <w:kern w:val="0"/>
          <w:szCs w:val="24"/>
          <w:highlight w:val="none"/>
        </w:rPr>
        <w:t>最终资金以实际到账为准。</w:t>
      </w:r>
    </w:p>
    <w:p w14:paraId="255B1ABB">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产品终止日，如产品投资资产因市场风险、信用风险以及监管风险等原因不能全部变现且产品管理人未对本产品进行延期则本产品进入延期清算程序。产品延期清算时，产品管理人将提前发布相关公告。产品管理人将产品持有的现金类资产在扣除支付清算费用和交纳所欠税款、清偿产品债务后，如仍有剩余资金</w:t>
      </w:r>
      <w:r>
        <w:rPr>
          <w:rFonts w:hint="eastAsia" w:ascii="仿宋_GB2312" w:hAnsi="宋体" w:cs="宋体"/>
          <w:bCs/>
          <w:color w:val="auto"/>
          <w:kern w:val="0"/>
          <w:szCs w:val="24"/>
          <w:highlight w:val="none"/>
        </w:rPr>
        <w:t>，</w:t>
      </w:r>
      <w:r>
        <w:rPr>
          <w:rFonts w:ascii="仿宋_GB2312" w:hAnsi="宋体" w:cs="宋体"/>
          <w:bCs/>
          <w:color w:val="auto"/>
          <w:kern w:val="0"/>
          <w:szCs w:val="24"/>
          <w:highlight w:val="none"/>
        </w:rPr>
        <w:t>可</w:t>
      </w:r>
      <w:r>
        <w:rPr>
          <w:rFonts w:hint="eastAsia" w:ascii="仿宋_GB2312" w:hAnsi="宋体" w:cs="宋体"/>
          <w:bCs/>
          <w:color w:val="auto"/>
          <w:kern w:val="0"/>
          <w:szCs w:val="24"/>
          <w:highlight w:val="none"/>
        </w:rPr>
        <w:t>按照各投资者持有理财产品份额占理财产品总份额的比例</w:t>
      </w:r>
      <w:r>
        <w:rPr>
          <w:rFonts w:ascii="仿宋_GB2312" w:hAnsi="宋体" w:cs="宋体"/>
          <w:bCs/>
          <w:color w:val="auto"/>
          <w:kern w:val="0"/>
          <w:szCs w:val="24"/>
          <w:highlight w:val="none"/>
        </w:rPr>
        <w:t>分配给</w:t>
      </w:r>
      <w:r>
        <w:rPr>
          <w:rFonts w:hint="eastAsia" w:ascii="仿宋_GB2312" w:hAnsi="宋体" w:cs="宋体"/>
          <w:bCs/>
          <w:color w:val="auto"/>
          <w:kern w:val="0"/>
          <w:szCs w:val="24"/>
          <w:highlight w:val="none"/>
        </w:rPr>
        <w:t>投资者</w:t>
      </w:r>
      <w:r>
        <w:rPr>
          <w:rFonts w:ascii="仿宋_GB2312" w:hAnsi="宋体" w:cs="宋体"/>
          <w:bCs/>
          <w:color w:val="auto"/>
          <w:kern w:val="0"/>
          <w:szCs w:val="24"/>
          <w:highlight w:val="none"/>
        </w:rPr>
        <w:t>。对于未变现资产部分，产品管理人以投资者利益最大化的原则，寻求未变现资产变现方式，在资产变现后，产品持有的现金类资产在扣除剩余未支付的清算费用和交纳所欠税款、清偿产品债务后，</w:t>
      </w:r>
      <w:r>
        <w:rPr>
          <w:rFonts w:hint="eastAsia" w:ascii="仿宋_GB2312" w:hAnsi="宋体" w:cs="宋体"/>
          <w:bCs/>
          <w:color w:val="auto"/>
          <w:kern w:val="0"/>
          <w:szCs w:val="24"/>
          <w:highlight w:val="none"/>
        </w:rPr>
        <w:t>按照各投资者持有理财产品份额占理财产品总份额的比例</w:t>
      </w:r>
      <w:r>
        <w:rPr>
          <w:rFonts w:ascii="仿宋_GB2312" w:hAnsi="宋体" w:cs="宋体"/>
          <w:bCs/>
          <w:color w:val="auto"/>
          <w:kern w:val="0"/>
          <w:szCs w:val="24"/>
          <w:highlight w:val="none"/>
        </w:rPr>
        <w:t>于产品清算完毕后的5个</w:t>
      </w:r>
      <w:r>
        <w:rPr>
          <w:rFonts w:hint="eastAsia" w:ascii="宋体" w:hAnsi="宋体"/>
          <w:b/>
          <w:color w:val="auto"/>
          <w:szCs w:val="24"/>
          <w:highlight w:val="none"/>
          <w:lang w:eastAsia="zh-CN"/>
        </w:rPr>
        <w:t>工作日</w:t>
      </w:r>
      <w:r>
        <w:rPr>
          <w:rFonts w:ascii="仿宋_GB2312" w:hAnsi="宋体" w:cs="宋体"/>
          <w:bCs/>
          <w:color w:val="auto"/>
          <w:kern w:val="0"/>
          <w:szCs w:val="24"/>
          <w:highlight w:val="none"/>
        </w:rPr>
        <w:t>内分配给</w:t>
      </w:r>
      <w:r>
        <w:rPr>
          <w:rFonts w:hint="eastAsia" w:ascii="仿宋_GB2312" w:hAnsi="宋体" w:cs="宋体"/>
          <w:bCs/>
          <w:color w:val="auto"/>
          <w:kern w:val="0"/>
          <w:szCs w:val="24"/>
          <w:highlight w:val="none"/>
        </w:rPr>
        <w:t>投资者</w:t>
      </w:r>
      <w:r>
        <w:rPr>
          <w:rFonts w:ascii="仿宋_GB2312" w:hAnsi="宋体" w:cs="宋体"/>
          <w:bCs/>
          <w:color w:val="auto"/>
          <w:kern w:val="0"/>
          <w:szCs w:val="24"/>
          <w:highlight w:val="none"/>
        </w:rPr>
        <w:t>。</w:t>
      </w:r>
    </w:p>
    <w:p w14:paraId="002BA157">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产品管理人拟进行二次或多次清算的，管理人应向投资者及时披露。</w:t>
      </w:r>
    </w:p>
    <w:p w14:paraId="0FB90027">
      <w:pPr>
        <w:widowControl/>
        <w:tabs>
          <w:tab w:val="left" w:pos="709"/>
        </w:tabs>
        <w:snapToGrid w:val="0"/>
        <w:spacing w:line="360" w:lineRule="auto"/>
        <w:ind w:firstLine="480" w:firstLineChars="200"/>
        <w:jc w:val="left"/>
        <w:rPr>
          <w:rFonts w:ascii="仿宋_GB2312" w:hAnsi="宋体" w:cs="宋体"/>
          <w:bCs/>
          <w:color w:val="auto"/>
          <w:kern w:val="0"/>
          <w:szCs w:val="24"/>
          <w:highlight w:val="none"/>
        </w:rPr>
      </w:pPr>
      <w:r>
        <w:rPr>
          <w:rFonts w:hint="eastAsia" w:ascii="仿宋_GB2312" w:hAnsi="宋体" w:cs="宋体"/>
          <w:bCs/>
          <w:color w:val="auto"/>
          <w:kern w:val="0"/>
          <w:szCs w:val="24"/>
          <w:highlight w:val="none"/>
        </w:rPr>
        <w:t>5.产品正常终止时，投资者到账资金示例</w:t>
      </w:r>
    </w:p>
    <w:p w14:paraId="7CED2B90">
      <w:pPr>
        <w:widowControl/>
        <w:tabs>
          <w:tab w:val="left" w:pos="709"/>
        </w:tabs>
        <w:snapToGrid w:val="0"/>
        <w:spacing w:line="360" w:lineRule="auto"/>
        <w:ind w:firstLine="480" w:firstLineChars="200"/>
        <w:jc w:val="left"/>
        <w:rPr>
          <w:rFonts w:ascii="仿宋_GB2312" w:hAnsi="宋体" w:cs="宋体"/>
          <w:bCs/>
          <w:color w:val="auto"/>
          <w:kern w:val="0"/>
          <w:szCs w:val="24"/>
          <w:highlight w:val="none"/>
        </w:rPr>
      </w:pPr>
      <w:r>
        <w:rPr>
          <w:rFonts w:hint="eastAsia" w:ascii="仿宋_GB2312" w:hAnsi="宋体" w:cs="宋体"/>
          <w:bCs/>
          <w:color w:val="auto"/>
          <w:kern w:val="0"/>
          <w:szCs w:val="24"/>
          <w:highlight w:val="none"/>
        </w:rPr>
        <w:t>假设当理财产品正常终止时，某客户持有10万份本产品份额，产品初始份额净值为1.000</w:t>
      </w:r>
      <w:r>
        <w:rPr>
          <w:rFonts w:hint="eastAsia" w:ascii="仿宋_GB2312" w:hAnsi="宋体" w:cs="宋体"/>
          <w:bCs/>
          <w:color w:val="auto"/>
          <w:kern w:val="0"/>
          <w:szCs w:val="24"/>
          <w:highlight w:val="none"/>
          <w:lang w:val="en-US" w:eastAsia="zh-CN"/>
        </w:rPr>
        <w:t>00</w:t>
      </w:r>
      <w:r>
        <w:rPr>
          <w:rFonts w:hint="eastAsia" w:ascii="仿宋_GB2312" w:hAnsi="宋体" w:cs="宋体"/>
          <w:bCs/>
          <w:color w:val="auto"/>
          <w:kern w:val="0"/>
          <w:szCs w:val="24"/>
          <w:highlight w:val="none"/>
        </w:rPr>
        <w:t>0元/份，折算份额为100000份。如本产品募集份额55000000份，期限为91天，扣除固定费用、浮动费用及税款（若有）后，理财产品总资产净值为55817260.27元，客户最终收到资金为：</w:t>
      </w:r>
      <w:r>
        <w:rPr>
          <w:rFonts w:ascii="仿宋_GB2312" w:hAnsi="宋体" w:cs="宋体"/>
          <w:bCs/>
          <w:color w:val="auto"/>
          <w:kern w:val="0"/>
          <w:szCs w:val="24"/>
          <w:highlight w:val="none"/>
        </w:rPr>
        <w:t>100000/55000000*55817260.27=101485.92元。</w:t>
      </w:r>
    </w:p>
    <w:p w14:paraId="0042E13B">
      <w:pPr>
        <w:widowControl/>
        <w:jc w:val="left"/>
        <w:rPr>
          <w:rFonts w:ascii="仿宋_GB2312" w:hAnsi="宋体" w:cs="宋体"/>
          <w:bCs/>
          <w:color w:val="auto"/>
          <w:kern w:val="0"/>
          <w:szCs w:val="24"/>
          <w:highlight w:val="none"/>
        </w:rPr>
      </w:pPr>
      <w:r>
        <w:rPr>
          <w:rFonts w:ascii="仿宋_GB2312" w:hAnsi="宋体" w:cs="宋体"/>
          <w:bCs/>
          <w:color w:val="auto"/>
          <w:kern w:val="0"/>
          <w:szCs w:val="24"/>
          <w:highlight w:val="none"/>
        </w:rPr>
        <w:br w:type="page"/>
      </w:r>
    </w:p>
    <w:p w14:paraId="4C8AE41F">
      <w:pPr>
        <w:pStyle w:val="2"/>
        <w:rPr>
          <w:color w:val="auto"/>
          <w:highlight w:val="none"/>
        </w:rPr>
      </w:pPr>
      <w:r>
        <w:rPr>
          <w:rFonts w:hint="eastAsia"/>
          <w:color w:val="auto"/>
          <w:highlight w:val="none"/>
        </w:rPr>
        <w:t>理财产品的信息披露</w:t>
      </w:r>
    </w:p>
    <w:p w14:paraId="09918181">
      <w:pPr>
        <w:pStyle w:val="3"/>
        <w:ind w:firstLine="482"/>
        <w:rPr>
          <w:color w:val="auto"/>
          <w:highlight w:val="none"/>
        </w:rPr>
      </w:pPr>
      <w:r>
        <w:rPr>
          <w:rFonts w:hint="eastAsia"/>
          <w:color w:val="auto"/>
          <w:highlight w:val="none"/>
        </w:rPr>
        <w:t>信息披露方式</w:t>
      </w:r>
    </w:p>
    <w:p w14:paraId="630E6932">
      <w:pPr>
        <w:widowControl/>
        <w:tabs>
          <w:tab w:val="left" w:pos="709"/>
        </w:tabs>
        <w:adjustRightInd w:val="0"/>
        <w:snapToGrid w:val="0"/>
        <w:spacing w:line="360" w:lineRule="auto"/>
        <w:ind w:firstLine="482" w:firstLineChars="200"/>
        <w:rPr>
          <w:rFonts w:ascii="仿宋_GB2312" w:hAnsi="宋体" w:cs="宋体"/>
          <w:b/>
          <w:color w:val="auto"/>
          <w:kern w:val="0"/>
          <w:szCs w:val="24"/>
          <w:highlight w:val="none"/>
        </w:rPr>
      </w:pPr>
      <w:r>
        <w:rPr>
          <w:rFonts w:hint="eastAsia" w:ascii="仿宋_GB2312" w:hAnsi="宋体" w:cs="宋体"/>
          <w:b/>
          <w:color w:val="auto"/>
          <w:kern w:val="0"/>
          <w:szCs w:val="24"/>
          <w:highlight w:val="none"/>
        </w:rPr>
        <w:t>本理财产品将通过</w:t>
      </w:r>
      <w:r>
        <w:rPr>
          <w:rFonts w:hint="eastAsia" w:ascii="仿宋_GB2312" w:hAnsi="宋体" w:cs="宋体"/>
          <w:b/>
          <w:color w:val="auto"/>
          <w:kern w:val="0"/>
          <w:szCs w:val="24"/>
          <w:highlight w:val="none"/>
          <w:lang w:eastAsia="zh-CN"/>
        </w:rPr>
        <w:t>中国理财网、</w:t>
      </w:r>
      <w:r>
        <w:rPr>
          <w:rFonts w:hint="eastAsia" w:ascii="仿宋_GB2312" w:hAnsi="宋体" w:cs="宋体"/>
          <w:b/>
          <w:color w:val="auto"/>
          <w:kern w:val="0"/>
          <w:szCs w:val="24"/>
          <w:highlight w:val="none"/>
        </w:rPr>
        <w:t>产品管理人官方网站【</w:t>
      </w:r>
      <w:r>
        <w:rPr>
          <w:rFonts w:ascii="仿宋_GB2312" w:hAnsi="宋体" w:cs="宋体"/>
          <w:b/>
          <w:color w:val="auto"/>
          <w:kern w:val="0"/>
          <w:szCs w:val="24"/>
          <w:highlight w:val="none"/>
        </w:rPr>
        <w:t>www.czbank-wm.com</w:t>
      </w:r>
      <w:r>
        <w:rPr>
          <w:rFonts w:hint="eastAsia" w:ascii="仿宋_GB2312" w:hAnsi="宋体" w:cs="宋体"/>
          <w:b/>
          <w:color w:val="auto"/>
          <w:kern w:val="0"/>
          <w:szCs w:val="24"/>
          <w:highlight w:val="none"/>
        </w:rPr>
        <w:t>】、销售机构官方网站、个人手机银行或其他约定的方式等一种或多种渠道进行信息披露。相关信息自披露之日即视为已送达投资者，也视为产品管理人已适当披露理财产品相关信息。投资者应及时查看，以免因未及时获知信息而错过资金使用和再投资的机会。若由于投资者原因未能及时登陆产品管理人官方网站、销售机构信息披露渠道获取披露信息，所造成的后果将由投资者自行承担，产品管理人不承担相应责任。</w:t>
      </w:r>
    </w:p>
    <w:p w14:paraId="79D47D4C">
      <w:pPr>
        <w:pStyle w:val="3"/>
        <w:ind w:firstLine="482"/>
        <w:rPr>
          <w:color w:val="auto"/>
          <w:highlight w:val="none"/>
        </w:rPr>
      </w:pPr>
      <w:r>
        <w:rPr>
          <w:rFonts w:hint="eastAsia"/>
          <w:color w:val="auto"/>
          <w:highlight w:val="none"/>
        </w:rPr>
        <w:t>信息披露内容</w:t>
      </w:r>
    </w:p>
    <w:p w14:paraId="173D992B">
      <w:pPr>
        <w:widowControl/>
        <w:tabs>
          <w:tab w:val="left" w:pos="709"/>
        </w:tabs>
        <w:adjustRightInd w:val="0"/>
        <w:snapToGrid w:val="0"/>
        <w:spacing w:line="360" w:lineRule="auto"/>
        <w:ind w:firstLine="482" w:firstLineChars="200"/>
        <w:rPr>
          <w:rFonts w:ascii="仿宋_GB2312" w:hAnsi="宋体" w:cs="宋体"/>
          <w:b/>
          <w:color w:val="auto"/>
          <w:kern w:val="0"/>
          <w:szCs w:val="24"/>
          <w:highlight w:val="none"/>
        </w:rPr>
      </w:pPr>
      <w:r>
        <w:rPr>
          <w:rFonts w:hint="eastAsia" w:ascii="仿宋_GB2312" w:hAnsi="宋体" w:cs="宋体"/>
          <w:b/>
          <w:color w:val="auto"/>
          <w:kern w:val="0"/>
          <w:szCs w:val="24"/>
          <w:highlight w:val="none"/>
        </w:rPr>
        <w:t>1.产品类型、募集信息、产品净值、产品规模、收益情况；</w:t>
      </w:r>
    </w:p>
    <w:p w14:paraId="703E5773">
      <w:pPr>
        <w:widowControl/>
        <w:tabs>
          <w:tab w:val="left" w:pos="709"/>
        </w:tabs>
        <w:adjustRightInd w:val="0"/>
        <w:snapToGrid w:val="0"/>
        <w:spacing w:line="360" w:lineRule="auto"/>
        <w:ind w:firstLine="482" w:firstLineChars="200"/>
        <w:rPr>
          <w:rFonts w:ascii="仿宋_GB2312" w:hAnsi="宋体" w:cs="宋体"/>
          <w:b/>
          <w:color w:val="auto"/>
          <w:kern w:val="0"/>
          <w:szCs w:val="24"/>
          <w:highlight w:val="none"/>
        </w:rPr>
      </w:pPr>
      <w:r>
        <w:rPr>
          <w:rFonts w:hint="eastAsia" w:ascii="仿宋_GB2312" w:hAnsi="宋体" w:cs="宋体"/>
          <w:b/>
          <w:color w:val="auto"/>
          <w:kern w:val="0"/>
          <w:szCs w:val="24"/>
          <w:highlight w:val="none"/>
        </w:rPr>
        <w:t>2.产品直接和间接投资的资产种类、投资比例、</w:t>
      </w:r>
      <w:r>
        <w:rPr>
          <w:rFonts w:hint="eastAsia" w:ascii="仿宋_GB2312" w:hAnsi="宋体" w:cs="宋体"/>
          <w:b/>
          <w:color w:val="auto"/>
          <w:kern w:val="0"/>
          <w:szCs w:val="24"/>
          <w:highlight w:val="none"/>
          <w:lang w:val="zh-CN"/>
        </w:rPr>
        <w:t>前十项资产具体名称、规模和比例等信息、</w:t>
      </w:r>
      <w:r>
        <w:rPr>
          <w:rFonts w:hint="eastAsia" w:ascii="仿宋_GB2312" w:hAnsi="宋体" w:cs="宋体"/>
          <w:b/>
          <w:color w:val="auto"/>
          <w:kern w:val="0"/>
          <w:szCs w:val="24"/>
          <w:highlight w:val="none"/>
        </w:rPr>
        <w:t>杠杆水平以及流动性风险分析；</w:t>
      </w:r>
    </w:p>
    <w:p w14:paraId="6A7F637E">
      <w:pPr>
        <w:widowControl/>
        <w:tabs>
          <w:tab w:val="left" w:pos="709"/>
        </w:tabs>
        <w:adjustRightInd w:val="0"/>
        <w:snapToGrid w:val="0"/>
        <w:spacing w:line="360" w:lineRule="auto"/>
        <w:ind w:firstLine="482" w:firstLineChars="200"/>
        <w:rPr>
          <w:rFonts w:ascii="仿宋_GB2312" w:hAnsi="宋体" w:cs="宋体"/>
          <w:b/>
          <w:color w:val="auto"/>
          <w:kern w:val="0"/>
          <w:szCs w:val="24"/>
          <w:highlight w:val="none"/>
        </w:rPr>
      </w:pPr>
      <w:r>
        <w:rPr>
          <w:rFonts w:hint="eastAsia" w:ascii="仿宋_GB2312" w:hAnsi="宋体" w:cs="宋体"/>
          <w:b/>
          <w:color w:val="auto"/>
          <w:kern w:val="0"/>
          <w:szCs w:val="24"/>
          <w:highlight w:val="none"/>
        </w:rPr>
        <w:t>3.产品估值方法、托管安排；</w:t>
      </w:r>
    </w:p>
    <w:p w14:paraId="4A17CD51">
      <w:pPr>
        <w:widowControl/>
        <w:tabs>
          <w:tab w:val="left" w:pos="709"/>
        </w:tabs>
        <w:adjustRightInd w:val="0"/>
        <w:snapToGrid w:val="0"/>
        <w:spacing w:line="360" w:lineRule="auto"/>
        <w:ind w:firstLine="482" w:firstLineChars="200"/>
        <w:rPr>
          <w:rFonts w:ascii="仿宋_GB2312" w:hAnsi="宋体" w:cs="宋体"/>
          <w:b/>
          <w:color w:val="auto"/>
          <w:kern w:val="0"/>
          <w:szCs w:val="24"/>
          <w:highlight w:val="none"/>
        </w:rPr>
      </w:pPr>
      <w:r>
        <w:rPr>
          <w:rFonts w:hint="eastAsia" w:ascii="仿宋_GB2312" w:hAnsi="宋体" w:cs="宋体"/>
          <w:b/>
          <w:color w:val="auto"/>
          <w:kern w:val="0"/>
          <w:szCs w:val="24"/>
          <w:highlight w:val="none"/>
        </w:rPr>
        <w:t>4.产品收益分配、各项费用情况及主要投资风险；</w:t>
      </w:r>
    </w:p>
    <w:p w14:paraId="3EF16919">
      <w:pPr>
        <w:widowControl/>
        <w:tabs>
          <w:tab w:val="left" w:pos="709"/>
        </w:tabs>
        <w:adjustRightInd w:val="0"/>
        <w:snapToGrid w:val="0"/>
        <w:spacing w:line="360" w:lineRule="auto"/>
        <w:ind w:firstLine="482" w:firstLineChars="200"/>
        <w:rPr>
          <w:rFonts w:ascii="仿宋_GB2312" w:hAnsi="宋体" w:cs="宋体"/>
          <w:b/>
          <w:color w:val="auto"/>
          <w:kern w:val="0"/>
          <w:szCs w:val="24"/>
          <w:highlight w:val="none"/>
        </w:rPr>
      </w:pPr>
      <w:r>
        <w:rPr>
          <w:rFonts w:hint="eastAsia" w:ascii="仿宋_GB2312" w:hAnsi="宋体" w:cs="宋体"/>
          <w:b/>
          <w:color w:val="auto"/>
          <w:kern w:val="0"/>
          <w:szCs w:val="24"/>
          <w:highlight w:val="none"/>
        </w:rPr>
        <w:t>5.如本理财产品投资于理财产品管理人或托管机构的主要股东、实际控制人、一致行动人、最终受益人，托管机构，同一股东或托管机构控股的机构，或者与理财产品管理人或托管机构有重大利害关系的机构，以及国家金融监督管理机构关于关联交易管理相关规定中涉及的其他关联方发行或承销的证券、发行的资产管理产品，或者从事其他关联交易的，应当在理财产品管理人官方网站或者行业统一渠道披露关联交易信息，在理财产品管理人年报中披露当年关联交易总体情况，并应向投资者充分披露。</w:t>
      </w:r>
    </w:p>
    <w:p w14:paraId="073D1DEA">
      <w:pPr>
        <w:widowControl/>
        <w:tabs>
          <w:tab w:val="left" w:pos="709"/>
        </w:tabs>
        <w:adjustRightInd w:val="0"/>
        <w:snapToGrid w:val="0"/>
        <w:spacing w:line="360" w:lineRule="auto"/>
        <w:ind w:firstLine="482" w:firstLineChars="200"/>
        <w:rPr>
          <w:rFonts w:ascii="仿宋_GB2312" w:hAnsi="宋体" w:cs="宋体"/>
          <w:b/>
          <w:color w:val="auto"/>
          <w:kern w:val="0"/>
          <w:szCs w:val="24"/>
          <w:highlight w:val="none"/>
        </w:rPr>
      </w:pPr>
      <w:r>
        <w:rPr>
          <w:rFonts w:ascii="仿宋_GB2312" w:hAnsi="宋体" w:cs="宋体"/>
          <w:b/>
          <w:color w:val="auto"/>
          <w:kern w:val="0"/>
          <w:szCs w:val="24"/>
          <w:highlight w:val="none"/>
        </w:rPr>
        <w:t>6</w:t>
      </w:r>
      <w:r>
        <w:rPr>
          <w:rFonts w:hint="eastAsia" w:ascii="仿宋_GB2312" w:hAnsi="宋体" w:cs="宋体"/>
          <w:b/>
          <w:color w:val="auto"/>
          <w:kern w:val="0"/>
          <w:szCs w:val="24"/>
          <w:highlight w:val="none"/>
        </w:rPr>
        <w:t>.其他影响本产品投资运作的重大事项、突发事件、临时性信息披露等。</w:t>
      </w:r>
    </w:p>
    <w:p w14:paraId="37DC6A45">
      <w:pPr>
        <w:pStyle w:val="3"/>
        <w:ind w:firstLine="482"/>
        <w:rPr>
          <w:color w:val="auto"/>
          <w:highlight w:val="none"/>
        </w:rPr>
      </w:pPr>
      <w:r>
        <w:rPr>
          <w:rFonts w:hint="eastAsia"/>
          <w:color w:val="auto"/>
          <w:highlight w:val="none"/>
        </w:rPr>
        <w:t>信息披露频率</w:t>
      </w:r>
    </w:p>
    <w:p w14:paraId="0E58151C">
      <w:pPr>
        <w:widowControl/>
        <w:tabs>
          <w:tab w:val="left" w:pos="709"/>
        </w:tabs>
        <w:adjustRightInd w:val="0"/>
        <w:snapToGrid w:val="0"/>
        <w:spacing w:line="360" w:lineRule="auto"/>
        <w:ind w:firstLine="480" w:firstLineChars="200"/>
        <w:rPr>
          <w:rFonts w:ascii="仿宋_GB2312" w:hAnsi="宋体" w:cs="宋体"/>
          <w:color w:val="auto"/>
          <w:kern w:val="0"/>
          <w:szCs w:val="24"/>
          <w:highlight w:val="none"/>
        </w:rPr>
      </w:pPr>
      <w:r>
        <w:rPr>
          <w:rFonts w:ascii="仿宋_GB2312" w:hAnsi="宋体" w:cs="宋体"/>
          <w:color w:val="auto"/>
          <w:kern w:val="0"/>
          <w:szCs w:val="24"/>
          <w:highlight w:val="none"/>
        </w:rPr>
        <w:t>1.发行公告：本产品成立后5个工作日（含）内，将发布本理财产品成立公告；如</w:t>
      </w:r>
      <w:r>
        <w:rPr>
          <w:rFonts w:hint="eastAsia" w:ascii="仿宋_GB2312" w:hAnsi="宋体" w:cs="宋体"/>
          <w:color w:val="auto"/>
          <w:kern w:val="0"/>
          <w:szCs w:val="24"/>
          <w:highlight w:val="none"/>
        </w:rPr>
        <w:t>产品</w:t>
      </w:r>
      <w:r>
        <w:rPr>
          <w:rFonts w:ascii="仿宋_GB2312" w:hAnsi="宋体" w:cs="宋体"/>
          <w:color w:val="auto"/>
          <w:kern w:val="0"/>
          <w:szCs w:val="24"/>
          <w:highlight w:val="none"/>
        </w:rPr>
        <w:t>管理人决定本理财产品募集期延长，将于原定成立日前发布理财产品募集期延长公告；</w:t>
      </w:r>
      <w:r>
        <w:rPr>
          <w:rFonts w:hint="eastAsia" w:ascii="仿宋_GB2312" w:hAnsi="宋体" w:cs="宋体"/>
          <w:color w:val="auto"/>
          <w:kern w:val="0"/>
          <w:szCs w:val="24"/>
          <w:highlight w:val="none"/>
        </w:rPr>
        <w:t>产品</w:t>
      </w:r>
      <w:r>
        <w:rPr>
          <w:rFonts w:ascii="仿宋_GB2312" w:hAnsi="宋体" w:cs="宋体"/>
          <w:color w:val="auto"/>
          <w:kern w:val="0"/>
          <w:szCs w:val="24"/>
          <w:highlight w:val="none"/>
        </w:rPr>
        <w:t>管理人决定本理财产品不成立，将在理财产品原定成立日后的2个工作日（含）内发布理财产品不成立公告。</w:t>
      </w:r>
    </w:p>
    <w:p w14:paraId="459C5954">
      <w:pPr>
        <w:widowControl/>
        <w:numPr>
          <w:ilvl w:val="0"/>
          <w:numId w:val="0"/>
        </w:numPr>
        <w:tabs>
          <w:tab w:val="left" w:pos="1261"/>
        </w:tabs>
        <w:adjustRightInd w:val="0"/>
        <w:snapToGrid w:val="0"/>
        <w:spacing w:line="360" w:lineRule="auto"/>
        <w:ind w:firstLine="480" w:firstLineChars="200"/>
        <w:rPr>
          <w:rFonts w:hint="eastAsia" w:ascii="仿宋_GB2312" w:hAnsi="宋体" w:cs="宋体"/>
          <w:color w:val="auto"/>
          <w:kern w:val="0"/>
          <w:szCs w:val="24"/>
          <w:highlight w:val="none"/>
          <w:u w:val="none"/>
        </w:rPr>
      </w:pPr>
      <w:r>
        <w:rPr>
          <w:rFonts w:ascii="仿宋_GB2312" w:hAnsi="宋体" w:cs="宋体"/>
          <w:color w:val="auto"/>
          <w:kern w:val="0"/>
          <w:szCs w:val="24"/>
          <w:highlight w:val="none"/>
          <w:u w:val="none"/>
        </w:rPr>
        <w:t>2.定期公告：本产品在</w:t>
      </w:r>
      <w:r>
        <w:rPr>
          <w:rFonts w:hint="eastAsia" w:ascii="仿宋_GB2312" w:hAnsi="宋体" w:cs="宋体"/>
          <w:color w:val="auto"/>
          <w:kern w:val="0"/>
          <w:szCs w:val="24"/>
          <w:highlight w:val="none"/>
          <w:u w:val="none"/>
        </w:rPr>
        <w:t>每个季度结束之日起十五个工作日内披露产品的季度报告，每年8月31日前披露产品的半年度报告，每年4月30日前披露产品上一年度的年度报告。产品成立不足</w:t>
      </w:r>
      <w:r>
        <w:rPr>
          <w:rFonts w:ascii="仿宋_GB2312" w:hAnsi="宋体" w:cs="宋体"/>
          <w:color w:val="auto"/>
          <w:kern w:val="0"/>
          <w:szCs w:val="24"/>
          <w:highlight w:val="none"/>
          <w:u w:val="none"/>
        </w:rPr>
        <w:t>90</w:t>
      </w:r>
      <w:r>
        <w:rPr>
          <w:rFonts w:hint="eastAsia" w:ascii="仿宋_GB2312" w:hAnsi="宋体" w:cs="宋体"/>
          <w:color w:val="auto"/>
          <w:kern w:val="0"/>
          <w:szCs w:val="24"/>
          <w:highlight w:val="none"/>
          <w:u w:val="none"/>
        </w:rPr>
        <w:t>个</w:t>
      </w:r>
      <w:r>
        <w:rPr>
          <w:rFonts w:hint="eastAsia" w:ascii="仿宋_GB2312" w:hAnsi="宋体" w:cs="宋体"/>
          <w:color w:val="auto"/>
          <w:kern w:val="0"/>
          <w:szCs w:val="24"/>
          <w:highlight w:val="none"/>
          <w:u w:val="none"/>
          <w:lang w:eastAsia="zh-CN"/>
        </w:rPr>
        <w:t>自然日</w:t>
      </w:r>
      <w:r>
        <w:rPr>
          <w:rFonts w:hint="eastAsia" w:ascii="仿宋_GB2312" w:hAnsi="宋体" w:cs="宋体"/>
          <w:color w:val="auto"/>
          <w:kern w:val="0"/>
          <w:szCs w:val="24"/>
          <w:highlight w:val="none"/>
          <w:u w:val="none"/>
        </w:rPr>
        <w:t>或者</w:t>
      </w:r>
      <w:r>
        <w:rPr>
          <w:rFonts w:hint="eastAsia" w:ascii="仿宋_GB2312"/>
          <w:color w:val="auto"/>
          <w:szCs w:val="32"/>
          <w:highlight w:val="none"/>
        </w:rPr>
        <w:t>理财产品剩余存续期不足完整报告期，且到期公告或清算报告包括对应定期报告内容的</w:t>
      </w:r>
      <w:r>
        <w:rPr>
          <w:rFonts w:hint="eastAsia" w:ascii="仿宋_GB2312" w:hAnsi="宋体" w:cs="宋体"/>
          <w:color w:val="auto"/>
          <w:kern w:val="0"/>
          <w:szCs w:val="24"/>
          <w:highlight w:val="none"/>
          <w:u w:val="none"/>
        </w:rPr>
        <w:t>，</w:t>
      </w:r>
      <w:r>
        <w:rPr>
          <w:rFonts w:hint="eastAsia" w:ascii="仿宋_GB2312" w:hAnsi="宋体" w:cs="宋体"/>
          <w:color w:val="auto"/>
          <w:kern w:val="0"/>
          <w:szCs w:val="24"/>
          <w:highlight w:val="none"/>
          <w:u w:val="none"/>
          <w:lang w:val="en-US" w:eastAsia="zh-CN"/>
        </w:rPr>
        <w:t>可</w:t>
      </w:r>
      <w:r>
        <w:rPr>
          <w:rFonts w:hint="eastAsia" w:ascii="仿宋_GB2312" w:hAnsi="宋体" w:cs="宋体"/>
          <w:color w:val="auto"/>
          <w:kern w:val="0"/>
          <w:szCs w:val="24"/>
          <w:highlight w:val="none"/>
          <w:u w:val="none"/>
        </w:rPr>
        <w:t>不编制本产品当期的季度、半年和年度报告。</w:t>
      </w:r>
    </w:p>
    <w:p w14:paraId="68C761E4">
      <w:pPr>
        <w:widowControl/>
        <w:tabs>
          <w:tab w:val="left" w:pos="709"/>
        </w:tabs>
        <w:adjustRightInd w:val="0"/>
        <w:snapToGrid w:val="0"/>
        <w:spacing w:line="360" w:lineRule="auto"/>
        <w:ind w:firstLine="480" w:firstLineChars="200"/>
        <w:rPr>
          <w:rFonts w:ascii="仿宋_GB2312" w:hAnsi="宋体" w:cs="宋体"/>
          <w:color w:val="auto"/>
          <w:kern w:val="0"/>
          <w:szCs w:val="24"/>
          <w:highlight w:val="none"/>
          <w:u w:val="none"/>
        </w:rPr>
      </w:pPr>
      <w:r>
        <w:rPr>
          <w:rFonts w:ascii="仿宋_GB2312" w:hAnsi="宋体" w:cs="宋体"/>
          <w:color w:val="auto"/>
          <w:kern w:val="0"/>
          <w:szCs w:val="24"/>
          <w:highlight w:val="none"/>
          <w:u w:val="none"/>
        </w:rPr>
        <w:t>3.到期公告：本产品在终止后5</w:t>
      </w:r>
      <w:r>
        <w:rPr>
          <w:rFonts w:hint="eastAsia" w:ascii="仿宋_GB2312" w:hAnsi="宋体" w:cs="宋体"/>
          <w:color w:val="auto"/>
          <w:kern w:val="0"/>
          <w:szCs w:val="24"/>
          <w:highlight w:val="none"/>
          <w:u w:val="none"/>
        </w:rPr>
        <w:t>个工作日内，披露本产品到期公告，包括理财产品的存续期限、终止日期、收费情况和收益分配情况等信息。本产品终止后5个工作日内，产品管理人发布产品到期公告。</w:t>
      </w:r>
    </w:p>
    <w:p w14:paraId="32A83160">
      <w:pPr>
        <w:widowControl/>
        <w:tabs>
          <w:tab w:val="left" w:pos="709"/>
        </w:tabs>
        <w:adjustRightInd w:val="0"/>
        <w:snapToGrid w:val="0"/>
        <w:spacing w:line="360" w:lineRule="auto"/>
        <w:ind w:firstLine="480" w:firstLineChars="200"/>
        <w:rPr>
          <w:rFonts w:ascii="仿宋_GB2312" w:hAnsi="宋体" w:cs="宋体"/>
          <w:color w:val="auto"/>
          <w:kern w:val="0"/>
          <w:szCs w:val="24"/>
          <w:highlight w:val="none"/>
        </w:rPr>
      </w:pPr>
      <w:r>
        <w:rPr>
          <w:rFonts w:hint="eastAsia" w:ascii="仿宋_GB2312" w:hAnsi="宋体" w:cs="宋体"/>
          <w:color w:val="auto"/>
          <w:kern w:val="0"/>
          <w:szCs w:val="24"/>
          <w:highlight w:val="none"/>
        </w:rPr>
        <w:t>如果产品管理人提前或</w:t>
      </w:r>
      <w:r>
        <w:rPr>
          <w:rFonts w:ascii="仿宋_GB2312" w:hAnsi="宋体" w:cs="宋体"/>
          <w:color w:val="auto"/>
          <w:kern w:val="0"/>
          <w:szCs w:val="24"/>
          <w:highlight w:val="none"/>
        </w:rPr>
        <w:t>延后</w:t>
      </w:r>
      <w:r>
        <w:rPr>
          <w:rFonts w:hint="eastAsia" w:ascii="仿宋_GB2312" w:hAnsi="宋体" w:cs="宋体"/>
          <w:color w:val="auto"/>
          <w:kern w:val="0"/>
          <w:szCs w:val="24"/>
          <w:highlight w:val="none"/>
        </w:rPr>
        <w:t>终止本产品，产品管理人将提前</w:t>
      </w:r>
      <w:r>
        <w:rPr>
          <w:rFonts w:hint="eastAsia" w:ascii="仿宋_GB2312" w:hAnsi="宋体" w:cs="宋体"/>
          <w:color w:val="auto"/>
          <w:kern w:val="0"/>
          <w:szCs w:val="24"/>
          <w:highlight w:val="none"/>
          <w:lang w:val="en-US" w:eastAsia="zh-CN"/>
        </w:rPr>
        <w:t>1</w:t>
      </w:r>
      <w:r>
        <w:rPr>
          <w:rFonts w:hint="eastAsia" w:ascii="仿宋_GB2312" w:hAnsi="宋体" w:cs="宋体"/>
          <w:color w:val="auto"/>
          <w:kern w:val="0"/>
          <w:szCs w:val="24"/>
          <w:highlight w:val="none"/>
        </w:rPr>
        <w:t>个工作日进行公告。</w:t>
      </w:r>
    </w:p>
    <w:p w14:paraId="5A4C9D76">
      <w:pPr>
        <w:widowControl/>
        <w:tabs>
          <w:tab w:val="left" w:pos="709"/>
        </w:tabs>
        <w:adjustRightInd w:val="0"/>
        <w:snapToGrid w:val="0"/>
        <w:spacing w:line="360" w:lineRule="auto"/>
        <w:ind w:firstLine="480" w:firstLineChars="200"/>
        <w:rPr>
          <w:rFonts w:ascii="仿宋_GB2312" w:hAnsi="宋体" w:cs="宋体"/>
          <w:color w:val="auto"/>
          <w:kern w:val="0"/>
          <w:szCs w:val="24"/>
          <w:highlight w:val="none"/>
        </w:rPr>
      </w:pPr>
      <w:r>
        <w:rPr>
          <w:rFonts w:ascii="仿宋_GB2312" w:hAnsi="宋体" w:cs="宋体"/>
          <w:color w:val="auto"/>
          <w:kern w:val="0"/>
          <w:szCs w:val="24"/>
          <w:highlight w:val="none"/>
        </w:rPr>
        <w:t>4.产品</w:t>
      </w:r>
      <w:r>
        <w:rPr>
          <w:rFonts w:hint="eastAsia" w:ascii="仿宋_GB2312" w:hAnsi="宋体" w:cs="宋体"/>
          <w:color w:val="auto"/>
          <w:kern w:val="0"/>
          <w:szCs w:val="24"/>
          <w:highlight w:val="none"/>
        </w:rPr>
        <w:t>估值日公告：本产品存续期内，</w:t>
      </w:r>
      <w:r>
        <w:rPr>
          <w:rFonts w:hint="eastAsia" w:ascii="仿宋_GB2312" w:hAnsi="宋体" w:cs="宋体"/>
          <w:b/>
          <w:color w:val="auto"/>
          <w:kern w:val="0"/>
          <w:szCs w:val="24"/>
          <w:highlight w:val="none"/>
        </w:rPr>
        <w:t>每【周】</w:t>
      </w:r>
      <w:r>
        <w:rPr>
          <w:rFonts w:hint="eastAsia" w:ascii="仿宋_GB2312" w:hAnsi="宋体" w:cs="宋体"/>
          <w:color w:val="auto"/>
          <w:kern w:val="0"/>
          <w:szCs w:val="24"/>
          <w:highlight w:val="none"/>
        </w:rPr>
        <w:t>向投资者披露一次估值日公告</w:t>
      </w:r>
      <w:r>
        <w:rPr>
          <w:rFonts w:ascii="宋体" w:hAnsi="宋体"/>
          <w:b/>
          <w:color w:val="auto"/>
          <w:szCs w:val="24"/>
          <w:highlight w:val="none"/>
        </w:rPr>
        <w:t>(如遇特殊情况以产品管理人</w:t>
      </w:r>
      <w:r>
        <w:rPr>
          <w:rFonts w:hint="eastAsia" w:ascii="宋体" w:hAnsi="宋体"/>
          <w:b/>
          <w:color w:val="auto"/>
          <w:szCs w:val="24"/>
          <w:highlight w:val="none"/>
        </w:rPr>
        <w:t>披露</w:t>
      </w:r>
      <w:r>
        <w:rPr>
          <w:rFonts w:ascii="宋体" w:hAnsi="宋体"/>
          <w:b/>
          <w:color w:val="auto"/>
          <w:szCs w:val="24"/>
          <w:highlight w:val="none"/>
        </w:rPr>
        <w:t>为准)</w:t>
      </w:r>
      <w:r>
        <w:rPr>
          <w:rFonts w:hint="eastAsia" w:ascii="仿宋_GB2312" w:hAnsi="宋体" w:cs="宋体"/>
          <w:color w:val="auto"/>
          <w:kern w:val="0"/>
          <w:szCs w:val="24"/>
          <w:highlight w:val="none"/>
        </w:rPr>
        <w:t>，估值日公告披露的内容包括估值日的产品份额净值、产品份额累计净值等。如遇法定节假日顺延。如遇产品到期日、季度末、半年度末、年度末等时间节点，产品管理人将增加估值日。此外，如遇其他特殊情况，以产品管理人信息披露为准。</w:t>
      </w:r>
    </w:p>
    <w:p w14:paraId="6D5D445A">
      <w:pPr>
        <w:widowControl/>
        <w:tabs>
          <w:tab w:val="left" w:pos="709"/>
        </w:tabs>
        <w:adjustRightInd w:val="0"/>
        <w:snapToGrid w:val="0"/>
        <w:spacing w:line="360" w:lineRule="auto"/>
        <w:ind w:firstLine="480" w:firstLineChars="200"/>
        <w:rPr>
          <w:rFonts w:ascii="仿宋_GB2312" w:hAnsi="宋体" w:cs="宋体"/>
          <w:color w:val="auto"/>
          <w:kern w:val="0"/>
          <w:szCs w:val="24"/>
          <w:highlight w:val="none"/>
          <w:u w:val="none"/>
        </w:rPr>
      </w:pPr>
      <w:r>
        <w:rPr>
          <w:rFonts w:hint="eastAsia" w:ascii="仿宋_GB2312" w:hAnsi="宋体" w:cs="宋体"/>
          <w:color w:val="auto"/>
          <w:kern w:val="0"/>
          <w:szCs w:val="24"/>
          <w:highlight w:val="none"/>
          <w:u w:val="none"/>
          <w:lang w:val="en-US" w:eastAsia="zh-CN"/>
        </w:rPr>
        <w:t>5</w:t>
      </w:r>
      <w:r>
        <w:rPr>
          <w:rFonts w:ascii="仿宋_GB2312" w:hAnsi="宋体" w:cs="宋体"/>
          <w:color w:val="auto"/>
          <w:kern w:val="0"/>
          <w:szCs w:val="24"/>
          <w:highlight w:val="none"/>
          <w:u w:val="none"/>
        </w:rPr>
        <w:t>.</w:t>
      </w:r>
      <w:r>
        <w:rPr>
          <w:rFonts w:hint="eastAsia" w:ascii="仿宋_GB2312" w:hAnsi="宋体" w:cs="宋体"/>
          <w:color w:val="auto"/>
          <w:kern w:val="0"/>
          <w:szCs w:val="24"/>
          <w:highlight w:val="none"/>
          <w:u w:val="none"/>
        </w:rPr>
        <w:t>产品临时公告</w:t>
      </w:r>
    </w:p>
    <w:p w14:paraId="69ED87C3">
      <w:pPr>
        <w:widowControl/>
        <w:tabs>
          <w:tab w:val="left" w:pos="709"/>
        </w:tabs>
        <w:adjustRightInd w:val="0"/>
        <w:snapToGrid w:val="0"/>
        <w:spacing w:line="360" w:lineRule="auto"/>
        <w:ind w:firstLine="480" w:firstLineChars="200"/>
        <w:rPr>
          <w:rFonts w:hint="eastAsia" w:ascii="仿宋_GB2312" w:hAnsi="宋体" w:cs="宋体"/>
          <w:color w:val="auto"/>
          <w:kern w:val="0"/>
          <w:szCs w:val="24"/>
          <w:highlight w:val="none"/>
          <w:u w:val="none"/>
        </w:rPr>
      </w:pPr>
      <w:r>
        <w:rPr>
          <w:rFonts w:hint="eastAsia" w:ascii="仿宋_GB2312" w:hAnsi="宋体" w:cs="宋体"/>
          <w:color w:val="auto"/>
          <w:kern w:val="0"/>
          <w:szCs w:val="24"/>
          <w:highlight w:val="none"/>
          <w:u w:val="none"/>
        </w:rPr>
        <w:t>（</w:t>
      </w:r>
      <w:r>
        <w:rPr>
          <w:rFonts w:ascii="仿宋_GB2312" w:hAnsi="宋体" w:cs="宋体"/>
          <w:color w:val="auto"/>
          <w:kern w:val="0"/>
          <w:szCs w:val="24"/>
          <w:highlight w:val="none"/>
          <w:u w:val="none"/>
        </w:rPr>
        <w:t>1</w:t>
      </w:r>
      <w:r>
        <w:rPr>
          <w:rFonts w:hint="eastAsia" w:ascii="仿宋_GB2312" w:hAnsi="宋体" w:cs="宋体"/>
          <w:color w:val="auto"/>
          <w:kern w:val="0"/>
          <w:szCs w:val="24"/>
          <w:highlight w:val="none"/>
          <w:u w:val="none"/>
        </w:rPr>
        <w:t>）产品管理人对产品类型、投资范围、资产种类、投资比例、风险等级、产品期限、运作方式、认（申）购和赎回安排（包含认购或申购赎回时间、金额上下限等）、估值方法、收益分配安排</w:t>
      </w:r>
      <w:r>
        <w:rPr>
          <w:rFonts w:hint="eastAsia" w:ascii="仿宋_GB2312" w:hAnsi="宋体" w:cs="宋体"/>
          <w:color w:val="auto"/>
          <w:kern w:val="0"/>
          <w:szCs w:val="24"/>
          <w:highlight w:val="none"/>
          <w:u w:val="none"/>
          <w:lang w:eastAsia="zh-CN"/>
        </w:rPr>
        <w:t>、</w:t>
      </w:r>
      <w:r>
        <w:rPr>
          <w:rFonts w:hint="eastAsia" w:ascii="仿宋_GB2312"/>
          <w:color w:val="auto"/>
          <w:szCs w:val="32"/>
          <w:highlight w:val="none"/>
        </w:rPr>
        <w:t>份额类别</w:t>
      </w:r>
      <w:r>
        <w:rPr>
          <w:rFonts w:hint="eastAsia" w:ascii="仿宋_GB2312"/>
          <w:color w:val="auto"/>
          <w:szCs w:val="32"/>
          <w:highlight w:val="none"/>
          <w:lang w:eastAsia="zh-CN"/>
        </w:rPr>
        <w:t>、</w:t>
      </w:r>
      <w:r>
        <w:rPr>
          <w:rFonts w:hint="eastAsia" w:ascii="仿宋_GB2312" w:hAnsi="宋体" w:cs="宋体"/>
          <w:color w:val="auto"/>
          <w:kern w:val="0"/>
          <w:szCs w:val="24"/>
          <w:highlight w:val="none"/>
          <w:u w:val="none"/>
        </w:rPr>
        <w:t>收费项目、收费条件、收费标准、收费方式</w:t>
      </w:r>
      <w:r>
        <w:rPr>
          <w:rFonts w:hint="eastAsia" w:ascii="仿宋_GB2312" w:hAnsi="宋体" w:cs="宋体"/>
          <w:color w:val="auto"/>
          <w:kern w:val="0"/>
          <w:szCs w:val="24"/>
          <w:highlight w:val="none"/>
          <w:u w:val="none"/>
          <w:lang w:eastAsia="zh-CN"/>
        </w:rPr>
        <w:t>、费用优惠措施</w:t>
      </w:r>
      <w:r>
        <w:rPr>
          <w:rFonts w:hint="eastAsia" w:ascii="仿宋_GB2312" w:hAnsi="宋体" w:cs="宋体"/>
          <w:color w:val="auto"/>
          <w:kern w:val="0"/>
          <w:szCs w:val="24"/>
          <w:highlight w:val="none"/>
          <w:u w:val="none"/>
        </w:rPr>
        <w:t>等保留调整的权利，如发生调整，调整后的要素以产品管理人发布的公告中所载明的内容为准。产品管理人将提前</w:t>
      </w:r>
      <w:r>
        <w:rPr>
          <w:rFonts w:hint="eastAsia" w:ascii="仿宋_GB2312" w:hAnsi="宋体" w:cs="宋体"/>
          <w:color w:val="auto"/>
          <w:kern w:val="0"/>
          <w:szCs w:val="24"/>
          <w:highlight w:val="none"/>
          <w:u w:val="none"/>
          <w:lang w:val="en-US" w:eastAsia="zh-CN"/>
        </w:rPr>
        <w:t>1</w:t>
      </w:r>
      <w:r>
        <w:rPr>
          <w:rFonts w:hint="eastAsia" w:ascii="仿宋_GB2312" w:hAnsi="宋体" w:cs="宋体"/>
          <w:color w:val="auto"/>
          <w:kern w:val="0"/>
          <w:szCs w:val="24"/>
          <w:highlight w:val="none"/>
          <w:u w:val="none"/>
        </w:rPr>
        <w:t>个工作日发布公告。</w:t>
      </w:r>
    </w:p>
    <w:p w14:paraId="6090506D">
      <w:pPr>
        <w:widowControl/>
        <w:tabs>
          <w:tab w:val="left" w:pos="709"/>
        </w:tabs>
        <w:adjustRightInd w:val="0"/>
        <w:snapToGrid w:val="0"/>
        <w:spacing w:line="360" w:lineRule="auto"/>
        <w:ind w:firstLine="482" w:firstLineChars="200"/>
        <w:rPr>
          <w:rFonts w:ascii="仿宋_GB2312" w:hAnsi="宋体" w:cs="宋体"/>
          <w:b/>
          <w:bCs/>
          <w:color w:val="auto"/>
          <w:kern w:val="0"/>
          <w:szCs w:val="24"/>
          <w:highlight w:val="none"/>
          <w:u w:val="none"/>
        </w:rPr>
      </w:pPr>
      <w:r>
        <w:rPr>
          <w:rFonts w:hint="eastAsia" w:ascii="仿宋_GB2312" w:hAnsi="宋体" w:cs="宋体"/>
          <w:b/>
          <w:bCs/>
          <w:color w:val="auto"/>
          <w:kern w:val="0"/>
          <w:szCs w:val="24"/>
          <w:highlight w:val="none"/>
          <w:u w:val="none"/>
        </w:rPr>
        <w:t>（</w:t>
      </w:r>
      <w:r>
        <w:rPr>
          <w:rFonts w:ascii="仿宋_GB2312" w:hAnsi="宋体" w:cs="宋体"/>
          <w:b/>
          <w:bCs/>
          <w:color w:val="auto"/>
          <w:kern w:val="0"/>
          <w:szCs w:val="24"/>
          <w:highlight w:val="none"/>
          <w:u w:val="none"/>
        </w:rPr>
        <w:t>2）在发生产品管理人拒绝或暂停接受投资者认购/申购申请、</w:t>
      </w:r>
      <w:r>
        <w:rPr>
          <w:rFonts w:hint="eastAsia" w:ascii="仿宋_GB2312" w:hAnsi="宋体" w:cs="宋体"/>
          <w:b/>
          <w:bCs/>
          <w:color w:val="auto"/>
          <w:kern w:val="0"/>
          <w:szCs w:val="24"/>
          <w:highlight w:val="none"/>
          <w:u w:val="none"/>
        </w:rPr>
        <w:t>延期办理巨额赎回申请、</w:t>
      </w:r>
      <w:r>
        <w:rPr>
          <w:rFonts w:ascii="仿宋_GB2312" w:hAnsi="宋体" w:cs="宋体"/>
          <w:b/>
          <w:bCs/>
          <w:color w:val="auto"/>
          <w:kern w:val="0"/>
          <w:szCs w:val="24"/>
          <w:highlight w:val="none"/>
          <w:u w:val="none"/>
        </w:rPr>
        <w:t>暂停接受投资者赎回申请、延缓支付赎回款项、暂停理财产品估值、</w:t>
      </w:r>
      <w:r>
        <w:rPr>
          <w:rFonts w:hint="eastAsia" w:ascii="仿宋_GB2312" w:hAnsi="宋体" w:cs="宋体"/>
          <w:b/>
          <w:bCs/>
          <w:color w:val="auto"/>
          <w:kern w:val="0"/>
          <w:szCs w:val="24"/>
          <w:highlight w:val="none"/>
          <w:u w:val="none"/>
          <w:lang w:eastAsia="zh-CN"/>
        </w:rPr>
        <w:t>收取短期赎回费、</w:t>
      </w:r>
      <w:r>
        <w:rPr>
          <w:rFonts w:ascii="仿宋_GB2312" w:hAnsi="宋体" w:cs="宋体"/>
          <w:b/>
          <w:bCs/>
          <w:color w:val="auto"/>
          <w:kern w:val="0"/>
          <w:szCs w:val="24"/>
          <w:highlight w:val="none"/>
          <w:u w:val="none"/>
        </w:rPr>
        <w:t>采用摆动定价等情形时，产品管理人将于</w:t>
      </w:r>
      <w:r>
        <w:rPr>
          <w:rFonts w:hint="eastAsia" w:ascii="仿宋_GB2312" w:hAnsi="宋体" w:cs="宋体"/>
          <w:b/>
          <w:bCs/>
          <w:color w:val="auto"/>
          <w:kern w:val="0"/>
          <w:szCs w:val="24"/>
          <w:highlight w:val="none"/>
          <w:u w:val="none"/>
        </w:rPr>
        <w:t>情形发生</w:t>
      </w:r>
      <w:r>
        <w:rPr>
          <w:rFonts w:hint="eastAsia" w:ascii="仿宋_GB2312" w:hAnsi="宋体" w:cs="宋体"/>
          <w:b/>
          <w:bCs/>
          <w:color w:val="auto"/>
          <w:kern w:val="0"/>
          <w:szCs w:val="24"/>
          <w:highlight w:val="none"/>
          <w:u w:val="none"/>
          <w:lang w:val="en-US" w:eastAsia="zh-CN"/>
        </w:rPr>
        <w:t>后</w:t>
      </w:r>
      <w:r>
        <w:rPr>
          <w:rFonts w:ascii="仿宋_GB2312" w:hAnsi="宋体" w:cs="宋体"/>
          <w:b/>
          <w:bCs/>
          <w:color w:val="auto"/>
          <w:kern w:val="0"/>
          <w:szCs w:val="24"/>
          <w:highlight w:val="none"/>
          <w:u w:val="none"/>
        </w:rPr>
        <w:t>3</w:t>
      </w:r>
      <w:r>
        <w:rPr>
          <w:rFonts w:hint="eastAsia" w:ascii="仿宋_GB2312" w:hAnsi="宋体" w:cs="宋体"/>
          <w:b/>
          <w:bCs/>
          <w:color w:val="auto"/>
          <w:kern w:val="0"/>
          <w:szCs w:val="24"/>
          <w:highlight w:val="none"/>
          <w:u w:val="none"/>
        </w:rPr>
        <w:t>个</w:t>
      </w:r>
      <w:r>
        <w:rPr>
          <w:rFonts w:hint="eastAsia" w:ascii="仿宋_GB2312" w:hAnsi="宋体" w:cs="宋体"/>
          <w:b/>
          <w:bCs/>
          <w:color w:val="auto"/>
          <w:kern w:val="0"/>
          <w:szCs w:val="24"/>
          <w:highlight w:val="none"/>
          <w:u w:val="none"/>
          <w:lang w:eastAsia="zh-CN"/>
        </w:rPr>
        <w:t>交易日</w:t>
      </w:r>
      <w:r>
        <w:rPr>
          <w:rFonts w:hint="eastAsia" w:ascii="仿宋_GB2312" w:hAnsi="宋体" w:cs="宋体"/>
          <w:b/>
          <w:bCs/>
          <w:color w:val="auto"/>
          <w:kern w:val="0"/>
          <w:szCs w:val="24"/>
          <w:highlight w:val="none"/>
          <w:u w:val="none"/>
        </w:rPr>
        <w:t>内告知投资者，并说明运用相关措施的原因和拟采取的应对安排等。在发生涉及产品认购、申购或赎回事项调整或潜在影响投资者赎回等事项时，管理人将发布临时公告。</w:t>
      </w:r>
    </w:p>
    <w:p w14:paraId="65FFE496">
      <w:pPr>
        <w:widowControl/>
        <w:tabs>
          <w:tab w:val="left" w:pos="709"/>
        </w:tabs>
        <w:adjustRightInd w:val="0"/>
        <w:snapToGrid w:val="0"/>
        <w:spacing w:line="360" w:lineRule="auto"/>
        <w:ind w:firstLine="480" w:firstLineChars="200"/>
        <w:rPr>
          <w:rFonts w:ascii="仿宋_GB2312" w:hAnsi="宋体" w:cs="宋体"/>
          <w:color w:val="auto"/>
          <w:kern w:val="0"/>
          <w:szCs w:val="24"/>
          <w:highlight w:val="none"/>
          <w:u w:val="none"/>
        </w:rPr>
      </w:pPr>
      <w:r>
        <w:rPr>
          <w:rFonts w:hint="eastAsia" w:ascii="仿宋_GB2312" w:hAnsi="宋体" w:cs="宋体"/>
          <w:color w:val="auto"/>
          <w:kern w:val="0"/>
          <w:szCs w:val="24"/>
          <w:highlight w:val="none"/>
          <w:u w:val="none"/>
        </w:rPr>
        <w:t>（</w:t>
      </w:r>
      <w:r>
        <w:rPr>
          <w:rFonts w:ascii="仿宋_GB2312" w:hAnsi="宋体" w:cs="宋体"/>
          <w:color w:val="auto"/>
          <w:kern w:val="0"/>
          <w:szCs w:val="24"/>
          <w:highlight w:val="none"/>
          <w:u w:val="none"/>
        </w:rPr>
        <w:t>3）理财产品清算期超过5</w:t>
      </w:r>
      <w:r>
        <w:rPr>
          <w:rFonts w:hint="eastAsia" w:ascii="仿宋_GB2312" w:hAnsi="宋体" w:cs="宋体"/>
          <w:color w:val="auto"/>
          <w:kern w:val="0"/>
          <w:szCs w:val="24"/>
          <w:highlight w:val="none"/>
          <w:u w:val="none"/>
        </w:rPr>
        <w:t>个工作日的，产品管理人应当在理财产品终止前</w:t>
      </w:r>
      <w:r>
        <w:rPr>
          <w:rFonts w:hint="eastAsia" w:ascii="仿宋_GB2312" w:hAnsi="宋体" w:cs="宋体"/>
          <w:color w:val="auto"/>
          <w:kern w:val="0"/>
          <w:szCs w:val="24"/>
          <w:highlight w:val="none"/>
          <w:u w:val="none"/>
          <w:lang w:val="en-US" w:eastAsia="zh-CN"/>
        </w:rPr>
        <w:t>1</w:t>
      </w:r>
      <w:r>
        <w:rPr>
          <w:rFonts w:hint="eastAsia" w:ascii="仿宋_GB2312" w:hAnsi="宋体" w:cs="宋体"/>
          <w:color w:val="auto"/>
          <w:kern w:val="0"/>
          <w:szCs w:val="24"/>
          <w:highlight w:val="none"/>
          <w:u w:val="none"/>
        </w:rPr>
        <w:t>个</w:t>
      </w:r>
      <w:r>
        <w:rPr>
          <w:rFonts w:ascii="仿宋_GB2312" w:hAnsi="宋体" w:cs="宋体"/>
          <w:color w:val="auto"/>
          <w:kern w:val="0"/>
          <w:szCs w:val="24"/>
          <w:highlight w:val="none"/>
          <w:u w:val="none"/>
        </w:rPr>
        <w:t>工作日</w:t>
      </w:r>
      <w:r>
        <w:rPr>
          <w:rFonts w:hint="eastAsia" w:ascii="仿宋_GB2312" w:hAnsi="宋体" w:cs="宋体"/>
          <w:color w:val="auto"/>
          <w:kern w:val="0"/>
          <w:szCs w:val="24"/>
          <w:highlight w:val="none"/>
          <w:u w:val="none"/>
        </w:rPr>
        <w:t>，根据与投资者约定的渠道向投资者进行信息披露。</w:t>
      </w:r>
    </w:p>
    <w:p w14:paraId="1111A3D5">
      <w:pPr>
        <w:widowControl/>
        <w:tabs>
          <w:tab w:val="left" w:pos="709"/>
        </w:tabs>
        <w:adjustRightInd w:val="0"/>
        <w:snapToGrid w:val="0"/>
        <w:spacing w:line="360" w:lineRule="auto"/>
        <w:ind w:firstLine="482" w:firstLineChars="200"/>
        <w:rPr>
          <w:rFonts w:ascii="仿宋_GB2312" w:hAnsi="宋体" w:cs="宋体"/>
          <w:b/>
          <w:color w:val="auto"/>
          <w:kern w:val="0"/>
          <w:szCs w:val="24"/>
          <w:highlight w:val="none"/>
          <w:u w:val="none"/>
        </w:rPr>
      </w:pPr>
      <w:r>
        <w:rPr>
          <w:rFonts w:hint="eastAsia" w:ascii="仿宋_GB2312" w:hAnsi="宋体" w:cs="宋体"/>
          <w:b/>
          <w:color w:val="auto"/>
          <w:kern w:val="0"/>
          <w:szCs w:val="24"/>
          <w:highlight w:val="none"/>
          <w:u w:val="none"/>
        </w:rPr>
        <w:t>（4）在本产品存续期内，如因国家法律法规、监管规定发生变化，或是出于维护本产品正常运营的需要，在不损害投资者权益的前提下，产品管理人有权对理财产品销售文件进行修订，并提前</w:t>
      </w:r>
      <w:r>
        <w:rPr>
          <w:rFonts w:hint="eastAsia" w:ascii="仿宋_GB2312" w:hAnsi="宋体" w:cs="宋体"/>
          <w:b/>
          <w:color w:val="auto"/>
          <w:kern w:val="0"/>
          <w:szCs w:val="24"/>
          <w:highlight w:val="none"/>
          <w:u w:val="none"/>
          <w:lang w:val="en-US" w:eastAsia="zh-CN"/>
        </w:rPr>
        <w:t>1</w:t>
      </w:r>
      <w:r>
        <w:rPr>
          <w:rFonts w:hint="eastAsia" w:ascii="仿宋_GB2312" w:hAnsi="宋体" w:cs="宋体"/>
          <w:b/>
          <w:color w:val="auto"/>
          <w:kern w:val="0"/>
          <w:szCs w:val="24"/>
          <w:highlight w:val="none"/>
          <w:u w:val="none"/>
        </w:rPr>
        <w:t>个工作日进行公告。</w:t>
      </w:r>
    </w:p>
    <w:p w14:paraId="5509CC4F">
      <w:pPr>
        <w:widowControl/>
        <w:tabs>
          <w:tab w:val="left" w:pos="709"/>
        </w:tabs>
        <w:adjustRightInd w:val="0"/>
        <w:snapToGrid w:val="0"/>
        <w:spacing w:line="360" w:lineRule="auto"/>
        <w:ind w:firstLine="480" w:firstLineChars="200"/>
        <w:rPr>
          <w:rFonts w:ascii="仿宋_GB2312" w:hAnsi="宋体" w:cs="宋体"/>
          <w:color w:val="auto"/>
          <w:kern w:val="0"/>
          <w:szCs w:val="24"/>
          <w:highlight w:val="none"/>
          <w:u w:val="none"/>
        </w:rPr>
      </w:pPr>
      <w:r>
        <w:rPr>
          <w:rFonts w:hint="eastAsia" w:ascii="仿宋_GB2312" w:hAnsi="宋体" w:cs="宋体"/>
          <w:color w:val="auto"/>
          <w:kern w:val="0"/>
          <w:szCs w:val="24"/>
          <w:highlight w:val="none"/>
          <w:u w:val="none"/>
        </w:rPr>
        <w:t>（</w:t>
      </w:r>
      <w:r>
        <w:rPr>
          <w:rFonts w:ascii="仿宋_GB2312" w:hAnsi="宋体" w:cs="宋体"/>
          <w:color w:val="auto"/>
          <w:kern w:val="0"/>
          <w:szCs w:val="24"/>
          <w:highlight w:val="none"/>
          <w:u w:val="none"/>
        </w:rPr>
        <w:t>5）其他临时性公告</w:t>
      </w:r>
    </w:p>
    <w:p w14:paraId="2568FFDB">
      <w:pPr>
        <w:widowControl/>
        <w:tabs>
          <w:tab w:val="left" w:pos="709"/>
        </w:tabs>
        <w:adjustRightInd w:val="0"/>
        <w:snapToGrid w:val="0"/>
        <w:spacing w:line="360" w:lineRule="auto"/>
        <w:ind w:firstLine="480" w:firstLineChars="200"/>
        <w:rPr>
          <w:rFonts w:ascii="仿宋_GB2312" w:hAnsi="宋体" w:cs="宋体"/>
          <w:color w:val="auto"/>
          <w:kern w:val="0"/>
          <w:szCs w:val="24"/>
          <w:highlight w:val="none"/>
          <w:u w:val="none"/>
        </w:rPr>
      </w:pPr>
      <w:r>
        <w:rPr>
          <w:rFonts w:hint="eastAsia" w:ascii="仿宋_GB2312" w:hAnsi="宋体" w:cs="宋体"/>
          <w:color w:val="auto"/>
          <w:kern w:val="0"/>
          <w:szCs w:val="24"/>
          <w:highlight w:val="none"/>
          <w:u w:val="none"/>
        </w:rPr>
        <w:t>除前述事项外，如出现产品</w:t>
      </w:r>
      <w:r>
        <w:rPr>
          <w:rFonts w:ascii="仿宋_GB2312" w:hAnsi="宋体" w:cs="宋体"/>
          <w:color w:val="auto"/>
          <w:kern w:val="0"/>
          <w:szCs w:val="24"/>
          <w:highlight w:val="none"/>
          <w:u w:val="none"/>
        </w:rPr>
        <w:t>二次清算</w:t>
      </w:r>
      <w:r>
        <w:rPr>
          <w:rFonts w:hint="eastAsia" w:ascii="仿宋_GB2312" w:hAnsi="宋体" w:cs="宋体"/>
          <w:color w:val="auto"/>
          <w:kern w:val="0"/>
          <w:szCs w:val="24"/>
          <w:highlight w:val="none"/>
          <w:u w:val="none"/>
        </w:rPr>
        <w:t>等其他突发事件，应在完成再次清算之日起</w:t>
      </w:r>
      <w:r>
        <w:rPr>
          <w:rFonts w:hint="eastAsia" w:ascii="仿宋_GB2312" w:hAnsi="宋体" w:cs="宋体"/>
          <w:color w:val="auto"/>
          <w:kern w:val="0"/>
          <w:szCs w:val="24"/>
          <w:highlight w:val="none"/>
          <w:u w:val="none"/>
          <w:lang w:val="en-US" w:eastAsia="zh-CN"/>
        </w:rPr>
        <w:t>2</w:t>
      </w:r>
      <w:r>
        <w:rPr>
          <w:rFonts w:hint="eastAsia" w:ascii="仿宋_GB2312" w:hAnsi="宋体" w:cs="宋体"/>
          <w:color w:val="auto"/>
          <w:kern w:val="0"/>
          <w:szCs w:val="24"/>
          <w:highlight w:val="none"/>
          <w:u w:val="none"/>
        </w:rPr>
        <w:t>个工作日内，向投资者披露清算资金分配情况等信息。</w:t>
      </w:r>
    </w:p>
    <w:p w14:paraId="4B14BE9A">
      <w:pPr>
        <w:widowControl/>
        <w:tabs>
          <w:tab w:val="left" w:pos="709"/>
        </w:tabs>
        <w:adjustRightInd w:val="0"/>
        <w:snapToGrid w:val="0"/>
        <w:spacing w:line="360" w:lineRule="auto"/>
        <w:ind w:firstLine="482" w:firstLineChars="200"/>
        <w:rPr>
          <w:rFonts w:hint="eastAsia" w:ascii="仿宋_GB2312" w:hAnsi="宋体" w:cs="宋体"/>
          <w:b/>
          <w:color w:val="auto"/>
          <w:kern w:val="0"/>
          <w:szCs w:val="24"/>
          <w:highlight w:val="none"/>
          <w:u w:val="none"/>
        </w:rPr>
      </w:pPr>
      <w:r>
        <w:rPr>
          <w:rFonts w:hint="eastAsia" w:ascii="仿宋_GB2312" w:hAnsi="宋体" w:cs="宋体"/>
          <w:b/>
          <w:color w:val="auto"/>
          <w:kern w:val="0"/>
          <w:szCs w:val="24"/>
          <w:highlight w:val="none"/>
          <w:u w:val="none"/>
        </w:rPr>
        <w:t>在本产品存续期内，当产品管理人对理财产品进行相应调整（包括调整投资范围、投资资产种类、投资比例或收费项目、收费条件、收费标准、收费方式等）时，若构成对投资者利益产生实质性不利影响或涉及当事人权利义务的重大变更的，投资者有权不接受调整，在符合法律法规及监管政策的前提下，可由产品管理人决定投资者提前赎回的方式，并通过公告进行披露。若投资者未选择赎回本产品的，则视为已理解并接受产品管理人的相应调整。</w:t>
      </w:r>
    </w:p>
    <w:p w14:paraId="01B5487C">
      <w:pPr>
        <w:widowControl/>
        <w:tabs>
          <w:tab w:val="left" w:pos="709"/>
        </w:tabs>
        <w:adjustRightInd w:val="0"/>
        <w:snapToGrid w:val="0"/>
        <w:spacing w:line="360" w:lineRule="auto"/>
        <w:ind w:firstLine="482" w:firstLineChars="200"/>
        <w:rPr>
          <w:rFonts w:hint="eastAsia" w:ascii="仿宋_GB2312" w:hAnsi="宋体" w:cs="宋体"/>
          <w:b/>
          <w:bCs/>
          <w:color w:val="auto"/>
          <w:kern w:val="0"/>
          <w:szCs w:val="24"/>
          <w:highlight w:val="none"/>
          <w:u w:val="none"/>
          <w:lang w:eastAsia="zh-CN"/>
        </w:rPr>
      </w:pPr>
      <w:r>
        <w:rPr>
          <w:rFonts w:hint="eastAsia" w:ascii="仿宋_GB2312" w:hAnsi="宋体" w:cs="宋体"/>
          <w:b/>
          <w:bCs/>
          <w:color w:val="auto"/>
          <w:kern w:val="0"/>
          <w:szCs w:val="24"/>
          <w:highlight w:val="none"/>
          <w:u w:val="none"/>
          <w:lang w:eastAsia="zh-CN"/>
        </w:rPr>
        <w:t>产品管理人</w:t>
      </w:r>
      <w:r>
        <w:rPr>
          <w:rFonts w:hint="eastAsia" w:ascii="仿宋_GB2312" w:hAnsi="宋体" w:cs="宋体"/>
          <w:b/>
          <w:bCs/>
          <w:color w:val="auto"/>
          <w:kern w:val="0"/>
          <w:szCs w:val="24"/>
          <w:highlight w:val="none"/>
          <w:u w:val="none"/>
        </w:rPr>
        <w:t>对于理财产品存续期间发生的以下事项，应于知晓或应当知晓相关事项后</w:t>
      </w:r>
      <w:r>
        <w:rPr>
          <w:rFonts w:hint="eastAsia" w:ascii="仿宋_GB2312" w:hAnsi="宋体" w:cs="宋体"/>
          <w:b/>
          <w:bCs/>
          <w:color w:val="auto"/>
          <w:kern w:val="0"/>
          <w:szCs w:val="24"/>
          <w:highlight w:val="none"/>
          <w:u w:val="none"/>
          <w:lang w:val="en-US" w:eastAsia="zh-CN"/>
        </w:rPr>
        <w:t>5</w:t>
      </w:r>
      <w:r>
        <w:rPr>
          <w:rFonts w:hint="eastAsia" w:ascii="仿宋_GB2312" w:hAnsi="宋体" w:cs="宋体"/>
          <w:b/>
          <w:bCs/>
          <w:color w:val="auto"/>
          <w:kern w:val="0"/>
          <w:szCs w:val="24"/>
          <w:highlight w:val="none"/>
          <w:u w:val="none"/>
        </w:rPr>
        <w:t>个工作日内向投资者披露</w:t>
      </w:r>
      <w:r>
        <w:rPr>
          <w:rFonts w:hint="eastAsia" w:ascii="仿宋_GB2312" w:hAnsi="宋体" w:cs="宋体"/>
          <w:b/>
          <w:bCs/>
          <w:color w:val="auto"/>
          <w:kern w:val="0"/>
          <w:szCs w:val="24"/>
          <w:highlight w:val="none"/>
          <w:u w:val="none"/>
          <w:lang w:eastAsia="zh-CN"/>
        </w:rPr>
        <w:t>：</w:t>
      </w:r>
    </w:p>
    <w:p w14:paraId="7A798382">
      <w:pPr>
        <w:widowControl/>
        <w:tabs>
          <w:tab w:val="left" w:pos="709"/>
        </w:tabs>
        <w:adjustRightInd w:val="0"/>
        <w:snapToGrid w:val="0"/>
        <w:spacing w:line="360" w:lineRule="auto"/>
        <w:ind w:firstLine="480" w:firstLineChars="200"/>
        <w:rPr>
          <w:rFonts w:hint="eastAsia" w:ascii="仿宋_GB2312" w:hAnsi="宋体" w:cs="宋体"/>
          <w:color w:val="auto"/>
          <w:kern w:val="0"/>
          <w:szCs w:val="24"/>
          <w:highlight w:val="none"/>
          <w:u w:val="none"/>
        </w:rPr>
      </w:pPr>
      <w:r>
        <w:rPr>
          <w:rFonts w:hint="eastAsia" w:ascii="仿宋_GB2312" w:hAnsi="宋体" w:cs="宋体"/>
          <w:color w:val="auto"/>
          <w:kern w:val="0"/>
          <w:szCs w:val="24"/>
          <w:highlight w:val="none"/>
          <w:u w:val="none"/>
          <w:lang w:val="en-US" w:eastAsia="zh-CN"/>
        </w:rPr>
        <w:t>1）</w:t>
      </w:r>
      <w:r>
        <w:rPr>
          <w:rFonts w:hint="eastAsia" w:ascii="仿宋_GB2312" w:hAnsi="宋体" w:cs="宋体"/>
          <w:color w:val="auto"/>
          <w:kern w:val="0"/>
          <w:szCs w:val="24"/>
          <w:highlight w:val="none"/>
          <w:u w:val="none"/>
        </w:rPr>
        <w:t>更换理财产品管理人或</w:t>
      </w:r>
      <w:r>
        <w:rPr>
          <w:rFonts w:hint="eastAsia" w:ascii="仿宋_GB2312" w:hAnsi="宋体" w:cs="宋体"/>
          <w:color w:val="auto"/>
          <w:kern w:val="0"/>
          <w:szCs w:val="24"/>
          <w:highlight w:val="none"/>
          <w:u w:val="none"/>
          <w:lang w:eastAsia="zh-CN"/>
        </w:rPr>
        <w:t>产品管理人</w:t>
      </w:r>
      <w:r>
        <w:rPr>
          <w:rFonts w:hint="eastAsia" w:ascii="仿宋_GB2312" w:hAnsi="宋体" w:cs="宋体"/>
          <w:color w:val="auto"/>
          <w:kern w:val="0"/>
          <w:szCs w:val="24"/>
          <w:highlight w:val="none"/>
          <w:u w:val="none"/>
        </w:rPr>
        <w:t>变更实际控制人，更换托管机构，</w:t>
      </w:r>
      <w:r>
        <w:rPr>
          <w:rFonts w:hint="eastAsia" w:ascii="仿宋_GB2312" w:hAnsi="宋体" w:cs="宋体"/>
          <w:color w:val="auto"/>
          <w:kern w:val="0"/>
          <w:szCs w:val="24"/>
          <w:highlight w:val="none"/>
          <w:u w:val="none"/>
          <w:lang w:eastAsia="zh-CN"/>
        </w:rPr>
        <w:t>产品管理人</w:t>
      </w:r>
      <w:r>
        <w:rPr>
          <w:rFonts w:hint="eastAsia" w:ascii="仿宋_GB2312" w:hAnsi="宋体" w:cs="宋体"/>
          <w:color w:val="auto"/>
          <w:kern w:val="0"/>
          <w:szCs w:val="24"/>
          <w:highlight w:val="none"/>
          <w:u w:val="none"/>
        </w:rPr>
        <w:t>或托管</w:t>
      </w:r>
      <w:r>
        <w:rPr>
          <w:rFonts w:hint="eastAsia" w:ascii="仿宋_GB2312" w:hAnsi="宋体" w:cs="宋体"/>
          <w:color w:val="auto"/>
          <w:kern w:val="0"/>
          <w:szCs w:val="24"/>
          <w:highlight w:val="none"/>
          <w:u w:val="none"/>
          <w:lang w:eastAsia="zh-CN"/>
        </w:rPr>
        <w:t>机构</w:t>
      </w:r>
      <w:r>
        <w:rPr>
          <w:rFonts w:hint="eastAsia" w:ascii="仿宋_GB2312" w:hAnsi="宋体" w:cs="宋体"/>
          <w:color w:val="auto"/>
          <w:kern w:val="0"/>
          <w:szCs w:val="24"/>
          <w:highlight w:val="none"/>
          <w:u w:val="none"/>
        </w:rPr>
        <w:t>的法定名称、住所发生变更。</w:t>
      </w:r>
    </w:p>
    <w:p w14:paraId="1B0B6DA2">
      <w:pPr>
        <w:widowControl/>
        <w:tabs>
          <w:tab w:val="left" w:pos="709"/>
        </w:tabs>
        <w:adjustRightInd w:val="0"/>
        <w:snapToGrid w:val="0"/>
        <w:spacing w:line="360" w:lineRule="auto"/>
        <w:ind w:firstLine="480" w:firstLineChars="200"/>
        <w:rPr>
          <w:rFonts w:hint="eastAsia" w:ascii="仿宋_GB2312" w:hAnsi="宋体" w:cs="宋体"/>
          <w:color w:val="auto"/>
          <w:kern w:val="0"/>
          <w:szCs w:val="24"/>
          <w:highlight w:val="none"/>
          <w:u w:val="none"/>
        </w:rPr>
      </w:pPr>
      <w:r>
        <w:rPr>
          <w:rFonts w:hint="eastAsia" w:ascii="仿宋_GB2312" w:hAnsi="宋体" w:cs="宋体"/>
          <w:color w:val="auto"/>
          <w:kern w:val="0"/>
          <w:szCs w:val="24"/>
          <w:highlight w:val="none"/>
          <w:u w:val="none"/>
          <w:lang w:val="en-US" w:eastAsia="zh-CN"/>
        </w:rPr>
        <w:t>2）</w:t>
      </w:r>
      <w:r>
        <w:rPr>
          <w:rFonts w:hint="eastAsia" w:ascii="仿宋_GB2312" w:hAnsi="宋体" w:cs="宋体"/>
          <w:color w:val="auto"/>
          <w:kern w:val="0"/>
          <w:szCs w:val="24"/>
          <w:highlight w:val="none"/>
          <w:u w:val="none"/>
        </w:rPr>
        <w:t>涉及产品穿透后持仓百分之十及以上的单笔资产的诉讼或仲裁，并可能对产品或其投资者权益有重大影响的。</w:t>
      </w:r>
    </w:p>
    <w:p w14:paraId="6D466CD9">
      <w:pPr>
        <w:widowControl/>
        <w:tabs>
          <w:tab w:val="left" w:pos="709"/>
        </w:tabs>
        <w:adjustRightInd w:val="0"/>
        <w:snapToGrid w:val="0"/>
        <w:spacing w:line="360" w:lineRule="auto"/>
        <w:ind w:firstLine="480" w:firstLineChars="200"/>
        <w:rPr>
          <w:rFonts w:hint="eastAsia" w:ascii="仿宋_GB2312" w:hAnsi="宋体" w:cs="宋体"/>
          <w:color w:val="auto"/>
          <w:kern w:val="0"/>
          <w:szCs w:val="24"/>
          <w:highlight w:val="none"/>
          <w:u w:val="none"/>
        </w:rPr>
      </w:pPr>
      <w:r>
        <w:rPr>
          <w:rFonts w:hint="eastAsia" w:ascii="仿宋_GB2312" w:hAnsi="宋体" w:cs="宋体"/>
          <w:color w:val="auto"/>
          <w:kern w:val="0"/>
          <w:szCs w:val="24"/>
          <w:highlight w:val="none"/>
          <w:u w:val="none"/>
          <w:lang w:val="en-US" w:eastAsia="zh-CN"/>
        </w:rPr>
        <w:t>3</w:t>
      </w:r>
      <w:r>
        <w:rPr>
          <w:rFonts w:hint="eastAsia" w:ascii="仿宋_GB2312" w:hAnsi="宋体" w:cs="宋体"/>
          <w:color w:val="auto"/>
          <w:kern w:val="0"/>
          <w:szCs w:val="24"/>
          <w:highlight w:val="none"/>
          <w:u w:val="none"/>
        </w:rPr>
        <w:t>）产品穿透后持仓百分之十及以上的非标准化债权类资产的融资主体、担保主体发生重大行政处罚、重大诉讼或仲裁，或破产、兼并、重组等重大事项，并对其还款能力或担保能力造成重大不利影响；或上述融资主体对其公开市场债务出现不能按时足额还本付息情况的。</w:t>
      </w:r>
    </w:p>
    <w:p w14:paraId="094E55BF">
      <w:pPr>
        <w:widowControl/>
        <w:tabs>
          <w:tab w:val="left" w:pos="709"/>
        </w:tabs>
        <w:adjustRightInd w:val="0"/>
        <w:snapToGrid w:val="0"/>
        <w:spacing w:line="360" w:lineRule="auto"/>
        <w:ind w:firstLine="480" w:firstLineChars="200"/>
        <w:rPr>
          <w:rFonts w:hint="eastAsia" w:ascii="仿宋_GB2312" w:hAnsi="宋体" w:cs="宋体"/>
          <w:color w:val="auto"/>
          <w:kern w:val="0"/>
          <w:szCs w:val="24"/>
          <w:highlight w:val="none"/>
          <w:u w:val="none"/>
        </w:rPr>
      </w:pPr>
      <w:r>
        <w:rPr>
          <w:rFonts w:hint="eastAsia" w:ascii="仿宋_GB2312" w:hAnsi="宋体" w:cs="宋体"/>
          <w:color w:val="auto"/>
          <w:kern w:val="0"/>
          <w:szCs w:val="24"/>
          <w:highlight w:val="none"/>
          <w:u w:val="none"/>
        </w:rPr>
        <w:t>理财产品投资的非标准化资产本身为不良资产及其收益权的，可以不进行临时披露，但应当在季度、半年度、年度报告中披露相关情况。</w:t>
      </w:r>
    </w:p>
    <w:p w14:paraId="228D6B23">
      <w:pPr>
        <w:widowControl/>
        <w:tabs>
          <w:tab w:val="left" w:pos="709"/>
        </w:tabs>
        <w:adjustRightInd w:val="0"/>
        <w:snapToGrid w:val="0"/>
        <w:spacing w:line="360" w:lineRule="auto"/>
        <w:ind w:firstLine="480" w:firstLineChars="200"/>
        <w:rPr>
          <w:rFonts w:hint="eastAsia" w:ascii="仿宋_GB2312" w:hAnsi="宋体" w:cs="宋体"/>
          <w:color w:val="auto"/>
          <w:kern w:val="0"/>
          <w:szCs w:val="24"/>
          <w:highlight w:val="none"/>
          <w:u w:val="none"/>
        </w:rPr>
      </w:pPr>
      <w:r>
        <w:rPr>
          <w:rFonts w:hint="eastAsia" w:ascii="仿宋_GB2312" w:hAnsi="宋体" w:cs="宋体"/>
          <w:color w:val="auto"/>
          <w:kern w:val="0"/>
          <w:szCs w:val="24"/>
          <w:highlight w:val="none"/>
          <w:u w:val="none"/>
          <w:lang w:val="en-US" w:eastAsia="zh-CN"/>
        </w:rPr>
        <w:t>4）</w:t>
      </w:r>
      <w:r>
        <w:rPr>
          <w:rFonts w:hint="eastAsia" w:ascii="仿宋_GB2312" w:hAnsi="宋体" w:cs="宋体"/>
          <w:color w:val="auto"/>
          <w:kern w:val="0"/>
          <w:szCs w:val="24"/>
          <w:highlight w:val="none"/>
          <w:u w:val="none"/>
        </w:rPr>
        <w:t>涉及产品穿透后持仓百分之十及以上的单笔资产的债券违约、股票停牌或退市的。</w:t>
      </w:r>
    </w:p>
    <w:p w14:paraId="574E9C29">
      <w:pPr>
        <w:widowControl/>
        <w:tabs>
          <w:tab w:val="left" w:pos="709"/>
        </w:tabs>
        <w:adjustRightInd w:val="0"/>
        <w:snapToGrid w:val="0"/>
        <w:spacing w:line="360" w:lineRule="auto"/>
        <w:ind w:firstLine="480" w:firstLineChars="200"/>
        <w:rPr>
          <w:rFonts w:hint="eastAsia" w:ascii="仿宋_GB2312" w:hAnsi="宋体" w:cs="宋体"/>
          <w:color w:val="auto"/>
          <w:kern w:val="0"/>
          <w:szCs w:val="24"/>
          <w:highlight w:val="none"/>
          <w:u w:val="none"/>
        </w:rPr>
      </w:pPr>
      <w:r>
        <w:rPr>
          <w:rFonts w:hint="eastAsia" w:ascii="仿宋_GB2312" w:hAnsi="宋体" w:cs="宋体"/>
          <w:color w:val="auto"/>
          <w:kern w:val="0"/>
          <w:szCs w:val="24"/>
          <w:highlight w:val="none"/>
          <w:u w:val="none"/>
          <w:lang w:val="en-US" w:eastAsia="zh-CN"/>
        </w:rPr>
        <w:t>5）</w:t>
      </w:r>
      <w:r>
        <w:rPr>
          <w:rFonts w:hint="eastAsia" w:ascii="仿宋_GB2312" w:hAnsi="宋体" w:cs="宋体"/>
          <w:color w:val="auto"/>
          <w:kern w:val="0"/>
          <w:szCs w:val="24"/>
          <w:highlight w:val="none"/>
          <w:u w:val="none"/>
        </w:rPr>
        <w:t>理财产品份额净值计价错误达份额净值百分之零点五。</w:t>
      </w:r>
    </w:p>
    <w:p w14:paraId="6B68F139">
      <w:pPr>
        <w:widowControl/>
        <w:tabs>
          <w:tab w:val="left" w:pos="709"/>
        </w:tabs>
        <w:adjustRightInd w:val="0"/>
        <w:snapToGrid w:val="0"/>
        <w:spacing w:line="360" w:lineRule="auto"/>
        <w:ind w:firstLine="480" w:firstLineChars="200"/>
        <w:rPr>
          <w:rFonts w:hint="eastAsia" w:ascii="仿宋_GB2312" w:hAnsi="宋体" w:cs="宋体"/>
          <w:color w:val="auto"/>
          <w:kern w:val="0"/>
          <w:szCs w:val="24"/>
          <w:highlight w:val="none"/>
          <w:u w:val="none"/>
        </w:rPr>
      </w:pPr>
      <w:r>
        <w:rPr>
          <w:rFonts w:hint="eastAsia" w:ascii="仿宋_GB2312" w:hAnsi="宋体" w:cs="宋体"/>
          <w:color w:val="auto"/>
          <w:kern w:val="0"/>
          <w:szCs w:val="24"/>
          <w:highlight w:val="none"/>
          <w:u w:val="none"/>
          <w:lang w:val="en-US" w:eastAsia="zh-CN"/>
        </w:rPr>
        <w:t>6）</w:t>
      </w:r>
      <w:r>
        <w:rPr>
          <w:rFonts w:hint="eastAsia" w:ascii="仿宋_GB2312" w:hAnsi="宋体" w:cs="宋体"/>
          <w:color w:val="auto"/>
          <w:kern w:val="0"/>
          <w:szCs w:val="24"/>
          <w:highlight w:val="none"/>
          <w:u w:val="none"/>
        </w:rPr>
        <w:t>金融市场发生重大变化导致理财产品投资比例暂时超出浮动区间且可能对理财产品收益产生重大影响的。</w:t>
      </w:r>
    </w:p>
    <w:p w14:paraId="22EF42AC">
      <w:pPr>
        <w:widowControl/>
        <w:tabs>
          <w:tab w:val="left" w:pos="709"/>
        </w:tabs>
        <w:adjustRightInd w:val="0"/>
        <w:snapToGrid w:val="0"/>
        <w:spacing w:line="360" w:lineRule="auto"/>
        <w:ind w:firstLine="480" w:firstLineChars="200"/>
        <w:rPr>
          <w:rFonts w:hint="eastAsia" w:ascii="仿宋_GB2312" w:hAnsi="宋体" w:cs="宋体"/>
          <w:color w:val="auto"/>
          <w:kern w:val="0"/>
          <w:szCs w:val="24"/>
          <w:highlight w:val="none"/>
          <w:u w:val="none"/>
        </w:rPr>
      </w:pPr>
      <w:r>
        <w:rPr>
          <w:rFonts w:hint="eastAsia" w:ascii="仿宋_GB2312" w:hAnsi="宋体" w:cs="宋体"/>
          <w:color w:val="auto"/>
          <w:kern w:val="0"/>
          <w:szCs w:val="24"/>
          <w:highlight w:val="none"/>
          <w:u w:val="none"/>
          <w:lang w:val="en-US" w:eastAsia="zh-CN"/>
        </w:rPr>
        <w:t>7）</w:t>
      </w:r>
      <w:r>
        <w:rPr>
          <w:rFonts w:hint="eastAsia" w:ascii="仿宋_GB2312" w:hAnsi="宋体" w:cs="宋体"/>
          <w:color w:val="auto"/>
          <w:kern w:val="0"/>
          <w:szCs w:val="24"/>
          <w:highlight w:val="none"/>
          <w:u w:val="none"/>
        </w:rPr>
        <w:t>法律法规以及监管规定的其他内容，或者</w:t>
      </w:r>
      <w:r>
        <w:rPr>
          <w:rFonts w:hint="eastAsia" w:ascii="仿宋_GB2312" w:hAnsi="宋体" w:cs="宋体"/>
          <w:color w:val="auto"/>
          <w:kern w:val="0"/>
          <w:szCs w:val="24"/>
          <w:highlight w:val="none"/>
          <w:u w:val="none"/>
          <w:lang w:eastAsia="zh-CN"/>
        </w:rPr>
        <w:t>产品管理人</w:t>
      </w:r>
      <w:r>
        <w:rPr>
          <w:rFonts w:hint="eastAsia" w:ascii="仿宋_GB2312" w:hAnsi="宋体" w:cs="宋体"/>
          <w:color w:val="auto"/>
          <w:kern w:val="0"/>
          <w:szCs w:val="24"/>
          <w:highlight w:val="none"/>
          <w:u w:val="none"/>
        </w:rPr>
        <w:t>认为可能对投资者权益产生重大不利影响的其他事项。</w:t>
      </w:r>
    </w:p>
    <w:p w14:paraId="3503EE50">
      <w:pPr>
        <w:widowControl/>
        <w:tabs>
          <w:tab w:val="left" w:pos="709"/>
        </w:tabs>
        <w:adjustRightInd w:val="0"/>
        <w:snapToGrid w:val="0"/>
        <w:spacing w:line="360" w:lineRule="auto"/>
        <w:ind w:firstLine="480" w:firstLineChars="200"/>
        <w:rPr>
          <w:rFonts w:hint="eastAsia" w:ascii="仿宋_GB2312" w:hAnsi="宋体" w:cs="宋体"/>
          <w:color w:val="auto"/>
          <w:kern w:val="0"/>
          <w:szCs w:val="24"/>
          <w:highlight w:val="none"/>
          <w:u w:val="none"/>
        </w:rPr>
      </w:pPr>
    </w:p>
    <w:p w14:paraId="2A97A095">
      <w:pPr>
        <w:widowControl/>
        <w:tabs>
          <w:tab w:val="left" w:pos="709"/>
        </w:tabs>
        <w:adjustRightInd w:val="0"/>
        <w:snapToGrid w:val="0"/>
        <w:spacing w:line="360" w:lineRule="auto"/>
        <w:ind w:firstLine="480" w:firstLineChars="200"/>
        <w:rPr>
          <w:rFonts w:hint="eastAsia" w:ascii="仿宋_GB2312" w:hAnsi="宋体" w:cs="宋体"/>
          <w:color w:val="auto"/>
          <w:kern w:val="0"/>
          <w:szCs w:val="24"/>
          <w:highlight w:val="none"/>
          <w:u w:val="none"/>
        </w:rPr>
      </w:pPr>
    </w:p>
    <w:p w14:paraId="3A97900B">
      <w:pPr>
        <w:widowControl/>
        <w:tabs>
          <w:tab w:val="left" w:pos="709"/>
        </w:tabs>
        <w:adjustRightInd w:val="0"/>
        <w:snapToGrid w:val="0"/>
        <w:spacing w:line="360" w:lineRule="auto"/>
        <w:ind w:firstLine="480" w:firstLineChars="200"/>
        <w:rPr>
          <w:rFonts w:hint="eastAsia" w:ascii="仿宋_GB2312" w:hAnsi="宋体" w:cs="宋体"/>
          <w:color w:val="auto"/>
          <w:kern w:val="0"/>
          <w:szCs w:val="24"/>
          <w:highlight w:val="none"/>
          <w:u w:val="none"/>
        </w:rPr>
      </w:pPr>
    </w:p>
    <w:p w14:paraId="587259CB">
      <w:pPr>
        <w:widowControl/>
        <w:tabs>
          <w:tab w:val="left" w:pos="709"/>
        </w:tabs>
        <w:adjustRightInd w:val="0"/>
        <w:snapToGrid w:val="0"/>
        <w:spacing w:line="360" w:lineRule="auto"/>
        <w:ind w:firstLine="480" w:firstLineChars="200"/>
        <w:rPr>
          <w:rFonts w:hint="eastAsia" w:ascii="仿宋_GB2312" w:hAnsi="宋体" w:cs="宋体"/>
          <w:color w:val="auto"/>
          <w:kern w:val="0"/>
          <w:szCs w:val="24"/>
          <w:highlight w:val="none"/>
          <w:u w:val="none"/>
        </w:rPr>
      </w:pPr>
    </w:p>
    <w:p w14:paraId="4D685779">
      <w:pPr>
        <w:widowControl/>
        <w:tabs>
          <w:tab w:val="left" w:pos="709"/>
        </w:tabs>
        <w:adjustRightInd w:val="0"/>
        <w:snapToGrid w:val="0"/>
        <w:spacing w:line="360" w:lineRule="auto"/>
        <w:ind w:firstLine="480" w:firstLineChars="200"/>
        <w:rPr>
          <w:rFonts w:hint="eastAsia" w:ascii="仿宋_GB2312" w:hAnsi="宋体" w:cs="宋体"/>
          <w:color w:val="auto"/>
          <w:kern w:val="0"/>
          <w:szCs w:val="24"/>
          <w:highlight w:val="none"/>
          <w:u w:val="none"/>
        </w:rPr>
      </w:pPr>
    </w:p>
    <w:p w14:paraId="696862D1">
      <w:pPr>
        <w:rPr>
          <w:rFonts w:hint="eastAsia" w:ascii="仿宋_GB2312" w:hAnsi="宋体" w:cs="宋体"/>
          <w:color w:val="auto"/>
          <w:kern w:val="0"/>
          <w:szCs w:val="24"/>
          <w:highlight w:val="none"/>
          <w:u w:val="none"/>
        </w:rPr>
      </w:pPr>
      <w:r>
        <w:rPr>
          <w:rFonts w:hint="eastAsia" w:ascii="仿宋_GB2312" w:hAnsi="宋体" w:cs="宋体"/>
          <w:color w:val="auto"/>
          <w:kern w:val="0"/>
          <w:szCs w:val="24"/>
          <w:highlight w:val="none"/>
          <w:u w:val="none"/>
        </w:rPr>
        <w:br w:type="page"/>
      </w:r>
    </w:p>
    <w:p w14:paraId="29037F5B">
      <w:pPr>
        <w:pStyle w:val="2"/>
        <w:rPr>
          <w:color w:val="auto"/>
          <w:highlight w:val="none"/>
          <w:u w:val="none"/>
        </w:rPr>
      </w:pPr>
      <w:r>
        <w:rPr>
          <w:rFonts w:hint="eastAsia"/>
          <w:color w:val="auto"/>
          <w:highlight w:val="none"/>
          <w:u w:val="none"/>
          <w:lang w:eastAsia="zh-CN"/>
        </w:rPr>
        <w:t>风险揭示</w:t>
      </w:r>
    </w:p>
    <w:p w14:paraId="034FFFF0">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本产品不保证本金和收益，投资者的本金有可能蒙受损失，极端情况下，可能全部或部分受损。投资者应充分认识投资风险，谨慎投资。</w:t>
      </w:r>
      <w:r>
        <w:rPr>
          <w:rFonts w:hint="eastAsia" w:ascii="仿宋_GB2312" w:hAnsi="宋体" w:cs="宋体"/>
          <w:b w:val="0"/>
          <w:color w:val="auto"/>
          <w:kern w:val="0"/>
          <w:szCs w:val="24"/>
          <w:highlight w:val="none"/>
          <w:u w:val="none"/>
          <w:lang w:eastAsia="zh-CN"/>
        </w:rPr>
        <w:t>风险列示</w:t>
      </w:r>
      <w:r>
        <w:rPr>
          <w:rFonts w:hint="default" w:ascii="仿宋_GB2312" w:hAnsi="宋体" w:cs="宋体"/>
          <w:b w:val="0"/>
          <w:color w:val="auto"/>
          <w:kern w:val="0"/>
          <w:szCs w:val="24"/>
          <w:highlight w:val="none"/>
          <w:u w:val="none"/>
        </w:rPr>
        <w:t>如下：</w:t>
      </w:r>
    </w:p>
    <w:p w14:paraId="6A4971FF">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（一）政策风险</w:t>
      </w:r>
    </w:p>
    <w:p w14:paraId="00DE2F5A">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本理财产品是根据当前相关法律法规、监管规定和国家政策设计的。如国家宏观政策以及市场相关法律法规、监管规定发生变化，可能影响本理财产品的发行、交易、投资、兑付等工作流程的正常进行，从而影响本理财产品的投资运作，则投资者可能面临本金和收益遭受部分甚至全部损失的风险。</w:t>
      </w:r>
    </w:p>
    <w:p w14:paraId="17C4480B">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（二）信用风险</w:t>
      </w:r>
    </w:p>
    <w:p w14:paraId="323378BC">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本理财产品所投资的资产或资产组合项下义务人可能出现信用违约情形，无法如期偿付融资本金与利息，则投资者可能面临本金和收益遭受部分甚至全部损失的风险。</w:t>
      </w:r>
    </w:p>
    <w:p w14:paraId="50B908A3">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（三）市场风险</w:t>
      </w:r>
    </w:p>
    <w:p w14:paraId="45540357">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本理财产品存续期内，由于市场利率、汇率变化，债券、股票等投资品市场价格波动，以及市场已出现或未来可能出现的其他重要因素影响，将导致本理财产品所投资的资产或资产组合出现估值波动，从而影响本理财产品的净值，投资者可能面临投资本金和收益遭受部分甚至全部损失的风险。</w:t>
      </w:r>
    </w:p>
    <w:p w14:paraId="7348A9BA">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（四）流动性风险</w:t>
      </w:r>
    </w:p>
    <w:p w14:paraId="74E21E27">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eastAsia" w:ascii="仿宋_GB2312" w:hAnsi="宋体" w:cs="宋体"/>
          <w:b w:val="0"/>
          <w:color w:val="auto"/>
          <w:kern w:val="0"/>
          <w:szCs w:val="24"/>
          <w:highlight w:val="none"/>
          <w:u w:val="none"/>
        </w:rPr>
        <w:t>当市场出现极端情况或开放式</w:t>
      </w:r>
      <w:r>
        <w:rPr>
          <w:rFonts w:hint="default" w:ascii="仿宋_GB2312" w:hAnsi="宋体" w:cs="宋体"/>
          <w:b w:val="0"/>
          <w:color w:val="auto"/>
          <w:kern w:val="0"/>
          <w:szCs w:val="24"/>
          <w:highlight w:val="none"/>
          <w:u w:val="none"/>
        </w:rPr>
        <w:t>产品</w:t>
      </w:r>
      <w:r>
        <w:rPr>
          <w:rFonts w:hint="eastAsia" w:ascii="仿宋_GB2312" w:hAnsi="宋体" w:cs="宋体"/>
          <w:b w:val="0"/>
          <w:color w:val="auto"/>
          <w:kern w:val="0"/>
          <w:szCs w:val="24"/>
          <w:highlight w:val="none"/>
          <w:u w:val="none"/>
        </w:rPr>
        <w:t>投资者集中、大额赎回等情形下，理财产品可能因持有现金头寸不足或所投资的资产无法及时变现，导致无法按约定向投资者及时兑付理财资金，投资者可能面临理财资金无法及时到账及/或持有的本理财产品整体损益出现不利情形的风险。</w:t>
      </w:r>
    </w:p>
    <w:p w14:paraId="3DD97B9A">
      <w:pPr>
        <w:widowControl/>
        <w:tabs>
          <w:tab w:val="left" w:pos="709"/>
        </w:tabs>
        <w:adjustRightInd w:val="0"/>
        <w:snapToGrid w:val="0"/>
        <w:spacing w:line="360" w:lineRule="auto"/>
        <w:ind w:firstLine="482" w:firstLineChars="200"/>
        <w:rPr>
          <w:rFonts w:hint="default" w:ascii="仿宋_GB2312" w:hAnsi="宋体" w:cs="宋体"/>
          <w:b w:val="0"/>
          <w:color w:val="auto"/>
          <w:kern w:val="0"/>
          <w:szCs w:val="24"/>
          <w:highlight w:val="none"/>
          <w:u w:val="none"/>
        </w:rPr>
      </w:pPr>
      <w:r>
        <w:rPr>
          <w:rFonts w:hint="eastAsia" w:ascii="仿宋_GB2312" w:hAnsi="宋体" w:cs="宋体"/>
          <w:b/>
          <w:bCs/>
          <w:color w:val="auto"/>
          <w:kern w:val="0"/>
          <w:szCs w:val="24"/>
          <w:highlight w:val="none"/>
          <w:u w:val="none"/>
        </w:rPr>
        <w:t>投资者在本理财产品说明书约定的封闭期、最短持有期及</w:t>
      </w:r>
      <w:r>
        <w:rPr>
          <w:rFonts w:hint="default" w:ascii="仿宋_GB2312" w:hAnsi="宋体" w:cs="宋体"/>
          <w:b/>
          <w:bCs/>
          <w:color w:val="auto"/>
          <w:kern w:val="0"/>
          <w:szCs w:val="24"/>
          <w:highlight w:val="none"/>
          <w:u w:val="none"/>
        </w:rPr>
        <w:t>/或其他不可赎回时段内不享有提前赎回权。</w:t>
      </w:r>
      <w:r>
        <w:rPr>
          <w:rFonts w:hint="eastAsia" w:ascii="仿宋_GB2312" w:hAnsi="宋体" w:cs="宋体"/>
          <w:b w:val="0"/>
          <w:bCs w:val="0"/>
          <w:color w:val="auto"/>
          <w:kern w:val="0"/>
          <w:szCs w:val="24"/>
          <w:highlight w:val="none"/>
          <w:u w:val="none"/>
        </w:rPr>
        <w:t>如果投资者面临</w:t>
      </w:r>
      <w:r>
        <w:rPr>
          <w:rFonts w:hint="eastAsia" w:ascii="仿宋_GB2312" w:hAnsi="宋体" w:cs="宋体"/>
          <w:b w:val="0"/>
          <w:color w:val="auto"/>
          <w:kern w:val="0"/>
          <w:szCs w:val="24"/>
          <w:highlight w:val="none"/>
          <w:u w:val="none"/>
        </w:rPr>
        <w:t>用款需求与其他投资机会，可能因所持有的理财产品不能随时赎回或变现，存在用款需求无法满足或错过其他投资机会的风险。</w:t>
      </w:r>
    </w:p>
    <w:p w14:paraId="2BC3A59A">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（五）经营管理风险</w:t>
      </w:r>
    </w:p>
    <w:p w14:paraId="59AC3460">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在本理财产品运作过程中，投资管理各方受经验、技能、判断力、执行力等综合因素的限制，可能对本理财产品的运作与管理形成一定影响，投资者可能面临本金和收益遭受部分甚至全部损失的风险。</w:t>
      </w:r>
    </w:p>
    <w:p w14:paraId="3432E275">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（六）交易对手风险</w:t>
      </w:r>
    </w:p>
    <w:p w14:paraId="619BF5A9">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由于交易对手受偿付能力、流动性管理能力以及及时履约意愿等因素影响，导致交易对手不履约，可能影响本理财产品的投资管理，则投资者可能面临本金和收益遭受部分甚至全部损失的风险。</w:t>
      </w:r>
    </w:p>
    <w:p w14:paraId="2DAA17C5">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（七）操作风险</w:t>
      </w:r>
    </w:p>
    <w:p w14:paraId="6660340B">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产品运作过程中，由于理财产品管理人及理财合作机构因技术系统故障、内部控制存在缺陷或人为因素，导致操作失误或违反操作规程等引起的风险，如内部作业、人员管理、系统操作及事务处理不当或失误等，则投资者可能面临本金和收益遭受部分甚至全部损失的风险。</w:t>
      </w:r>
    </w:p>
    <w:p w14:paraId="6B639BE3">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（八）代销风险（如有）</w:t>
      </w:r>
    </w:p>
    <w:p w14:paraId="2D71712E">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如本理财产品通过代理销售渠道销售，投资者购买理财产品的资金将由销售机构从投资者清算账户扣收并划付产品管理人，产品到期/终止/赎回时理财本金及收益相应款项由产品管理人按理财产品销售文件约定划付至销售机构清算账户，并由销售机构向投资者支付投资者应得理财本金及收益。如因销售机构清算账户余额不足，或销售机构未及时足额划付资金，或销售机构清算账户内资金被依法冻结或扣划、账户处于被挂失、冻结、注销或其他非正常状态等原因而导致交易失败，由销售机构与投资者依法协商解决，产品管理人对此不承担责任，但前述约定不免除因产品管理人过错依法应由产品管理人承担的责任。</w:t>
      </w:r>
    </w:p>
    <w:p w14:paraId="6615C4F2">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（九）募集期延长/缩短风险</w:t>
      </w:r>
    </w:p>
    <w:p w14:paraId="5F78538D">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在本理财产品募集期内，国家宏观政策以及市场相关法律法规政策发生变化、产品募集状况未达到/已达到产品说明书约定的成立条件，或其他经理财产品管理人合理判断需延长/缩短募集期的情形，产品管理人有权宣布本理财产品募集期延长/缩短，本理财产品可能延后/提前成立。</w:t>
      </w:r>
    </w:p>
    <w:p w14:paraId="7936E600">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（十）产品不成立风险</w:t>
      </w:r>
    </w:p>
    <w:p w14:paraId="40EFAE1F">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如果本理财产品因募集规模低于《产品说明书》约定的本理财产品最低成立规模，或出现政策、法规、市场或其他因素导致本理财产品不能成立的情形，理财产品管理人有权宣布本理财产品不成立，投资者将面临再投资的风险。</w:t>
      </w:r>
    </w:p>
    <w:p w14:paraId="51F484D0">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（十一）提前终止风险</w:t>
      </w:r>
    </w:p>
    <w:p w14:paraId="657D2127">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本理财产品存续期间，由于国家宏观政策变化、市场相关法律法规及政策变化、本理财产品所投资资产提前结清、意外事件、不可抗力（包括但不限于政府行为、自然灾害、疫情等）以及其他可能导致理财产品管理人无法继续履行本理财产品投资管理义务或经理财产品管理人合理评估且审慎判断不适宜本理财产品继续存续运作的情形，为保护投资者权益，理财产品管理人有权按照理财产品销售文件的约定部分/全部提前终止本理财产品，投资者可能面临本理财产品部分/全部提前终止后再投资的风险。</w:t>
      </w:r>
    </w:p>
    <w:p w14:paraId="71CAC2A1">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（十二）延期分配风险</w:t>
      </w:r>
    </w:p>
    <w:p w14:paraId="232B4A17">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因缺乏交易对手、市场成交量不足、资产限制赎回、暂停交易、所投资产发生风险或不能及时变现、发生不可抗力（包括但不限于政府行为、自然灾害、疫情等）及其他理财产品管理人认为需要延期分配的情形，可能导致理财产品管理人无法在理财产品销售文件约定的清算期内完成理财资金的清算与分配，投资者可能面临理财产品资金延期分配、分配方案调整等风险，投资者由此可能面临投资本金和收益遭受部分甚至全部损失的风险。</w:t>
      </w:r>
    </w:p>
    <w:p w14:paraId="2CD34D1D">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（十三）信息传递风险</w:t>
      </w:r>
    </w:p>
    <w:p w14:paraId="1B28B47B">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理财产品管理人将按照理财产品销售文件中约定的信息披露方式、披露途径向投资者披露涉及本理财产品的各类信息和重大事件，投资者应及时查询了解。如投资者未及时查询相关信息或由于不可抗力（包括但不限于政府行为、自然灾害、疫情等）或意外事件的影响使得投资者无法及时了解本理财产品信息，进而影响投资者的投资决策行为，因此而产生的责任和风险由投资者承担。如投资者未及时告知理财产品管理人联系方式变更或理财产品管理人在其认为需要时无法及时联系到投资者，使得投资者无法及时获知本理财产品信息，进而影响投资者的投资决策行为，因此而产生的责任和风险由投资者承担。</w:t>
      </w:r>
    </w:p>
    <w:p w14:paraId="742A5633">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（十四）关联关系及关联交易风险</w:t>
      </w:r>
    </w:p>
    <w:p w14:paraId="01E54337">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浙银理财作为本理财产品的发行人、管理人，独立履行产品管理职责；浙银理财委托托管机构托管理财产品或委托销售机构销售理财产品的，可能涉及委托浙商银行股份有限公司（以下简称“浙商银行”）担任理财产品的托管机构或销售机构，负责理财产品的托管或代理销售工作。浙银理财是浙商银行控股的子公司，双方存在关联关系。</w:t>
      </w:r>
    </w:p>
    <w:p w14:paraId="1D401198">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本理财产品可能投资于管理人、个别销售机构或托管人的主要股东、实际控制人、一致行动人、最终受益人，托管人，同一股东或托管人控股的机构，或者与管理人或托管人有重大利害关系的机构发行或承销的证券，或者从事其他关联交易，本理财产品也可能由管理人的关联方进行托管或代理销售。上述各方在业务执行及实施上具有隔离机制，并符合相关法律法规要求，且上述各方将依照恪尽职守、诚实信用、谨慎勤勉的原则按照市场公允定价进行公平交易，但仍可能存在利益冲突。提请投资者充分知悉、关注本理财产品关联关系和关联交易风险，投资者签署本理财产品销售文件即代表投资者认可且同意上述可能发生的关联交易并自愿承担相关风险。</w:t>
      </w:r>
    </w:p>
    <w:p w14:paraId="0AEE2187">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（十五）再投资风险</w:t>
      </w:r>
    </w:p>
    <w:p w14:paraId="0780EE45">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由于浙银理财有权根据市场状况和产品余额情况提前终止本理财产品，因市场利率下滑，投资者可能面临本金和收益再投资收益率降低的风险。</w:t>
      </w:r>
    </w:p>
    <w:p w14:paraId="5212CF4C">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（十六）估值风险</w:t>
      </w:r>
    </w:p>
    <w:p w14:paraId="59206ED9">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本理财产品按《产品说明书》的估值方法进行估值，理财产品估值与实际变现价值可能发生偏离，投资者应知晓该风险。本理财产品管理人估值仅作为参考，本理财产品管理人不承担第三方再次使用该估值引发的其他风险。本理财产品所投资的资产管理产品以其估值日截止时点能够取得的最新份额净值进行估值。因此，在前述情况下可能会出现本理财产品净值不能完全反映所投资资产管理计划或基金等资产管理产品估值日当日净值的情形。</w:t>
      </w:r>
    </w:p>
    <w:p w14:paraId="1173BDB0">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本理财产品可能投资符合监管要求的资产管理产品（包括但不限于信托计划、公募基金、基金公司或子公司资产管理计划、证券公司资产管理计划、期货资产管理计划、保险资产管理计划等，具体以《产品说明书》或理财产品定期报告披露为准），前述资产管理产品的管理人可能收取</w:t>
      </w:r>
      <w:r>
        <w:rPr>
          <w:rFonts w:hint="eastAsia" w:ascii="仿宋_GB2312" w:hAnsi="宋体" w:cs="宋体"/>
          <w:b w:val="0"/>
          <w:color w:val="auto"/>
          <w:kern w:val="0"/>
          <w:szCs w:val="24"/>
          <w:highlight w:val="none"/>
          <w:u w:val="none"/>
          <w:lang w:eastAsia="zh-CN"/>
        </w:rPr>
        <w:t>浮动管理费</w:t>
      </w:r>
      <w:r>
        <w:rPr>
          <w:rFonts w:hint="default" w:ascii="仿宋_GB2312" w:hAnsi="宋体" w:cs="宋体"/>
          <w:b w:val="0"/>
          <w:color w:val="auto"/>
          <w:kern w:val="0"/>
          <w:szCs w:val="24"/>
          <w:highlight w:val="none"/>
          <w:u w:val="none"/>
        </w:rPr>
        <w:t>，当前述资产管理产品计提</w:t>
      </w:r>
      <w:r>
        <w:rPr>
          <w:rFonts w:hint="eastAsia" w:ascii="仿宋_GB2312" w:hAnsi="宋体" w:cs="宋体"/>
          <w:b w:val="0"/>
          <w:color w:val="auto"/>
          <w:kern w:val="0"/>
          <w:szCs w:val="24"/>
          <w:highlight w:val="none"/>
          <w:u w:val="none"/>
          <w:lang w:eastAsia="zh-CN"/>
        </w:rPr>
        <w:t>浮动管理费</w:t>
      </w:r>
      <w:r>
        <w:rPr>
          <w:rFonts w:hint="default" w:ascii="仿宋_GB2312" w:hAnsi="宋体" w:cs="宋体"/>
          <w:b w:val="0"/>
          <w:color w:val="auto"/>
          <w:kern w:val="0"/>
          <w:szCs w:val="24"/>
          <w:highlight w:val="none"/>
          <w:u w:val="none"/>
        </w:rPr>
        <w:t>时，本理财产品的产品份额净值存在下跌风险。</w:t>
      </w:r>
    </w:p>
    <w:p w14:paraId="14802C88">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（十七）托管及清算风险</w:t>
      </w:r>
    </w:p>
    <w:p w14:paraId="4A17CBEC">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本理财产品存在托管人，若因托管人操作失误或因任何原因未能按约履行托管人职责，或丧失进行托管的能力或法定资格，均可能给本理财产品带来风险。</w:t>
      </w:r>
    </w:p>
    <w:p w14:paraId="0CB424F9">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（十八）税务风险</w:t>
      </w:r>
    </w:p>
    <w:p w14:paraId="401C7CA2">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根据国家相关法律法规，理财产品运营过程中发生的应由理财产品承担的增值税应税行为，由产品管理人申报和缴纳增值税及附加税费。该等税款将直接从理财产品中扣付缴纳，本理财产品将因为前述增值税等税负承担导致税费支出增加、理财产品净值或实际收益降低，从而降低投资者的收益水平。</w:t>
      </w:r>
    </w:p>
    <w:p w14:paraId="27F8AD11">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（十九）不同理财产品份额类别存在差异的风险</w:t>
      </w:r>
    </w:p>
    <w:p w14:paraId="0AF2740E">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管理人有权根据投资者购买理财产品的金额、销售渠道、客户类型等因素，对投资者所持有的理财产品份额设置不同的理财产品份额类别。不同类别的理财产品份额可能在产品销售名称、产品</w:t>
      </w:r>
      <w:r>
        <w:rPr>
          <w:rFonts w:hint="eastAsia" w:ascii="仿宋_GB2312" w:hAnsi="宋体" w:cs="宋体"/>
          <w:b w:val="0"/>
          <w:color w:val="auto"/>
          <w:kern w:val="0"/>
          <w:szCs w:val="24"/>
          <w:highlight w:val="none"/>
          <w:u w:val="none"/>
          <w:lang w:eastAsia="zh-CN"/>
        </w:rPr>
        <w:t>份额</w:t>
      </w:r>
      <w:r>
        <w:rPr>
          <w:rFonts w:hint="default" w:ascii="仿宋_GB2312" w:hAnsi="宋体" w:cs="宋体"/>
          <w:b w:val="0"/>
          <w:color w:val="auto"/>
          <w:kern w:val="0"/>
          <w:szCs w:val="24"/>
          <w:highlight w:val="none"/>
          <w:u w:val="none"/>
        </w:rPr>
        <w:t>代码、销售渠道、销售</w:t>
      </w:r>
      <w:r>
        <w:rPr>
          <w:rFonts w:hint="eastAsia" w:ascii="仿宋_GB2312" w:hAnsi="宋体" w:cs="宋体"/>
          <w:b w:val="0"/>
          <w:color w:val="auto"/>
          <w:kern w:val="0"/>
          <w:szCs w:val="24"/>
          <w:highlight w:val="none"/>
          <w:u w:val="none"/>
          <w:lang w:eastAsia="zh-CN"/>
        </w:rPr>
        <w:t>对象</w:t>
      </w:r>
      <w:r>
        <w:rPr>
          <w:rFonts w:hint="default" w:ascii="仿宋_GB2312" w:hAnsi="宋体" w:cs="宋体"/>
          <w:b w:val="0"/>
          <w:color w:val="auto"/>
          <w:kern w:val="0"/>
          <w:szCs w:val="24"/>
          <w:highlight w:val="none"/>
          <w:u w:val="none"/>
        </w:rPr>
        <w:t>、销售服务费率、托管费率、收费方式、业绩比较基准、起点</w:t>
      </w:r>
      <w:r>
        <w:rPr>
          <w:rFonts w:hint="eastAsia" w:ascii="仿宋_GB2312" w:hAnsi="宋体" w:cs="宋体"/>
          <w:b w:val="0"/>
          <w:color w:val="auto"/>
          <w:kern w:val="0"/>
          <w:szCs w:val="24"/>
          <w:highlight w:val="none"/>
          <w:u w:val="none"/>
          <w:lang w:eastAsia="zh-CN"/>
        </w:rPr>
        <w:t>销售</w:t>
      </w:r>
      <w:r>
        <w:rPr>
          <w:rFonts w:hint="default" w:ascii="仿宋_GB2312" w:hAnsi="宋体" w:cs="宋体"/>
          <w:b w:val="0"/>
          <w:color w:val="auto"/>
          <w:kern w:val="0"/>
          <w:szCs w:val="24"/>
          <w:highlight w:val="none"/>
          <w:u w:val="none"/>
        </w:rPr>
        <w:t>金额及</w:t>
      </w:r>
      <w:r>
        <w:rPr>
          <w:rFonts w:hint="eastAsia" w:ascii="仿宋_GB2312" w:hAnsi="宋体" w:cs="宋体"/>
          <w:b w:val="0"/>
          <w:color w:val="auto"/>
          <w:kern w:val="0"/>
          <w:szCs w:val="24"/>
          <w:highlight w:val="none"/>
          <w:u w:val="none"/>
          <w:lang w:eastAsia="zh-CN"/>
        </w:rPr>
        <w:t>追加</w:t>
      </w:r>
      <w:r>
        <w:rPr>
          <w:rFonts w:hint="default" w:ascii="仿宋_GB2312" w:hAnsi="宋体" w:cs="宋体"/>
          <w:b w:val="0"/>
          <w:color w:val="auto"/>
          <w:kern w:val="0"/>
          <w:szCs w:val="24"/>
          <w:highlight w:val="none"/>
          <w:u w:val="none"/>
        </w:rPr>
        <w:t>递增金额、认/申购上限金额、认/申购和赎回数量限制、持有金额上/下限、单一投资者持有份额占比上限、产品规模上限、产品份额净值的计算结果及信息披露等方面存在差异。</w:t>
      </w:r>
    </w:p>
    <w:p w14:paraId="10C58306">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（二十）投资特定风险</w:t>
      </w:r>
    </w:p>
    <w:p w14:paraId="0AD307A3">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本理财产品因拟投资市场和资产类别可能面临的特定风险如下：</w:t>
      </w:r>
    </w:p>
    <w:p w14:paraId="62B6C386">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1.投资于固定收益类资产</w:t>
      </w:r>
      <w:r>
        <w:rPr>
          <w:rFonts w:hint="eastAsia" w:ascii="仿宋_GB2312" w:hAnsi="宋体" w:cs="宋体"/>
          <w:b/>
          <w:bCs/>
          <w:color w:val="auto"/>
          <w:kern w:val="0"/>
          <w:szCs w:val="24"/>
          <w:highlight w:val="none"/>
          <w:u w:val="none"/>
          <w:lang w:eastAsia="zh-CN"/>
        </w:rPr>
        <w:t>（如有）</w:t>
      </w:r>
      <w:r>
        <w:rPr>
          <w:rFonts w:hint="default" w:ascii="仿宋_GB2312" w:hAnsi="宋体" w:cs="宋体"/>
          <w:b/>
          <w:bCs/>
          <w:color w:val="auto"/>
          <w:kern w:val="0"/>
          <w:szCs w:val="24"/>
          <w:highlight w:val="none"/>
          <w:u w:val="none"/>
        </w:rPr>
        <w:t>的可能风险：</w:t>
      </w:r>
    </w:p>
    <w:p w14:paraId="25485C4E">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1）国家政策、经济周期、利率、汇率等因素可能发生的变化导致的市场风险。（2）债券发行人、担保人的经营状况、信用质量降低等可能发生的变化导致的信用风险。（3）债券发行人、担保人信用等级降低导致债券价格下降，可能影响投资者收益，甚至使产品本金遭受损失。（4）非公开定向债务融资工具的流通和转让限制导致的流动性风险。（5）债券市场出现整体下跌，导致债券市场的系统性风险等。（6）可转/交换债券投资风险（如有）：可转/交换债券收益与对应标的股票股价直接挂钩，债券价格可能受之影响；转股期内，对应标的股票价格可能低于转股价格，若选择转股，产品将承受标的股票价格低于转股价格之间的价差；转股价格向下修正条款触发时，存在发行方不同意修正转股价格的风险；赎回条款可能导致债券提前兑付或转股期缩短而影响投资收益的风险；存在因政策限制导致无法转股的风险，可转/交换债券投资受到包括但不限于上述因素影响时，可能影响投资者收益，甚至使产品本金遭受损失。（7）永续债投资风险（如有）：永续债发行人可能延期支付利息，且永续债无到期日，可能因流动性差无法变现、无法收回本金，使产品出现流动性风险；永续债附加的回售或赎回权，可能会导致管理人以不利价格出售永续债，从而影响投资者收益。</w:t>
      </w:r>
    </w:p>
    <w:p w14:paraId="7CF5F36B">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2.投资于股票等权益类资产（如有）的可能风险：</w:t>
      </w:r>
    </w:p>
    <w:p w14:paraId="24851D3F">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国家货币、财政、产业等政策变化对证券市场产生一定的影响，导致市场价格水平波动的风险；宏观经济运行周期性波动，对股票市场的收益水平产生影响的风险；上市公司的经营状况受多种因素影响，如市场、技术、竞争、管理、财务等都可能导致公司盈利发生变化，从而导致股票价格下跌，影响投资者收益，甚至使产品本金遭受损失；股票遭流通和转让限制导致的流动性风险；投资于不同板块、不同市场股票，如投资科创板、创业板、港股通股票等，可能面临因投资标的、市场制度、交易规则、监管法规等差异造成的风险等。</w:t>
      </w:r>
    </w:p>
    <w:p w14:paraId="452D3501">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优先股具有固定收益证券的特征，但优先股发行方无到期归还本金的义务，可能发生发行人经营状况恶化、无法足额支付股息的风险，从而影响产品和投资者收益；优先股属于权益类资产，价格受国家各类政策、宏观经济、行业发展等多种因素影响，可能发生波动从而影响产品收益，甚至使产品本金遭受损失。</w:t>
      </w:r>
    </w:p>
    <w:p w14:paraId="628A4187">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3.投资于商品及金融衍生品类资产（如有）的可能风险：</w:t>
      </w:r>
    </w:p>
    <w:p w14:paraId="21E1C710">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基础产品价格波动造成衍生品价格波动，高杠杆和跨期交易可能加剧衍生品价格波动的市场风险；衍生品发行方或交易对手方违约或不履行合约的导致的信用风险；缺乏交易对手导致无法平仓/变现、流动资金不足或无法追加保证金导致被迫平仓造成亏损的风险；因内部程序、人员、系统操作不当或因外部事件导致损失的操作风险；部分衍生品操作相关法律法规的滞后，交易合约在法律范围内无效而无法履约或交易合约订立不当产生的法律风险。由于期货与现货间的价差的波动，影响套期保值或套利效果，使之发生意外损益的基差风险。</w:t>
      </w:r>
    </w:p>
    <w:p w14:paraId="02F9B994">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（二十一）其他风险</w:t>
      </w:r>
    </w:p>
    <w:p w14:paraId="1B6FE61E">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自然灾害、疫情、战争、金融危机等不能预见、不能避免、不能克服的不可抗力因素的出现，或系统故障、通讯故障、投资市场停止交易等意外事件的发生，可能对本理财产品的受理、成立、投资运作、资金返还、信息披露等造成影响，甚至可能导致本理财产品本金和收益的降低或损失，以及本金和收益延迟支付。对于由不可抗力及意外事件风险导致的任何损失和延迟支付，须投资者承担。</w:t>
      </w:r>
    </w:p>
    <w:p w14:paraId="08879A7E">
      <w:pPr>
        <w:widowControl/>
        <w:tabs>
          <w:tab w:val="left" w:pos="709"/>
        </w:tabs>
        <w:adjustRightInd w:val="0"/>
        <w:snapToGrid w:val="0"/>
        <w:spacing w:line="360" w:lineRule="auto"/>
        <w:ind w:firstLine="480" w:firstLineChars="200"/>
        <w:rPr>
          <w:rFonts w:hint="eastAsia" w:ascii="仿宋_GB2312" w:hAnsi="宋体" w:eastAsia="仿宋_GB2312" w:cs="宋体"/>
          <w:b w:val="0"/>
          <w:bCs w:val="0"/>
          <w:color w:val="auto"/>
          <w:kern w:val="0"/>
          <w:sz w:val="24"/>
          <w:szCs w:val="24"/>
          <w:highlight w:val="none"/>
          <w:u w:val="none"/>
          <w:lang w:eastAsia="zh-CN"/>
        </w:rPr>
      </w:pPr>
      <w:r>
        <w:rPr>
          <w:rFonts w:hint="default" w:ascii="仿宋_GB2312" w:hAnsi="宋体" w:cs="宋体"/>
          <w:b w:val="0"/>
          <w:color w:val="auto"/>
          <w:kern w:val="0"/>
          <w:szCs w:val="24"/>
          <w:highlight w:val="none"/>
          <w:u w:val="none"/>
        </w:rPr>
        <w:t>以上所揭示事项仅为列举性质，未能尽述列明投资者投资本理财产品所面临的全部风险和可能导致投资者资产损失的所有因素。投资者应充分认识投资风险，谨慎投资</w:t>
      </w:r>
      <w:r>
        <w:rPr>
          <w:rFonts w:hint="default" w:ascii="仿宋_GB2312" w:hAnsi="宋体" w:eastAsia="仿宋_GB2312" w:cs="宋体"/>
          <w:b w:val="0"/>
          <w:bCs w:val="0"/>
          <w:color w:val="auto"/>
          <w:kern w:val="0"/>
          <w:sz w:val="24"/>
          <w:szCs w:val="24"/>
          <w:highlight w:val="none"/>
          <w:u w:val="none"/>
        </w:rPr>
        <w:t>。</w:t>
      </w:r>
    </w:p>
    <w:p w14:paraId="56FA38EE">
      <w:pPr>
        <w:widowControl/>
        <w:rPr>
          <w:rFonts w:ascii="仿宋_GB2312" w:hAnsi="宋体" w:cs="宋体"/>
          <w:b/>
          <w:color w:val="auto"/>
          <w:kern w:val="0"/>
          <w:szCs w:val="24"/>
          <w:highlight w:val="none"/>
        </w:rPr>
      </w:pPr>
    </w:p>
    <w:p w14:paraId="0EDBF9B6">
      <w:pPr>
        <w:widowControl/>
        <w:rPr>
          <w:rFonts w:ascii="仿宋_GB2312" w:hAnsi="宋体" w:cs="宋体"/>
          <w:b/>
          <w:color w:val="auto"/>
          <w:kern w:val="0"/>
          <w:szCs w:val="24"/>
          <w:highlight w:val="none"/>
        </w:rPr>
      </w:pPr>
    </w:p>
    <w:p w14:paraId="2B6B2EB8">
      <w:pPr>
        <w:widowControl/>
        <w:rPr>
          <w:rFonts w:ascii="仿宋_GB2312" w:hAnsi="宋体" w:cs="宋体"/>
          <w:b/>
          <w:color w:val="auto"/>
          <w:kern w:val="0"/>
          <w:szCs w:val="24"/>
          <w:highlight w:val="none"/>
        </w:rPr>
      </w:pPr>
    </w:p>
    <w:p w14:paraId="594DCB06">
      <w:pPr>
        <w:rPr>
          <w:rFonts w:ascii="仿宋_GB2312" w:hAnsi="宋体" w:cs="宋体"/>
          <w:b/>
          <w:color w:val="auto"/>
          <w:kern w:val="0"/>
          <w:szCs w:val="24"/>
          <w:highlight w:val="none"/>
        </w:rPr>
      </w:pPr>
      <w:r>
        <w:rPr>
          <w:rFonts w:ascii="仿宋_GB2312" w:hAnsi="宋体" w:cs="宋体"/>
          <w:b/>
          <w:color w:val="auto"/>
          <w:kern w:val="0"/>
          <w:szCs w:val="24"/>
          <w:highlight w:val="none"/>
        </w:rPr>
        <w:br w:type="page"/>
      </w:r>
    </w:p>
    <w:p w14:paraId="7FE77C36">
      <w:pPr>
        <w:pStyle w:val="2"/>
        <w:rPr>
          <w:color w:val="auto"/>
          <w:highlight w:val="none"/>
        </w:rPr>
      </w:pPr>
      <w:r>
        <w:rPr>
          <w:rFonts w:hint="eastAsia"/>
          <w:color w:val="auto"/>
          <w:highlight w:val="none"/>
        </w:rPr>
        <w:t>特别提示</w:t>
      </w:r>
    </w:p>
    <w:p w14:paraId="756980A0">
      <w:pPr>
        <w:widowControl/>
        <w:tabs>
          <w:tab w:val="left" w:pos="709"/>
        </w:tabs>
        <w:snapToGrid w:val="0"/>
        <w:spacing w:line="360" w:lineRule="auto"/>
        <w:ind w:firstLine="482" w:firstLineChars="200"/>
        <w:rPr>
          <w:rFonts w:ascii="仿宋_GB2312" w:hAnsi="宋体" w:cs="宋体"/>
          <w:b/>
          <w:bCs/>
          <w:color w:val="auto"/>
          <w:kern w:val="0"/>
          <w:szCs w:val="24"/>
          <w:highlight w:val="none"/>
        </w:rPr>
      </w:pPr>
      <w:r>
        <w:rPr>
          <w:rFonts w:hint="eastAsia" w:ascii="仿宋_GB2312" w:hAnsi="宋体" w:cs="宋体"/>
          <w:b/>
          <w:bCs/>
          <w:color w:val="auto"/>
          <w:kern w:val="0"/>
          <w:szCs w:val="24"/>
          <w:highlight w:val="none"/>
        </w:rPr>
        <w:t>若本理财产品所投资资产到期不能全部偿付导致资产减值甚至本金大幅损失，则浙银理财将以产品管理人名义，代表投资者利益行使诉讼权利或者实施其他法律行为。</w:t>
      </w:r>
    </w:p>
    <w:p w14:paraId="7333F274">
      <w:pPr>
        <w:widowControl/>
        <w:tabs>
          <w:tab w:val="left" w:pos="709"/>
        </w:tabs>
        <w:snapToGrid w:val="0"/>
        <w:spacing w:line="360" w:lineRule="auto"/>
        <w:ind w:firstLine="482" w:firstLineChars="200"/>
        <w:rPr>
          <w:rFonts w:ascii="仿宋_GB2312" w:hAnsi="宋体" w:cs="宋体"/>
          <w:b/>
          <w:bCs/>
          <w:color w:val="auto"/>
          <w:kern w:val="0"/>
          <w:szCs w:val="24"/>
          <w:highlight w:val="none"/>
        </w:rPr>
      </w:pPr>
      <w:r>
        <w:rPr>
          <w:rFonts w:hint="eastAsia" w:ascii="仿宋_GB2312" w:hAnsi="宋体" w:cs="宋体"/>
          <w:b/>
          <w:bCs/>
          <w:color w:val="auto"/>
          <w:kern w:val="0"/>
          <w:szCs w:val="24"/>
          <w:highlight w:val="none"/>
        </w:rPr>
        <w:t>产品管理人对投资者信息负有保密义务，不得无故向任何组织、个人提供或泄露与投资者有关的业务资料及信息。产品管理人向确有知悉必要的雇员提供投资者信息，或按照有关法律、法规、监管要求向司法机关、行政机关等有关政府部门、投资合作机构及第三方专业机构提供的，不视为对保密义务的违反。</w:t>
      </w:r>
    </w:p>
    <w:p w14:paraId="54E8EC0C">
      <w:pPr>
        <w:widowControl/>
        <w:tabs>
          <w:tab w:val="left" w:pos="709"/>
        </w:tabs>
        <w:snapToGrid w:val="0"/>
        <w:spacing w:line="360" w:lineRule="auto"/>
        <w:ind w:firstLine="482" w:firstLineChars="200"/>
        <w:rPr>
          <w:rFonts w:ascii="仿宋_GB2312" w:hAnsi="宋体" w:cs="宋体"/>
          <w:b/>
          <w:bCs/>
          <w:color w:val="auto"/>
          <w:kern w:val="0"/>
          <w:szCs w:val="24"/>
          <w:highlight w:val="none"/>
        </w:rPr>
      </w:pPr>
      <w:r>
        <w:rPr>
          <w:rFonts w:hint="eastAsia" w:ascii="仿宋_GB2312" w:hAnsi="宋体" w:cs="宋体"/>
          <w:b/>
          <w:bCs/>
          <w:color w:val="auto"/>
          <w:kern w:val="0"/>
          <w:szCs w:val="24"/>
          <w:highlight w:val="none"/>
        </w:rPr>
        <w:t>产品管理人根据适用的法律法规和监管机构要求，向监管机构和/或其他有权机关（包括但不限于理财登记中心数据交换平台）报送投资者身份信息及投资者持有本产品份额及其变动情况等相关信息。产品管理人对向监管机构和/或监管机构指定机构报送的相关信息负有保密义务,并在报送信息过程中,采取有效措施确保信息安全与保密。</w:t>
      </w:r>
    </w:p>
    <w:p w14:paraId="72F007E9">
      <w:pPr>
        <w:widowControl/>
        <w:tabs>
          <w:tab w:val="left" w:pos="709"/>
        </w:tabs>
        <w:snapToGrid w:val="0"/>
        <w:spacing w:line="360" w:lineRule="auto"/>
        <w:ind w:firstLine="480" w:firstLineChars="200"/>
        <w:rPr>
          <w:rFonts w:ascii="仿宋_GB2312" w:hAnsi="宋体" w:cs="宋体"/>
          <w:b/>
          <w:bCs/>
          <w:color w:val="auto"/>
          <w:kern w:val="0"/>
          <w:szCs w:val="24"/>
          <w:highlight w:val="none"/>
        </w:rPr>
      </w:pPr>
      <w:r>
        <w:rPr>
          <w:rFonts w:hint="eastAsia"/>
          <w:color w:val="auto"/>
          <w:highlight w:val="none"/>
        </w:rPr>
        <w:t>本产品的转让将依照理财产品销售文件及销售机构的业务政策执行。</w:t>
      </w:r>
    </w:p>
    <w:p w14:paraId="735C5673">
      <w:pPr>
        <w:tabs>
          <w:tab w:val="left" w:pos="709"/>
        </w:tabs>
        <w:snapToGrid w:val="0"/>
        <w:spacing w:line="360" w:lineRule="auto"/>
        <w:ind w:firstLine="480" w:firstLineChars="200"/>
        <w:rPr>
          <w:rFonts w:hint="eastAsia" w:ascii="仿宋_GB2312" w:cs="宋体" w:hAnsiTheme="minorEastAsia"/>
          <w:bCs/>
          <w:color w:val="auto"/>
          <w:kern w:val="0"/>
          <w:szCs w:val="32"/>
          <w:highlight w:val="none"/>
        </w:rPr>
      </w:pPr>
      <w:r>
        <w:rPr>
          <w:rFonts w:hint="eastAsia" w:ascii="仿宋_GB2312" w:hAnsi="宋体" w:cs="宋体"/>
          <w:bCs/>
          <w:color w:val="auto"/>
          <w:kern w:val="0"/>
          <w:szCs w:val="24"/>
          <w:highlight w:val="none"/>
        </w:rPr>
        <w:t>投资者对本理财产品有任何意见或异议，</w:t>
      </w:r>
      <w:r>
        <w:rPr>
          <w:rFonts w:hint="eastAsia" w:ascii="仿宋_GB2312" w:cs="宋体" w:hAnsiTheme="minorEastAsia"/>
          <w:bCs/>
          <w:color w:val="auto"/>
          <w:kern w:val="0"/>
          <w:szCs w:val="32"/>
          <w:highlight w:val="none"/>
        </w:rPr>
        <w:t>敬请联系您的销售服务机构，具体联系方式以《产品说明书》等销售文件的披露为准；或反馈至浙银理财服务电话：0571-57192881。</w:t>
      </w:r>
    </w:p>
    <w:p w14:paraId="0E2D40A5">
      <w:pPr>
        <w:tabs>
          <w:tab w:val="left" w:pos="709"/>
        </w:tabs>
        <w:snapToGrid w:val="0"/>
        <w:spacing w:line="360" w:lineRule="auto"/>
        <w:ind w:firstLine="480" w:firstLineChars="200"/>
        <w:rPr>
          <w:rFonts w:hint="eastAsia" w:ascii="仿宋_GB2312" w:cs="宋体" w:hAnsiTheme="minorEastAsia"/>
          <w:bCs/>
          <w:color w:val="auto"/>
          <w:kern w:val="0"/>
          <w:szCs w:val="32"/>
          <w:highlight w:val="none"/>
        </w:rPr>
      </w:pPr>
    </w:p>
    <w:p w14:paraId="69C9BF58">
      <w:pPr>
        <w:tabs>
          <w:tab w:val="left" w:pos="709"/>
        </w:tabs>
        <w:snapToGrid w:val="0"/>
        <w:spacing w:line="360" w:lineRule="auto"/>
        <w:ind w:firstLine="480" w:firstLineChars="200"/>
        <w:rPr>
          <w:rFonts w:hint="eastAsia" w:ascii="仿宋_GB2312" w:cs="宋体" w:hAnsiTheme="minorEastAsia"/>
          <w:bCs/>
          <w:color w:val="auto"/>
          <w:kern w:val="0"/>
          <w:szCs w:val="32"/>
          <w:highlight w:val="none"/>
        </w:rPr>
      </w:pPr>
    </w:p>
    <w:p w14:paraId="6678C8D4">
      <w:pPr>
        <w:tabs>
          <w:tab w:val="left" w:pos="709"/>
        </w:tabs>
        <w:snapToGrid w:val="0"/>
        <w:spacing w:line="360" w:lineRule="auto"/>
        <w:ind w:firstLine="480" w:firstLineChars="200"/>
        <w:rPr>
          <w:rFonts w:hint="eastAsia" w:ascii="仿宋_GB2312" w:cs="宋体" w:hAnsiTheme="minorEastAsia"/>
          <w:bCs/>
          <w:color w:val="auto"/>
          <w:kern w:val="0"/>
          <w:szCs w:val="32"/>
          <w:highlight w:val="none"/>
        </w:rPr>
      </w:pPr>
    </w:p>
    <w:p w14:paraId="1E6295D0">
      <w:pPr>
        <w:tabs>
          <w:tab w:val="left" w:pos="709"/>
        </w:tabs>
        <w:snapToGrid w:val="0"/>
        <w:spacing w:line="360" w:lineRule="auto"/>
        <w:ind w:firstLine="480" w:firstLineChars="200"/>
        <w:rPr>
          <w:rFonts w:hint="eastAsia" w:ascii="仿宋_GB2312" w:cs="宋体" w:hAnsiTheme="minorEastAsia"/>
          <w:bCs/>
          <w:color w:val="auto"/>
          <w:kern w:val="0"/>
          <w:szCs w:val="32"/>
          <w:highlight w:val="none"/>
        </w:rPr>
      </w:pPr>
    </w:p>
    <w:p w14:paraId="0CDFD00F">
      <w:pPr>
        <w:tabs>
          <w:tab w:val="left" w:pos="709"/>
        </w:tabs>
        <w:snapToGrid w:val="0"/>
        <w:spacing w:line="360" w:lineRule="auto"/>
        <w:ind w:firstLine="480" w:firstLineChars="200"/>
        <w:rPr>
          <w:rFonts w:hint="eastAsia" w:ascii="仿宋_GB2312" w:cs="宋体" w:hAnsiTheme="minorEastAsia"/>
          <w:bCs/>
          <w:color w:val="auto"/>
          <w:kern w:val="0"/>
          <w:szCs w:val="32"/>
          <w:highlight w:val="none"/>
        </w:rPr>
      </w:pPr>
    </w:p>
    <w:p w14:paraId="31A10681">
      <w:pPr>
        <w:tabs>
          <w:tab w:val="left" w:pos="709"/>
        </w:tabs>
        <w:snapToGrid w:val="0"/>
        <w:spacing w:line="360" w:lineRule="auto"/>
        <w:ind w:firstLine="480" w:firstLineChars="200"/>
        <w:rPr>
          <w:rFonts w:hint="eastAsia" w:ascii="仿宋_GB2312" w:cs="宋体" w:hAnsiTheme="minorEastAsia"/>
          <w:bCs/>
          <w:color w:val="auto"/>
          <w:kern w:val="0"/>
          <w:szCs w:val="32"/>
          <w:highlight w:val="none"/>
        </w:rPr>
      </w:pPr>
    </w:p>
    <w:p w14:paraId="1E1C280F">
      <w:pPr>
        <w:tabs>
          <w:tab w:val="left" w:pos="709"/>
        </w:tabs>
        <w:snapToGrid w:val="0"/>
        <w:spacing w:line="360" w:lineRule="auto"/>
        <w:ind w:firstLine="480" w:firstLineChars="200"/>
        <w:rPr>
          <w:rFonts w:hint="eastAsia" w:ascii="仿宋_GB2312" w:cs="宋体" w:hAnsiTheme="minorEastAsia"/>
          <w:bCs/>
          <w:color w:val="auto"/>
          <w:kern w:val="0"/>
          <w:szCs w:val="32"/>
          <w:highlight w:val="none"/>
        </w:rPr>
      </w:pPr>
    </w:p>
    <w:p w14:paraId="6724FC35">
      <w:pPr>
        <w:tabs>
          <w:tab w:val="left" w:pos="709"/>
        </w:tabs>
        <w:snapToGrid w:val="0"/>
        <w:spacing w:line="360" w:lineRule="auto"/>
        <w:ind w:firstLine="480" w:firstLineChars="200"/>
        <w:rPr>
          <w:rFonts w:hint="eastAsia" w:ascii="仿宋_GB2312" w:cs="宋体" w:hAnsiTheme="minorEastAsia"/>
          <w:bCs/>
          <w:color w:val="auto"/>
          <w:kern w:val="0"/>
          <w:szCs w:val="32"/>
          <w:highlight w:val="none"/>
        </w:rPr>
      </w:pPr>
    </w:p>
    <w:p w14:paraId="793FC641">
      <w:pPr>
        <w:tabs>
          <w:tab w:val="left" w:pos="709"/>
        </w:tabs>
        <w:snapToGrid w:val="0"/>
        <w:spacing w:line="360" w:lineRule="auto"/>
        <w:ind w:firstLine="480" w:firstLineChars="200"/>
        <w:rPr>
          <w:rFonts w:hint="eastAsia" w:ascii="仿宋_GB2312" w:cs="宋体" w:hAnsiTheme="minorEastAsia"/>
          <w:bCs/>
          <w:color w:val="auto"/>
          <w:kern w:val="0"/>
          <w:szCs w:val="32"/>
          <w:highlight w:val="none"/>
        </w:rPr>
      </w:pPr>
    </w:p>
    <w:p w14:paraId="505E7FB8">
      <w:pPr>
        <w:tabs>
          <w:tab w:val="left" w:pos="709"/>
        </w:tabs>
        <w:snapToGrid w:val="0"/>
        <w:spacing w:line="360" w:lineRule="auto"/>
        <w:ind w:firstLine="480" w:firstLineChars="200"/>
        <w:rPr>
          <w:rFonts w:hint="eastAsia" w:ascii="仿宋_GB2312" w:cs="宋体" w:hAnsiTheme="minorEastAsia"/>
          <w:bCs/>
          <w:color w:val="auto"/>
          <w:kern w:val="0"/>
          <w:szCs w:val="32"/>
          <w:highlight w:val="none"/>
        </w:rPr>
      </w:pPr>
    </w:p>
    <w:p w14:paraId="767BF3C9">
      <w:pPr>
        <w:tabs>
          <w:tab w:val="left" w:pos="709"/>
        </w:tabs>
        <w:snapToGrid w:val="0"/>
        <w:spacing w:line="360" w:lineRule="auto"/>
        <w:ind w:firstLine="480" w:firstLineChars="200"/>
        <w:rPr>
          <w:rFonts w:hint="eastAsia" w:ascii="仿宋_GB2312" w:cs="宋体" w:hAnsiTheme="minorEastAsia"/>
          <w:bCs/>
          <w:color w:val="auto"/>
          <w:kern w:val="0"/>
          <w:szCs w:val="32"/>
          <w:highlight w:val="none"/>
        </w:rPr>
      </w:pPr>
    </w:p>
    <w:p w14:paraId="54CBB9B1">
      <w:pPr>
        <w:tabs>
          <w:tab w:val="left" w:pos="709"/>
        </w:tabs>
        <w:snapToGrid w:val="0"/>
        <w:spacing w:line="360" w:lineRule="auto"/>
        <w:ind w:firstLine="480" w:firstLineChars="200"/>
        <w:rPr>
          <w:rFonts w:hint="eastAsia" w:ascii="仿宋_GB2312" w:cs="宋体" w:hAnsiTheme="minorEastAsia"/>
          <w:bCs/>
          <w:color w:val="auto"/>
          <w:kern w:val="0"/>
          <w:szCs w:val="32"/>
          <w:highlight w:val="none"/>
        </w:rPr>
      </w:pPr>
    </w:p>
    <w:p w14:paraId="30F586B9">
      <w:pPr>
        <w:tabs>
          <w:tab w:val="left" w:pos="709"/>
        </w:tabs>
        <w:snapToGrid w:val="0"/>
        <w:spacing w:line="360" w:lineRule="auto"/>
        <w:ind w:firstLine="480" w:firstLineChars="200"/>
        <w:rPr>
          <w:rFonts w:hint="eastAsia" w:ascii="仿宋_GB2312" w:cs="宋体" w:hAnsiTheme="minorEastAsia"/>
          <w:bCs/>
          <w:color w:val="auto"/>
          <w:kern w:val="0"/>
          <w:szCs w:val="32"/>
          <w:highlight w:val="none"/>
        </w:rPr>
      </w:pPr>
    </w:p>
    <w:p w14:paraId="57058FF7">
      <w:pPr>
        <w:tabs>
          <w:tab w:val="left" w:pos="709"/>
        </w:tabs>
        <w:snapToGrid w:val="0"/>
        <w:spacing w:line="360" w:lineRule="auto"/>
        <w:ind w:firstLine="480" w:firstLineChars="200"/>
        <w:rPr>
          <w:rFonts w:hint="eastAsia" w:ascii="仿宋_GB2312" w:cs="宋体" w:hAnsiTheme="minorEastAsia"/>
          <w:bCs/>
          <w:color w:val="auto"/>
          <w:kern w:val="0"/>
          <w:szCs w:val="32"/>
          <w:highlight w:val="none"/>
        </w:rPr>
      </w:pPr>
    </w:p>
    <w:p w14:paraId="7C4A59DE">
      <w:pPr>
        <w:tabs>
          <w:tab w:val="left" w:pos="709"/>
        </w:tabs>
        <w:snapToGrid w:val="0"/>
        <w:spacing w:line="360" w:lineRule="auto"/>
        <w:ind w:firstLine="480" w:firstLineChars="200"/>
        <w:rPr>
          <w:rFonts w:hint="eastAsia" w:ascii="仿宋_GB2312" w:cs="宋体" w:hAnsiTheme="minorEastAsia"/>
          <w:bCs/>
          <w:color w:val="auto"/>
          <w:kern w:val="0"/>
          <w:szCs w:val="32"/>
          <w:highlight w:val="none"/>
        </w:rPr>
      </w:pPr>
    </w:p>
    <w:p w14:paraId="4F71DAA8">
      <w:pPr>
        <w:rPr>
          <w:rFonts w:hint="eastAsia" w:ascii="仿宋_GB2312" w:cs="宋体" w:hAnsiTheme="minorEastAsia"/>
          <w:bCs/>
          <w:color w:val="auto"/>
          <w:kern w:val="0"/>
          <w:szCs w:val="32"/>
          <w:highlight w:val="none"/>
        </w:rPr>
      </w:pPr>
      <w:r>
        <w:rPr>
          <w:rFonts w:hint="eastAsia" w:ascii="仿宋_GB2312" w:cs="宋体" w:hAnsiTheme="minorEastAsia"/>
          <w:bCs/>
          <w:color w:val="auto"/>
          <w:kern w:val="0"/>
          <w:szCs w:val="32"/>
          <w:highlight w:val="none"/>
        </w:rPr>
        <w:br w:type="page"/>
      </w:r>
    </w:p>
    <w:p w14:paraId="21F89F7E">
      <w:pPr>
        <w:widowControl/>
        <w:tabs>
          <w:tab w:val="left" w:pos="709"/>
        </w:tabs>
        <w:snapToGrid w:val="0"/>
        <w:spacing w:line="360" w:lineRule="auto"/>
        <w:ind w:firstLine="480" w:firstLineChars="200"/>
        <w:rPr>
          <w:rFonts w:hint="eastAsia"/>
          <w:color w:val="auto"/>
          <w:highlight w:val="none"/>
          <w:u w:val="none"/>
          <w:lang w:val="en-US" w:eastAsia="zh-CN"/>
        </w:rPr>
      </w:pPr>
      <w:r>
        <w:rPr>
          <w:rFonts w:hint="eastAsia"/>
          <w:color w:val="auto"/>
          <w:highlight w:val="none"/>
          <w:u w:val="none"/>
          <w:lang w:val="en-US" w:eastAsia="zh-CN"/>
        </w:rPr>
        <w:t xml:space="preserve">（本页为签署页，无正文） </w:t>
      </w:r>
    </w:p>
    <w:p w14:paraId="43EA376E">
      <w:pPr>
        <w:widowControl/>
        <w:tabs>
          <w:tab w:val="left" w:pos="709"/>
        </w:tabs>
        <w:snapToGrid w:val="0"/>
        <w:spacing w:line="360" w:lineRule="auto"/>
        <w:ind w:firstLine="480" w:firstLineChars="200"/>
        <w:rPr>
          <w:rFonts w:hint="eastAsia"/>
          <w:color w:val="auto"/>
          <w:highlight w:val="none"/>
          <w:u w:val="none"/>
          <w:lang w:val="en-US" w:eastAsia="zh-CN"/>
        </w:rPr>
      </w:pPr>
      <w:r>
        <w:rPr>
          <w:rFonts w:hint="eastAsia"/>
          <w:color w:val="auto"/>
          <w:highlight w:val="none"/>
          <w:u w:val="none"/>
          <w:lang w:val="en-US" w:eastAsia="zh-CN"/>
        </w:rPr>
        <w:t>投资者（个人客户签名） ：</w:t>
      </w:r>
    </w:p>
    <w:p w14:paraId="3DF43237">
      <w:pPr>
        <w:widowControl/>
        <w:tabs>
          <w:tab w:val="left" w:pos="709"/>
        </w:tabs>
        <w:snapToGrid w:val="0"/>
        <w:spacing w:line="360" w:lineRule="auto"/>
        <w:ind w:firstLine="480" w:firstLineChars="200"/>
        <w:rPr>
          <w:rFonts w:hint="eastAsia"/>
          <w:color w:val="auto"/>
          <w:highlight w:val="none"/>
          <w:u w:val="none"/>
          <w:lang w:val="en-US" w:eastAsia="zh-CN"/>
        </w:rPr>
      </w:pPr>
    </w:p>
    <w:p w14:paraId="6B349DDE">
      <w:pPr>
        <w:widowControl/>
        <w:tabs>
          <w:tab w:val="left" w:pos="709"/>
        </w:tabs>
        <w:snapToGrid w:val="0"/>
        <w:spacing w:line="360" w:lineRule="auto"/>
        <w:ind w:firstLine="480" w:firstLineChars="200"/>
        <w:rPr>
          <w:rFonts w:hint="eastAsia"/>
          <w:color w:val="auto"/>
          <w:highlight w:val="none"/>
          <w:u w:val="none"/>
        </w:rPr>
      </w:pPr>
      <w:r>
        <w:rPr>
          <w:rFonts w:hint="eastAsia"/>
          <w:color w:val="auto"/>
          <w:highlight w:val="none"/>
          <w:u w:val="none"/>
          <w:lang w:val="en-US" w:eastAsia="zh-CN"/>
        </w:rPr>
        <w:t>投资者（机构客户盖公章） ：</w:t>
      </w:r>
    </w:p>
    <w:p w14:paraId="19337ED3">
      <w:pPr>
        <w:widowControl/>
        <w:tabs>
          <w:tab w:val="left" w:pos="709"/>
        </w:tabs>
        <w:snapToGrid w:val="0"/>
        <w:spacing w:line="360" w:lineRule="auto"/>
        <w:ind w:firstLine="480" w:firstLineChars="200"/>
        <w:rPr>
          <w:rFonts w:hint="eastAsia"/>
          <w:color w:val="auto"/>
          <w:highlight w:val="none"/>
          <w:u w:val="none"/>
        </w:rPr>
      </w:pPr>
      <w:r>
        <w:rPr>
          <w:rFonts w:hint="eastAsia"/>
          <w:color w:val="auto"/>
          <w:highlight w:val="none"/>
          <w:u w:val="none"/>
          <w:lang w:val="en-US" w:eastAsia="zh-CN"/>
        </w:rPr>
        <w:t xml:space="preserve">法定代表人或授权代理人（签名或盖个人名章）： </w:t>
      </w:r>
    </w:p>
    <w:p w14:paraId="156882D8">
      <w:pPr>
        <w:widowControl/>
        <w:tabs>
          <w:tab w:val="left" w:pos="709"/>
        </w:tabs>
        <w:snapToGrid w:val="0"/>
        <w:spacing w:line="360" w:lineRule="auto"/>
        <w:ind w:firstLine="480" w:firstLineChars="200"/>
        <w:rPr>
          <w:rFonts w:hint="eastAsia"/>
          <w:color w:val="auto"/>
          <w:highlight w:val="none"/>
          <w:u w:val="none"/>
          <w:lang w:val="en-US" w:eastAsia="zh-CN"/>
        </w:rPr>
      </w:pPr>
    </w:p>
    <w:p w14:paraId="001DE9E6">
      <w:pPr>
        <w:widowControl/>
        <w:tabs>
          <w:tab w:val="left" w:pos="709"/>
        </w:tabs>
        <w:snapToGrid w:val="0"/>
        <w:spacing w:line="360" w:lineRule="auto"/>
        <w:ind w:firstLine="480" w:firstLineChars="200"/>
        <w:rPr>
          <w:rFonts w:hint="eastAsia"/>
          <w:color w:val="auto"/>
          <w:highlight w:val="none"/>
          <w:u w:val="none"/>
        </w:rPr>
      </w:pPr>
      <w:r>
        <w:rPr>
          <w:rFonts w:hint="eastAsia"/>
          <w:color w:val="auto"/>
          <w:highlight w:val="none"/>
          <w:u w:val="none"/>
          <w:lang w:val="en-US" w:eastAsia="zh-CN"/>
        </w:rPr>
        <w:t>签约日期:_______年______月______日</w:t>
      </w:r>
    </w:p>
    <w:p w14:paraId="1C10362E">
      <w:pPr>
        <w:tabs>
          <w:tab w:val="left" w:pos="709"/>
        </w:tabs>
        <w:snapToGrid w:val="0"/>
        <w:spacing w:line="360" w:lineRule="auto"/>
        <w:ind w:firstLine="480" w:firstLineChars="200"/>
        <w:rPr>
          <w:rFonts w:hint="eastAsia" w:ascii="仿宋_GB2312" w:cs="宋体" w:hAnsiTheme="minorEastAsia"/>
          <w:bCs/>
          <w:color w:val="auto"/>
          <w:kern w:val="0"/>
          <w:szCs w:val="32"/>
          <w:highlight w:val="none"/>
        </w:rPr>
      </w:pPr>
    </w:p>
    <w:p w14:paraId="595CD37B">
      <w:pPr>
        <w:widowControl/>
        <w:tabs>
          <w:tab w:val="left" w:pos="709"/>
        </w:tabs>
        <w:snapToGrid w:val="0"/>
        <w:spacing w:line="360" w:lineRule="auto"/>
        <w:ind w:firstLine="0" w:firstLineChars="0"/>
        <w:rPr>
          <w:rFonts w:ascii="仿宋_GB2312" w:hAnsi="宋体" w:cs="宋体"/>
          <w:bCs/>
          <w:color w:val="auto"/>
          <w:kern w:val="0"/>
          <w:szCs w:val="24"/>
          <w:highlight w:val="none"/>
        </w:rPr>
      </w:pPr>
    </w:p>
    <w:p w14:paraId="0EC58318">
      <w:pPr>
        <w:widowControl/>
        <w:jc w:val="left"/>
        <w:rPr>
          <w:color w:val="auto"/>
          <w:szCs w:val="24"/>
          <w:highlight w:val="none"/>
        </w:rPr>
      </w:pPr>
    </w:p>
    <w:sectPr>
      <w:headerReference r:id="rId3" w:type="default"/>
      <w:footerReference r:id="rId4" w:type="default"/>
      <w:pgSz w:w="11906" w:h="16838"/>
      <w:pgMar w:top="720" w:right="720" w:bottom="720" w:left="720" w:header="680" w:footer="992" w:gutter="0"/>
      <w:cols w:space="720"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等线">
    <w:altName w:val="微软雅黑"/>
    <w:panose1 w:val="02010600030101010101"/>
    <w:charset w:val="86"/>
    <w:family w:val="auto"/>
    <w:pitch w:val="default"/>
    <w:sig w:usb0="00000000" w:usb1="00000000" w:usb2="00000016" w:usb3="00000000" w:csb0="0004000F" w:csb1="00000000"/>
  </w:font>
  <w:font w:name="楷体_GB2312">
    <w:panose1 w:val="02010609030101010101"/>
    <w:charset w:val="86"/>
    <w:family w:val="modern"/>
    <w:pitch w:val="default"/>
    <w:sig w:usb0="00000001" w:usb1="080E0000" w:usb2="00000000" w:usb3="00000000" w:csb0="00040000" w:csb1="00000000"/>
  </w:font>
  <w:font w:name="仿宋">
    <w:altName w:val="微软雅黑"/>
    <w:panose1 w:val="02010609060101010101"/>
    <w:charset w:val="86"/>
    <w:family w:val="modern"/>
    <w:pitch w:val="default"/>
    <w:sig w:usb0="00000000" w:usb1="00000000" w:usb2="00000016" w:usb3="00000000" w:csb0="00040001" w:csb1="00000000"/>
  </w:font>
  <w:font w:name="Wingdings 2">
    <w:panose1 w:val="05020102010507070707"/>
    <w:charset w:val="00"/>
    <w:family w:val="auto"/>
    <w:pitch w:val="default"/>
    <w:sig w:usb0="00000000" w:usb1="00000000" w:usb2="00000000" w:usb3="00000000" w:csb0="80000000" w:csb1="00000000"/>
  </w:font>
  <w:font w:name="东文宋体">
    <w:altName w:val="宋体"/>
    <w:panose1 w:val="00000000000000000000"/>
    <w:charset w:val="00"/>
    <w:family w:val="auto"/>
    <w:pitch w:val="default"/>
    <w:sig w:usb0="00000000" w:usb1="00000000" w:usb2="00000000" w:usb3="00000000" w:csb0="00040001" w:csb1="00000000"/>
  </w:font>
  <w:font w:name="DejaVu Sans">
    <w:panose1 w:val="020B0603030804020204"/>
    <w:charset w:val="00"/>
    <w:family w:val="auto"/>
    <w:pitch w:val="default"/>
    <w:sig w:usb0="E7006EFF" w:usb1="D200FDFF" w:usb2="0A246029" w:usb3="0400200C" w:csb0="600001FF" w:csb1="DFFF0000"/>
  </w:font>
  <w:font w:name="文泉驿微米黑">
    <w:panose1 w:val="020B0606030804020204"/>
    <w:charset w:val="86"/>
    <w:family w:val="auto"/>
    <w:pitch w:val="default"/>
    <w:sig w:usb0="E10002EF" w:usb1="6BDFFCFB" w:usb2="00800036" w:usb3="00000000" w:csb0="603E01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15C44C">
    <w:pPr>
      <w:pStyle w:val="13"/>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33</w:t>
    </w:r>
    <w:r>
      <w:rPr>
        <w:b/>
        <w:bCs/>
        <w:sz w:val="24"/>
        <w:szCs w:val="24"/>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08FE88">
    <w:pPr>
      <w:pStyle w:val="14"/>
      <w:spacing w:line="276" w:lineRule="auto"/>
      <w:jc w:val="left"/>
      <w:rPr>
        <w:rFonts w:ascii="宋体" w:hAnsi="宋体" w:eastAsia="宋体"/>
        <w:b/>
        <w:sz w:val="24"/>
        <w:szCs w:val="21"/>
      </w:rPr>
    </w:pPr>
    <w:r>
      <w:rPr>
        <w:rFonts w:hint="eastAsia" w:ascii="宋体" w:hAnsi="宋体" w:eastAsia="宋体"/>
        <w:b/>
        <w:sz w:val="24"/>
        <w:szCs w:val="21"/>
      </w:rPr>
      <w:t>理财非存款</w:t>
    </w:r>
    <w:r>
      <w:rPr>
        <w:rFonts w:ascii="宋体" w:hAnsi="宋体" w:eastAsia="宋体"/>
        <w:b/>
        <w:sz w:val="24"/>
        <w:szCs w:val="21"/>
      </w:rPr>
      <w:t xml:space="preserve"> </w:t>
    </w:r>
    <w:r>
      <w:rPr>
        <w:rFonts w:hint="eastAsia" w:ascii="宋体" w:hAnsi="宋体" w:eastAsia="宋体"/>
        <w:b/>
        <w:sz w:val="24"/>
        <w:szCs w:val="21"/>
      </w:rPr>
      <w:t>产品有风险</w:t>
    </w:r>
    <w:r>
      <w:rPr>
        <w:rFonts w:ascii="宋体" w:hAnsi="宋体" w:eastAsia="宋体"/>
        <w:b/>
        <w:sz w:val="24"/>
        <w:szCs w:val="21"/>
      </w:rPr>
      <w:t xml:space="preserve"> </w:t>
    </w:r>
    <w:r>
      <w:rPr>
        <w:rFonts w:hint="eastAsia" w:ascii="宋体" w:hAnsi="宋体" w:eastAsia="宋体"/>
        <w:b/>
        <w:sz w:val="24"/>
        <w:szCs w:val="21"/>
      </w:rPr>
      <w:t>投资须谨慎</w:t>
    </w:r>
    <w:r>
      <w:rPr>
        <w:rFonts w:ascii="宋体" w:hAnsi="宋体" w:eastAsia="宋体"/>
        <w:b/>
        <w:sz w:val="24"/>
        <w:szCs w:val="21"/>
      </w:rPr>
      <w:t xml:space="preserve"> </w:t>
    </w:r>
    <w:r>
      <w:rPr>
        <w:b/>
        <w:sz w:val="24"/>
        <w:szCs w:val="21"/>
      </w:rPr>
      <w:t xml:space="preserve"> </w:t>
    </w:r>
    <w:r>
      <w:rPr>
        <w:rFonts w:hint="eastAsia"/>
        <w:b/>
        <w:sz w:val="21"/>
        <w:szCs w:val="21"/>
      </w:rPr>
      <w:t xml:space="preserve">                    </w:t>
    </w:r>
    <w:r>
      <w:rPr>
        <w:b/>
        <w:sz w:val="21"/>
        <w:szCs w:val="21"/>
      </w:rPr>
      <w:t xml:space="preserve">         </w:t>
    </w:r>
    <w:r>
      <w:rPr>
        <w:rFonts w:hint="eastAsia"/>
        <w:b/>
        <w:sz w:val="21"/>
        <w:szCs w:val="21"/>
      </w:rPr>
      <w:t xml:space="preserve"> </w:t>
    </w:r>
    <w:r>
      <w:rPr>
        <w:b/>
        <w:sz w:val="21"/>
        <w:szCs w:val="21"/>
      </w:rPr>
      <w:t xml:space="preserve">                    </w:t>
    </w:r>
    <w:r>
      <w:rPr>
        <w:rFonts w:hint="eastAsia" w:ascii="宋体" w:hAnsi="宋体" w:eastAsia="宋体"/>
        <w:b/>
        <w:sz w:val="24"/>
        <w:szCs w:val="21"/>
      </w:rPr>
      <w:t>浙银理财</w:t>
    </w:r>
    <w:r>
      <w:pict>
        <v:shape id="ImpTraceLabel01f24a5666b437d1193b837c63dcab0d@" o:spid="_x0000_s4097" o:spt="202" type="#_x0000_t202" style="position:absolute;left:0pt;margin-left:0pt;margin-top:0pt;height:0pt;width:0pt;mso-position-horizontal-relative:page;mso-position-vertical-relative:page;z-index:251659264;mso-width-relative:page;mso-height-relative:page;" filled="f" stroked="f" coordsize="21600,21600">
          <v:path/>
          <v:fill on="f" focussize="0,0"/>
          <v:stroke on="f" joinstyle="miter"/>
          <v:imagedata o:title=""/>
          <o:lock v:ext="edit"/>
          <v:textbox>
            <w:txbxContent>
              <w:p w14:paraId="351C2859">
                <w:r>
                  <w:t>ImpTraceLabel01f24a5666b437d1193b837c63dcab0d@=dGltZT0xNzc2ODI3ODg4MDAwfHdhdGVyTWFya0luZm895L+d5a+GfGZpbGVOYW1lPea1memTtueQhui0oueQrueugOWvjOaYpTE0NuWPt+eQhui0ouS6p+WTgeivtOaYjuS5pjIwMjYwMeeJiC5kb2N4fElQPTEwLjExLjMyLjIzMXxNQUM9MDQ6RDQ6QzQ6NTU6MDc6MTV8Y29tcHV0ZXJOYW1lPeWRmOW3peW3peWPt3xjb21wYW55Pea1meWVhumTtuihjOiCoeS7veaciemZkOWFrOWPuHxkZXA95biC5Zy66JCl6ZSA6YOo77yI5Lqn5ZOB56CU5Y+R6YOo77yJfHVuaXF1ZUNvZGU9MTEzMDM0fHVzZXJOYW1lPemZiOeCnOadsA==</w:t>
                </w:r>
              </w:p>
            </w:txbxContent>
          </v:textbox>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DE153C"/>
    <w:multiLevelType w:val="singleLevel"/>
    <w:tmpl w:val="F7DE153C"/>
    <w:lvl w:ilvl="0" w:tentative="0">
      <w:start w:val="1"/>
      <w:numFmt w:val="decimal"/>
      <w:suff w:val="nothing"/>
      <w:lvlText w:val="（%1）"/>
      <w:lvlJc w:val="left"/>
    </w:lvl>
  </w:abstractNum>
  <w:abstractNum w:abstractNumId="1">
    <w:nsid w:val="7477F87A"/>
    <w:multiLevelType w:val="multilevel"/>
    <w:tmpl w:val="7477F87A"/>
    <w:lvl w:ilvl="0" w:tentative="0">
      <w:start w:val="1"/>
      <w:numFmt w:val="chineseCounting"/>
      <w:pStyle w:val="2"/>
      <w:suff w:val="nothing"/>
      <w:lvlText w:val="第%1节 "/>
      <w:lvlJc w:val="left"/>
      <w:pPr>
        <w:tabs>
          <w:tab w:val="left" w:pos="0"/>
        </w:tabs>
        <w:ind w:left="0" w:firstLine="0"/>
      </w:pPr>
      <w:rPr>
        <w:rFonts w:cs="Times New Roman"/>
        <w:b w:val="0"/>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 w:ilvl="1" w:tentative="0">
      <w:start w:val="1"/>
      <w:numFmt w:val="chineseCounting"/>
      <w:pStyle w:val="3"/>
      <w:suff w:val="nothing"/>
      <w:lvlText w:val="（%2）"/>
      <w:lvlJc w:val="left"/>
      <w:pPr>
        <w:tabs>
          <w:tab w:val="left" w:pos="0"/>
        </w:tabs>
        <w:ind w:left="0" w:firstLine="0"/>
      </w:pPr>
      <w:rPr>
        <w:rFonts w:hint="eastAsia" w:ascii="宋体" w:hAnsi="宋体" w:eastAsia="仿宋_GB2312" w:cs="宋体"/>
        <w:b/>
        <w:bCs/>
        <w:sz w:val="24"/>
      </w:rPr>
    </w:lvl>
    <w:lvl w:ilvl="2" w:tentative="0">
      <w:start w:val="1"/>
      <w:numFmt w:val="decimal"/>
      <w:pStyle w:val="4"/>
      <w:suff w:val="nothing"/>
      <w:lvlText w:val="%3．"/>
      <w:lvlJc w:val="left"/>
      <w:pPr>
        <w:ind w:left="0" w:firstLine="400"/>
      </w:pPr>
      <w:rPr>
        <w:rFonts w:hint="eastAsia" w:ascii="宋体" w:hAnsi="宋体" w:eastAsia="宋体" w:cs="宋体"/>
      </w:rPr>
    </w:lvl>
    <w:lvl w:ilvl="3" w:tentative="0">
      <w:start w:val="1"/>
      <w:numFmt w:val="decimal"/>
      <w:pStyle w:val="5"/>
      <w:suff w:val="nothing"/>
      <w:lvlText w:val="（%4）"/>
      <w:lvlJc w:val="left"/>
      <w:pPr>
        <w:ind w:left="0" w:firstLine="402"/>
      </w:pPr>
      <w:rPr>
        <w:rFonts w:hint="eastAsia"/>
      </w:rPr>
    </w:lvl>
    <w:lvl w:ilvl="4" w:tentative="0">
      <w:start w:val="1"/>
      <w:numFmt w:val="decimalEnclosedCircleChinese"/>
      <w:pStyle w:val="6"/>
      <w:suff w:val="nothing"/>
      <w:lvlText w:val="%5"/>
      <w:lvlJc w:val="left"/>
      <w:pPr>
        <w:ind w:left="0" w:firstLine="402"/>
      </w:pPr>
      <w:rPr>
        <w:rFonts w:hint="eastAsia"/>
      </w:rPr>
    </w:lvl>
    <w:lvl w:ilvl="5" w:tentative="0">
      <w:start w:val="1"/>
      <w:numFmt w:val="decimal"/>
      <w:pStyle w:val="7"/>
      <w:suff w:val="nothing"/>
      <w:lvlText w:val="%6）"/>
      <w:lvlJc w:val="left"/>
      <w:pPr>
        <w:ind w:left="0" w:firstLine="402"/>
      </w:pPr>
      <w:rPr>
        <w:rFonts w:hint="eastAsia"/>
      </w:rPr>
    </w:lvl>
    <w:lvl w:ilvl="6" w:tentative="0">
      <w:start w:val="1"/>
      <w:numFmt w:val="lowerLetter"/>
      <w:pStyle w:val="8"/>
      <w:suff w:val="nothing"/>
      <w:lvlText w:val="%7．"/>
      <w:lvlJc w:val="left"/>
      <w:pPr>
        <w:ind w:left="0" w:firstLine="402"/>
      </w:pPr>
      <w:rPr>
        <w:rFonts w:hint="eastAsia"/>
      </w:rPr>
    </w:lvl>
    <w:lvl w:ilvl="7" w:tentative="0">
      <w:start w:val="1"/>
      <w:numFmt w:val="lowerLetter"/>
      <w:pStyle w:val="9"/>
      <w:suff w:val="nothing"/>
      <w:lvlText w:val="%8）"/>
      <w:lvlJc w:val="left"/>
      <w:pPr>
        <w:ind w:left="0" w:firstLine="402"/>
      </w:pPr>
      <w:rPr>
        <w:rFonts w:hint="eastAsia"/>
      </w:rPr>
    </w:lvl>
    <w:lvl w:ilvl="8" w:tentative="0">
      <w:start w:val="1"/>
      <w:numFmt w:val="lowerRoman"/>
      <w:pStyle w:val="10"/>
      <w:suff w:val="nothing"/>
      <w:lvlText w:val="%9 "/>
      <w:lvlJc w:val="left"/>
      <w:pPr>
        <w:ind w:left="0" w:firstLine="402"/>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FmYjM3ZmJlMjNhM2Y5MDE0ZTRlMTUxZThiNDdmNTYifQ=="/>
    <w:docVar w:name="KSO_WPS_MARK_KEY" w:val="2176d3be-20b8-4d3b-b4e7-551bb84ae047"/>
  </w:docVars>
  <w:rsids>
    <w:rsidRoot w:val="00000000"/>
    <w:rsid w:val="01B77113"/>
    <w:rsid w:val="021E2574"/>
    <w:rsid w:val="06F65DB5"/>
    <w:rsid w:val="0FAD0046"/>
    <w:rsid w:val="0FB72E2F"/>
    <w:rsid w:val="109B0323"/>
    <w:rsid w:val="13346F72"/>
    <w:rsid w:val="156102E1"/>
    <w:rsid w:val="16366A4F"/>
    <w:rsid w:val="1D7F3AB7"/>
    <w:rsid w:val="1DAC649F"/>
    <w:rsid w:val="1DD63602"/>
    <w:rsid w:val="1EF71B2C"/>
    <w:rsid w:val="1F796F60"/>
    <w:rsid w:val="1F86550B"/>
    <w:rsid w:val="22E4044C"/>
    <w:rsid w:val="25767CAC"/>
    <w:rsid w:val="267B437C"/>
    <w:rsid w:val="2CDE2C4B"/>
    <w:rsid w:val="34BEC960"/>
    <w:rsid w:val="35EA7B2B"/>
    <w:rsid w:val="379F17DD"/>
    <w:rsid w:val="37C72012"/>
    <w:rsid w:val="38320194"/>
    <w:rsid w:val="3D472808"/>
    <w:rsid w:val="3DE52ED2"/>
    <w:rsid w:val="3ED5B528"/>
    <w:rsid w:val="3FD43164"/>
    <w:rsid w:val="40EB3CE9"/>
    <w:rsid w:val="412519C7"/>
    <w:rsid w:val="41325840"/>
    <w:rsid w:val="4194511B"/>
    <w:rsid w:val="42190051"/>
    <w:rsid w:val="436926CF"/>
    <w:rsid w:val="442A5F0D"/>
    <w:rsid w:val="4B2C608D"/>
    <w:rsid w:val="4BD9492D"/>
    <w:rsid w:val="4E3B609B"/>
    <w:rsid w:val="4F604578"/>
    <w:rsid w:val="4FD6640D"/>
    <w:rsid w:val="4FD74457"/>
    <w:rsid w:val="50525457"/>
    <w:rsid w:val="508A6C80"/>
    <w:rsid w:val="52011F42"/>
    <w:rsid w:val="535C817B"/>
    <w:rsid w:val="538C69FC"/>
    <w:rsid w:val="55370068"/>
    <w:rsid w:val="585E7F9C"/>
    <w:rsid w:val="5BFDEDA8"/>
    <w:rsid w:val="5D687B93"/>
    <w:rsid w:val="5EBF2DEC"/>
    <w:rsid w:val="5F1B7BA2"/>
    <w:rsid w:val="5F1C0CB1"/>
    <w:rsid w:val="5FC20324"/>
    <w:rsid w:val="5FF21924"/>
    <w:rsid w:val="5FF72766"/>
    <w:rsid w:val="64440CEA"/>
    <w:rsid w:val="66DF7DAF"/>
    <w:rsid w:val="67FDF6A8"/>
    <w:rsid w:val="69075068"/>
    <w:rsid w:val="699A0757"/>
    <w:rsid w:val="6FCD2EE5"/>
    <w:rsid w:val="6FDDC817"/>
    <w:rsid w:val="72F87EB6"/>
    <w:rsid w:val="732B4F56"/>
    <w:rsid w:val="73A74E12"/>
    <w:rsid w:val="73FF5CF8"/>
    <w:rsid w:val="757FF0CC"/>
    <w:rsid w:val="778F3D66"/>
    <w:rsid w:val="77BFC2D2"/>
    <w:rsid w:val="77E716E9"/>
    <w:rsid w:val="789769C2"/>
    <w:rsid w:val="78F0710B"/>
    <w:rsid w:val="794DAC4D"/>
    <w:rsid w:val="79FD836E"/>
    <w:rsid w:val="7AB75C09"/>
    <w:rsid w:val="7BA37D9C"/>
    <w:rsid w:val="7BD78EF0"/>
    <w:rsid w:val="7BE3B031"/>
    <w:rsid w:val="7E2F433F"/>
    <w:rsid w:val="7EB72651"/>
    <w:rsid w:val="7ED01990"/>
    <w:rsid w:val="7EFF50F5"/>
    <w:rsid w:val="7F32F0C5"/>
    <w:rsid w:val="7F6C5A99"/>
    <w:rsid w:val="7FBF0D4F"/>
    <w:rsid w:val="7FFEA6B3"/>
    <w:rsid w:val="8FFFE979"/>
    <w:rsid w:val="A7F60E86"/>
    <w:rsid w:val="BBFE0B6E"/>
    <w:rsid w:val="BF182561"/>
    <w:rsid w:val="BFB3CD61"/>
    <w:rsid w:val="CB7D831B"/>
    <w:rsid w:val="D7EFB456"/>
    <w:rsid w:val="DBF7922E"/>
    <w:rsid w:val="DDFDB194"/>
    <w:rsid w:val="DFEE3D01"/>
    <w:rsid w:val="EBC71959"/>
    <w:rsid w:val="EC9EB53C"/>
    <w:rsid w:val="EFE58501"/>
    <w:rsid w:val="F1BF0838"/>
    <w:rsid w:val="F3FFC66E"/>
    <w:rsid w:val="F5AFED8B"/>
    <w:rsid w:val="F6F71E06"/>
    <w:rsid w:val="F7EDA603"/>
    <w:rsid w:val="F7FBD593"/>
    <w:rsid w:val="F9AEDB6F"/>
    <w:rsid w:val="FAED65A4"/>
    <w:rsid w:val="FAF99FBB"/>
    <w:rsid w:val="FD7FBC97"/>
    <w:rsid w:val="FDC76EA3"/>
    <w:rsid w:val="FDF6695C"/>
    <w:rsid w:val="FDF72105"/>
    <w:rsid w:val="FE7C3CBE"/>
    <w:rsid w:val="FF76592C"/>
    <w:rsid w:val="FF7798F6"/>
    <w:rsid w:val="FFDCEA9B"/>
    <w:rsid w:val="FFF709FC"/>
    <w:rsid w:val="FFFF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99"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_GB2312" w:cs="Times New Roman"/>
      <w:kern w:val="2"/>
      <w:sz w:val="24"/>
      <w:szCs w:val="22"/>
      <w:lang w:val="en-US" w:eastAsia="zh-CN" w:bidi="ar-SA"/>
    </w:rPr>
  </w:style>
  <w:style w:type="paragraph" w:styleId="2">
    <w:name w:val="heading 1"/>
    <w:basedOn w:val="1"/>
    <w:next w:val="1"/>
    <w:link w:val="21"/>
    <w:qFormat/>
    <w:uiPriority w:val="0"/>
    <w:pPr>
      <w:keepNext/>
      <w:keepLines/>
      <w:numPr>
        <w:ilvl w:val="0"/>
        <w:numId w:val="1"/>
      </w:numPr>
      <w:spacing w:line="360" w:lineRule="auto"/>
      <w:jc w:val="center"/>
      <w:outlineLvl w:val="0"/>
    </w:pPr>
    <w:rPr>
      <w:rFonts w:eastAsia="黑体"/>
      <w:kern w:val="44"/>
      <w:sz w:val="28"/>
    </w:rPr>
  </w:style>
  <w:style w:type="paragraph" w:styleId="3">
    <w:name w:val="heading 2"/>
    <w:basedOn w:val="1"/>
    <w:next w:val="1"/>
    <w:link w:val="22"/>
    <w:unhideWhenUsed/>
    <w:qFormat/>
    <w:uiPriority w:val="0"/>
    <w:pPr>
      <w:keepNext/>
      <w:keepLines/>
      <w:numPr>
        <w:ilvl w:val="1"/>
        <w:numId w:val="1"/>
      </w:numPr>
      <w:tabs>
        <w:tab w:val="left" w:pos="709"/>
        <w:tab w:val="left" w:pos="1134"/>
      </w:tabs>
      <w:spacing w:line="360" w:lineRule="auto"/>
      <w:jc w:val="left"/>
      <w:outlineLvl w:val="1"/>
    </w:pPr>
    <w:rPr>
      <w:rFonts w:ascii="Arial" w:hAnsi="Arial"/>
      <w:b/>
    </w:rPr>
  </w:style>
  <w:style w:type="paragraph" w:styleId="4">
    <w:name w:val="heading 3"/>
    <w:basedOn w:val="1"/>
    <w:next w:val="1"/>
    <w:link w:val="23"/>
    <w:unhideWhenUsed/>
    <w:qFormat/>
    <w:uiPriority w:val="0"/>
    <w:pPr>
      <w:keepNext/>
      <w:keepLines/>
      <w:numPr>
        <w:ilvl w:val="2"/>
        <w:numId w:val="1"/>
      </w:numPr>
      <w:spacing w:before="260" w:after="260" w:line="413" w:lineRule="auto"/>
      <w:outlineLvl w:val="2"/>
    </w:pPr>
    <w:rPr>
      <w:b/>
      <w:sz w:val="32"/>
    </w:rPr>
  </w:style>
  <w:style w:type="paragraph" w:styleId="5">
    <w:name w:val="heading 4"/>
    <w:basedOn w:val="1"/>
    <w:next w:val="1"/>
    <w:unhideWhenUsed/>
    <w:qFormat/>
    <w:uiPriority w:val="0"/>
    <w:pPr>
      <w:keepNext/>
      <w:keepLines/>
      <w:numPr>
        <w:ilvl w:val="3"/>
        <w:numId w:val="1"/>
      </w:numPr>
      <w:spacing w:before="280" w:after="290" w:line="372" w:lineRule="auto"/>
      <w:outlineLvl w:val="3"/>
    </w:pPr>
    <w:rPr>
      <w:rFonts w:ascii="Arial" w:hAnsi="Arial" w:eastAsia="黑体"/>
      <w:b/>
      <w:sz w:val="28"/>
    </w:rPr>
  </w:style>
  <w:style w:type="paragraph" w:styleId="6">
    <w:name w:val="heading 5"/>
    <w:basedOn w:val="1"/>
    <w:next w:val="1"/>
    <w:unhideWhenUsed/>
    <w:qFormat/>
    <w:uiPriority w:val="0"/>
    <w:pPr>
      <w:keepNext/>
      <w:keepLines/>
      <w:numPr>
        <w:ilvl w:val="4"/>
        <w:numId w:val="1"/>
      </w:numPr>
      <w:spacing w:before="280" w:after="290" w:line="372" w:lineRule="auto"/>
      <w:outlineLvl w:val="4"/>
    </w:pPr>
    <w:rPr>
      <w:b/>
      <w:sz w:val="28"/>
    </w:rPr>
  </w:style>
  <w:style w:type="paragraph" w:styleId="7">
    <w:name w:val="heading 6"/>
    <w:basedOn w:val="1"/>
    <w:next w:val="1"/>
    <w:unhideWhenUsed/>
    <w:qFormat/>
    <w:uiPriority w:val="0"/>
    <w:pPr>
      <w:keepNext/>
      <w:keepLines/>
      <w:numPr>
        <w:ilvl w:val="5"/>
        <w:numId w:val="1"/>
      </w:numPr>
      <w:spacing w:before="240" w:after="64" w:line="317" w:lineRule="auto"/>
      <w:outlineLvl w:val="5"/>
    </w:pPr>
    <w:rPr>
      <w:rFonts w:ascii="Arial" w:hAnsi="Arial" w:eastAsia="黑体"/>
      <w:b/>
    </w:rPr>
  </w:style>
  <w:style w:type="paragraph" w:styleId="8">
    <w:name w:val="heading 7"/>
    <w:basedOn w:val="1"/>
    <w:next w:val="1"/>
    <w:unhideWhenUsed/>
    <w:qFormat/>
    <w:uiPriority w:val="0"/>
    <w:pPr>
      <w:keepNext/>
      <w:keepLines/>
      <w:numPr>
        <w:ilvl w:val="6"/>
        <w:numId w:val="1"/>
      </w:numPr>
      <w:spacing w:before="240" w:after="64" w:line="317" w:lineRule="auto"/>
      <w:outlineLvl w:val="6"/>
    </w:pPr>
    <w:rPr>
      <w:b/>
    </w:rPr>
  </w:style>
  <w:style w:type="paragraph" w:styleId="9">
    <w:name w:val="heading 8"/>
    <w:basedOn w:val="1"/>
    <w:next w:val="1"/>
    <w:unhideWhenUsed/>
    <w:qFormat/>
    <w:uiPriority w:val="0"/>
    <w:pPr>
      <w:keepNext/>
      <w:keepLines/>
      <w:numPr>
        <w:ilvl w:val="7"/>
        <w:numId w:val="1"/>
      </w:numPr>
      <w:spacing w:before="240" w:after="64" w:line="317" w:lineRule="auto"/>
      <w:outlineLvl w:val="7"/>
    </w:pPr>
    <w:rPr>
      <w:rFonts w:ascii="Arial" w:hAnsi="Arial" w:eastAsia="黑体"/>
    </w:rPr>
  </w:style>
  <w:style w:type="paragraph" w:styleId="10">
    <w:name w:val="heading 9"/>
    <w:basedOn w:val="1"/>
    <w:next w:val="1"/>
    <w:unhideWhenUsed/>
    <w:qFormat/>
    <w:uiPriority w:val="0"/>
    <w:pPr>
      <w:keepNext/>
      <w:keepLines/>
      <w:numPr>
        <w:ilvl w:val="8"/>
        <w:numId w:val="1"/>
      </w:numPr>
      <w:spacing w:before="240" w:after="64" w:line="317" w:lineRule="auto"/>
      <w:outlineLvl w:val="8"/>
    </w:pPr>
    <w:rPr>
      <w:rFonts w:ascii="Arial" w:hAnsi="Arial" w:eastAsia="黑体"/>
      <w:sz w:val="21"/>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link w:val="24"/>
    <w:qFormat/>
    <w:uiPriority w:val="99"/>
    <w:pPr>
      <w:jc w:val="left"/>
    </w:pPr>
    <w:rPr>
      <w:rFonts w:eastAsia="宋体"/>
    </w:rPr>
  </w:style>
  <w:style w:type="paragraph" w:styleId="12">
    <w:name w:val="Balloon Text"/>
    <w:basedOn w:val="1"/>
    <w:link w:val="25"/>
    <w:unhideWhenUsed/>
    <w:qFormat/>
    <w:uiPriority w:val="0"/>
    <w:rPr>
      <w:sz w:val="18"/>
      <w:szCs w:val="18"/>
    </w:rPr>
  </w:style>
  <w:style w:type="paragraph" w:styleId="13">
    <w:name w:val="footer"/>
    <w:basedOn w:val="1"/>
    <w:qFormat/>
    <w:uiPriority w:val="0"/>
    <w:pPr>
      <w:tabs>
        <w:tab w:val="center" w:pos="4153"/>
        <w:tab w:val="right" w:pos="8306"/>
      </w:tabs>
      <w:snapToGrid w:val="0"/>
      <w:jc w:val="left"/>
    </w:pPr>
    <w:rPr>
      <w:kern w:val="0"/>
      <w:sz w:val="18"/>
      <w:szCs w:val="18"/>
    </w:rPr>
  </w:style>
  <w:style w:type="paragraph" w:styleId="14">
    <w:name w:val="header"/>
    <w:basedOn w:val="1"/>
    <w:link w:val="26"/>
    <w:qFormat/>
    <w:uiPriority w:val="0"/>
    <w:pPr>
      <w:pBdr>
        <w:bottom w:val="single" w:color="auto" w:sz="6" w:space="1"/>
      </w:pBdr>
      <w:tabs>
        <w:tab w:val="center" w:pos="4153"/>
        <w:tab w:val="right" w:pos="8306"/>
      </w:tabs>
      <w:snapToGrid w:val="0"/>
      <w:jc w:val="center"/>
    </w:pPr>
    <w:rPr>
      <w:sz w:val="18"/>
      <w:szCs w:val="18"/>
    </w:rPr>
  </w:style>
  <w:style w:type="paragraph" w:styleId="15">
    <w:name w:val="annotation subject"/>
    <w:basedOn w:val="11"/>
    <w:next w:val="11"/>
    <w:link w:val="27"/>
    <w:unhideWhenUsed/>
    <w:qFormat/>
    <w:uiPriority w:val="0"/>
    <w:rPr>
      <w:b/>
      <w:bCs/>
    </w:rPr>
  </w:style>
  <w:style w:type="table" w:styleId="17">
    <w:name w:val="Table Grid"/>
    <w:basedOn w:val="16"/>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qFormat/>
    <w:uiPriority w:val="0"/>
    <w:rPr>
      <w:color w:val="0000FF"/>
      <w:u w:val="single"/>
    </w:rPr>
  </w:style>
  <w:style w:type="character" w:styleId="20">
    <w:name w:val="annotation reference"/>
    <w:basedOn w:val="18"/>
    <w:qFormat/>
    <w:uiPriority w:val="0"/>
    <w:rPr>
      <w:sz w:val="21"/>
      <w:szCs w:val="21"/>
    </w:rPr>
  </w:style>
  <w:style w:type="character" w:customStyle="1" w:styleId="21">
    <w:name w:val="标题 1 字符"/>
    <w:link w:val="2"/>
    <w:qFormat/>
    <w:uiPriority w:val="0"/>
    <w:rPr>
      <w:rFonts w:ascii="Calibri" w:hAnsi="Calibri" w:eastAsia="黑体"/>
      <w:kern w:val="44"/>
      <w:sz w:val="28"/>
    </w:rPr>
  </w:style>
  <w:style w:type="character" w:customStyle="1" w:styleId="22">
    <w:name w:val="标题 2 字符"/>
    <w:link w:val="3"/>
    <w:qFormat/>
    <w:uiPriority w:val="0"/>
    <w:rPr>
      <w:rFonts w:ascii="Arial" w:hAnsi="Arial" w:eastAsia="仿宋_GB2312"/>
      <w:b/>
    </w:rPr>
  </w:style>
  <w:style w:type="character" w:customStyle="1" w:styleId="23">
    <w:name w:val="标题 3 字符"/>
    <w:link w:val="4"/>
    <w:qFormat/>
    <w:uiPriority w:val="0"/>
    <w:rPr>
      <w:b/>
      <w:sz w:val="32"/>
    </w:rPr>
  </w:style>
  <w:style w:type="character" w:customStyle="1" w:styleId="24">
    <w:name w:val="批注文字 字符"/>
    <w:basedOn w:val="18"/>
    <w:link w:val="11"/>
    <w:qFormat/>
    <w:uiPriority w:val="99"/>
    <w:rPr>
      <w:rFonts w:ascii="Calibri" w:hAnsi="Calibri" w:eastAsia="宋体" w:cs="Times New Roman"/>
      <w:kern w:val="2"/>
      <w:sz w:val="21"/>
      <w:szCs w:val="22"/>
    </w:rPr>
  </w:style>
  <w:style w:type="character" w:customStyle="1" w:styleId="25">
    <w:name w:val="批注框文本 字符"/>
    <w:basedOn w:val="18"/>
    <w:link w:val="12"/>
    <w:semiHidden/>
    <w:qFormat/>
    <w:uiPriority w:val="0"/>
    <w:rPr>
      <w:kern w:val="2"/>
      <w:sz w:val="18"/>
      <w:szCs w:val="18"/>
    </w:rPr>
  </w:style>
  <w:style w:type="character" w:customStyle="1" w:styleId="26">
    <w:name w:val="页眉 字符"/>
    <w:basedOn w:val="18"/>
    <w:link w:val="14"/>
    <w:qFormat/>
    <w:uiPriority w:val="0"/>
    <w:rPr>
      <w:kern w:val="2"/>
      <w:sz w:val="18"/>
      <w:szCs w:val="18"/>
    </w:rPr>
  </w:style>
  <w:style w:type="character" w:customStyle="1" w:styleId="27">
    <w:name w:val="批注主题 字符"/>
    <w:basedOn w:val="24"/>
    <w:link w:val="15"/>
    <w:semiHidden/>
    <w:qFormat/>
    <w:uiPriority w:val="0"/>
    <w:rPr>
      <w:rFonts w:ascii="Calibri" w:hAnsi="Calibri" w:eastAsia="宋体" w:cs="Times New Roman"/>
      <w:b/>
      <w:bCs/>
      <w:kern w:val="2"/>
      <w:sz w:val="21"/>
      <w:szCs w:val="22"/>
    </w:rPr>
  </w:style>
  <w:style w:type="paragraph" w:styleId="28">
    <w:name w:val="List Paragraph"/>
    <w:basedOn w:val="1"/>
    <w:unhideWhenUsed/>
    <w:qFormat/>
    <w:uiPriority w:val="99"/>
    <w:pPr>
      <w:ind w:firstLine="420" w:firstLineChars="200"/>
    </w:pPr>
  </w:style>
  <w:style w:type="character" w:customStyle="1" w:styleId="29">
    <w:name w:val="fontstyle01"/>
    <w:basedOn w:val="18"/>
    <w:qFormat/>
    <w:uiPriority w:val="0"/>
    <w:rPr>
      <w:rFonts w:hint="eastAsia" w:ascii="黑体" w:hAnsi="黑体" w:eastAsia="黑体"/>
      <w:color w:val="000000"/>
      <w:sz w:val="18"/>
      <w:szCs w:val="18"/>
    </w:rPr>
  </w:style>
  <w:style w:type="paragraph" w:customStyle="1" w:styleId="30">
    <w:name w:val="修订1"/>
    <w:semiHidden/>
    <w:qFormat/>
    <w:uiPriority w:val="99"/>
    <w:rPr>
      <w:rFonts w:ascii="Calibri" w:hAnsi="Calibri" w:eastAsia="宋体" w:cs="Times New Roman"/>
      <w:kern w:val="2"/>
      <w:sz w:val="21"/>
      <w:szCs w:val="22"/>
      <w:lang w:val="en-US" w:eastAsia="zh-CN" w:bidi="ar-SA"/>
    </w:rPr>
  </w:style>
  <w:style w:type="paragraph" w:customStyle="1" w:styleId="31">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32">
    <w:name w:val="修订2"/>
    <w:semiHidden/>
    <w:qFormat/>
    <w:uiPriority w:val="99"/>
    <w:rPr>
      <w:rFonts w:ascii="Calibri" w:hAnsi="Calibri" w:eastAsia="仿宋_GB2312" w:cs="Times New Roman"/>
      <w:kern w:val="2"/>
      <w:sz w:val="24"/>
      <w:szCs w:val="22"/>
      <w:lang w:val="en-US" w:eastAsia="zh-CN" w:bidi="ar-SA"/>
    </w:rPr>
  </w:style>
  <w:style w:type="paragraph" w:customStyle="1" w:styleId="33">
    <w:name w:val="p"/>
    <w:basedOn w:val="1"/>
    <w:qFormat/>
    <w:uiPriority w:val="0"/>
    <w:pPr>
      <w:spacing w:line="390" w:lineRule="atLeast"/>
      <w:ind w:firstLine="420"/>
    </w:pPr>
  </w:style>
  <w:style w:type="paragraph" w:customStyle="1" w:styleId="34">
    <w:name w:val="修订3"/>
    <w:unhideWhenUsed/>
    <w:qFormat/>
    <w:uiPriority w:val="99"/>
    <w:rPr>
      <w:rFonts w:ascii="Calibri" w:hAnsi="Calibri" w:eastAsia="仿宋_GB2312" w:cs="Times New Roman"/>
      <w:kern w:val="2"/>
      <w:sz w:val="24"/>
      <w:szCs w:val="22"/>
      <w:lang w:val="en-US" w:eastAsia="zh-CN" w:bidi="ar-SA"/>
    </w:rPr>
  </w:style>
  <w:style w:type="paragraph" w:customStyle="1" w:styleId="35">
    <w:name w:val="修订4"/>
    <w:semiHidden/>
    <w:qFormat/>
    <w:uiPriority w:val="99"/>
    <w:rPr>
      <w:rFonts w:ascii="Calibri" w:hAnsi="Calibri" w:eastAsia="仿宋_GB2312" w:cs="Times New Roman"/>
      <w:kern w:val="2"/>
      <w:sz w:val="24"/>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HP</Company>
  <Pages>58</Pages>
  <Words>3878</Words>
  <Characters>22107</Characters>
  <Lines>184</Lines>
  <Paragraphs>51</Paragraphs>
  <TotalTime>78</TotalTime>
  <ScaleCrop>false</ScaleCrop>
  <LinksUpToDate>false</LinksUpToDate>
  <CharactersWithSpaces>25934</CharactersWithSpaces>
  <Application>WPS Office_12.1.2.23582_F1E327BC-269C-435d-A152-05C5408002CA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2026-01-12T10:26:00Z</dcterms:created>
  <dc:creator>czbank</dc:creator>
  <cp:lastModifiedBy>C73A</cp:lastModifiedBy>
  <cp:lastPrinted>2024-09-23T07:45:00Z</cp:lastPrinted>
  <dcterms:modified xsi:type="dcterms:W3CDTF">2026-09-30T08:45:18Z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C1CD65D4B22F07D3B18A786946932C89_43</vt:lpwstr>
  </property>
  <property fmtid="{D5CDD505-2E9C-101B-9397-08002B2CF9AE}" pid="3" name="KSOProductBuildVer">
    <vt:lpwstr>2052-12.1.2.23582</vt:lpwstr>
  </property>
  <property fmtid="{D5CDD505-2E9C-101B-9397-08002B2CF9AE}" pid="4" name="KSOTemplateDocerSaveRecord">
    <vt:lpwstr>eyJoZGlkIjoiOWVjMjZhOWViNTZhZjkyOTUyOWNkNTA2ZGVmZmYwZTAiLCJ1c2VySWQiOiIzMDI2MzA1NjIifQ==</vt:lpwstr>
  </property>
</Properties>
</file>