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52746">
      <w:pPr>
        <w:spacing w:line="251" w:lineRule="auto"/>
        <w:rPr>
          <w:rFonts w:ascii="Arial"/>
          <w:sz w:val="21"/>
        </w:rPr>
      </w:pPr>
    </w:p>
    <w:p w14:paraId="1FCF9380">
      <w:pPr>
        <w:spacing w:before="72" w:line="222" w:lineRule="auto"/>
        <w:ind w:left="2739"/>
        <w:outlineLvl w:val="0"/>
        <w:rPr>
          <w:rFonts w:ascii="黑体" w:hAnsi="黑体" w:eastAsia="黑体" w:cs="黑体"/>
          <w:sz w:val="22"/>
          <w:szCs w:val="22"/>
        </w:rPr>
      </w:pPr>
      <w:r>
        <w:rPr>
          <w:rFonts w:ascii="黑体" w:hAnsi="黑体" w:eastAsia="黑体" w:cs="黑体"/>
          <w:b/>
          <w:bCs/>
          <w:spacing w:val="-3"/>
          <w:sz w:val="22"/>
          <w:szCs w:val="22"/>
        </w:rPr>
        <w:t>信银理财理财产品投资协议书</w:t>
      </w:r>
    </w:p>
    <w:p w14:paraId="06265993">
      <w:pPr>
        <w:spacing w:line="290" w:lineRule="auto"/>
        <w:rPr>
          <w:rFonts w:ascii="Arial"/>
          <w:sz w:val="21"/>
        </w:rPr>
      </w:pPr>
    </w:p>
    <w:p w14:paraId="45BFE610">
      <w:pPr>
        <w:pStyle w:val="2"/>
        <w:spacing w:before="62" w:line="224" w:lineRule="auto"/>
        <w:ind w:left="523"/>
      </w:pPr>
      <w:r>
        <w:rPr>
          <w:b/>
          <w:bCs/>
          <w:spacing w:val="6"/>
        </w:rPr>
        <w:t>甲方：投资者（投资者信息详见签署页）</w:t>
      </w:r>
    </w:p>
    <w:p w14:paraId="4940B770">
      <w:pPr>
        <w:pStyle w:val="2"/>
        <w:spacing w:before="70" w:line="224" w:lineRule="auto"/>
        <w:ind w:left="532"/>
      </w:pPr>
      <w:r>
        <w:rPr>
          <w:b/>
          <w:bCs/>
          <w:spacing w:val="5"/>
        </w:rPr>
        <w:t>乙方：信银理财有限责任公司</w:t>
      </w:r>
    </w:p>
    <w:p w14:paraId="5797FA5C">
      <w:pPr>
        <w:spacing w:line="306" w:lineRule="auto"/>
        <w:rPr>
          <w:rFonts w:ascii="Arial"/>
          <w:sz w:val="21"/>
        </w:rPr>
      </w:pPr>
    </w:p>
    <w:p w14:paraId="233B806C">
      <w:pPr>
        <w:pStyle w:val="2"/>
        <w:spacing w:before="62" w:line="291" w:lineRule="auto"/>
        <w:ind w:left="26" w:right="221" w:firstLine="478"/>
      </w:pPr>
      <w:r>
        <w:rPr>
          <w:spacing w:val="8"/>
        </w:rPr>
        <w:t>经甲方和乙方平等协商，就甲方认购</w:t>
      </w:r>
      <w:r>
        <w:rPr>
          <w:rFonts w:ascii="Times New Roman" w:hAnsi="Times New Roman" w:eastAsia="Times New Roman" w:cs="Times New Roman"/>
          <w:spacing w:val="8"/>
        </w:rPr>
        <w:t>/</w:t>
      </w:r>
      <w:r>
        <w:rPr>
          <w:spacing w:val="8"/>
        </w:rPr>
        <w:t>申购乙方发行的理财产</w:t>
      </w:r>
      <w:r>
        <w:rPr>
          <w:spacing w:val="7"/>
        </w:rPr>
        <w:t>品（以下简称</w:t>
      </w:r>
      <w:r>
        <w:rPr>
          <w:rFonts w:hint="eastAsia"/>
          <w:spacing w:val="7"/>
          <w:lang w:eastAsia="zh-CN"/>
        </w:rPr>
        <w:t>“理财产品”</w:t>
      </w:r>
      <w:r>
        <w:rPr>
          <w:spacing w:val="-42"/>
          <w:w w:val="99"/>
        </w:rPr>
        <w:t>），</w:t>
      </w:r>
      <w:r>
        <w:rPr>
          <w:spacing w:val="6"/>
        </w:rPr>
        <w:t>达成本协议如下：</w:t>
      </w:r>
    </w:p>
    <w:p w14:paraId="03DF82EE">
      <w:pPr>
        <w:pStyle w:val="2"/>
        <w:spacing w:line="228" w:lineRule="auto"/>
        <w:ind w:left="501"/>
      </w:pPr>
      <w:r>
        <w:rPr>
          <w:b/>
          <w:bCs/>
          <w:spacing w:val="6"/>
        </w:rPr>
        <w:t>一、适用范围</w:t>
      </w:r>
    </w:p>
    <w:p w14:paraId="11BAA7C6">
      <w:pPr>
        <w:pStyle w:val="2"/>
        <w:spacing w:before="65" w:line="289" w:lineRule="auto"/>
        <w:ind w:left="52" w:right="277" w:firstLine="473"/>
      </w:pPr>
      <w:r>
        <w:rPr>
          <w:spacing w:val="8"/>
        </w:rPr>
        <w:t>甲方在认购</w:t>
      </w:r>
      <w:r>
        <w:rPr>
          <w:rFonts w:ascii="Times New Roman" w:hAnsi="Times New Roman" w:eastAsia="Times New Roman" w:cs="Times New Roman"/>
          <w:spacing w:val="8"/>
        </w:rPr>
        <w:t>/</w:t>
      </w:r>
      <w:r>
        <w:rPr>
          <w:spacing w:val="8"/>
        </w:rPr>
        <w:t>申购乙方发行的理财产品之前应签署本协议。本协议</w:t>
      </w:r>
      <w:r>
        <w:rPr>
          <w:spacing w:val="7"/>
        </w:rPr>
        <w:t>生效后，</w:t>
      </w:r>
      <w:r>
        <w:rPr>
          <w:spacing w:val="-54"/>
        </w:rPr>
        <w:t xml:space="preserve"> </w:t>
      </w:r>
      <w:r>
        <w:rPr>
          <w:spacing w:val="7"/>
        </w:rPr>
        <w:t>甲方认购</w:t>
      </w:r>
      <w:r>
        <w:rPr>
          <w:rFonts w:ascii="Times New Roman" w:hAnsi="Times New Roman" w:eastAsia="Times New Roman" w:cs="Times New Roman"/>
          <w:spacing w:val="7"/>
        </w:rPr>
        <w:t>/</w:t>
      </w:r>
      <w:r>
        <w:rPr>
          <w:spacing w:val="7"/>
        </w:rPr>
        <w:t>申购乙方发行的理财产品的，均适用本协议。</w:t>
      </w:r>
    </w:p>
    <w:p w14:paraId="5F2988C2">
      <w:pPr>
        <w:pStyle w:val="2"/>
        <w:spacing w:before="5" w:line="291" w:lineRule="auto"/>
        <w:ind w:left="12" w:right="215" w:firstLine="488"/>
      </w:pPr>
      <w:r>
        <w:rPr>
          <w:spacing w:val="10"/>
        </w:rPr>
        <w:t>本协议为规范甲乙双方在理财业务中权利与义务</w:t>
      </w:r>
      <w:r>
        <w:rPr>
          <w:spacing w:val="9"/>
        </w:rPr>
        <w:t>的法律文件，与甲方认购</w:t>
      </w:r>
      <w:r>
        <w:rPr>
          <w:rFonts w:ascii="Times New Roman" w:hAnsi="Times New Roman" w:eastAsia="Times New Roman" w:cs="Times New Roman"/>
          <w:spacing w:val="9"/>
        </w:rPr>
        <w:t>/</w:t>
      </w:r>
      <w:r>
        <w:rPr>
          <w:spacing w:val="9"/>
        </w:rPr>
        <w:t>申购理财产品</w:t>
      </w:r>
      <w:r>
        <w:rPr>
          <w:spacing w:val="10"/>
        </w:rPr>
        <w:t>对应的《信银理财理财产品产品说明书》《信银理财理财产品风险揭示书》等相关文</w:t>
      </w:r>
      <w:r>
        <w:rPr>
          <w:spacing w:val="9"/>
        </w:rPr>
        <w:t>件与本协</w:t>
      </w:r>
      <w:r>
        <w:rPr>
          <w:spacing w:val="8"/>
        </w:rPr>
        <w:t>议共同构成理财产品合同的有效组成部分，与本协议具有同等法律效力。</w:t>
      </w:r>
      <w:r>
        <w:rPr>
          <w:spacing w:val="-23"/>
        </w:rPr>
        <w:t xml:space="preserve"> </w:t>
      </w:r>
      <w:r>
        <w:rPr>
          <w:spacing w:val="8"/>
        </w:rPr>
        <w:t>甲方认购</w:t>
      </w:r>
      <w:r>
        <w:rPr>
          <w:rFonts w:ascii="Times New Roman" w:hAnsi="Times New Roman" w:eastAsia="Times New Roman" w:cs="Times New Roman"/>
          <w:spacing w:val="8"/>
        </w:rPr>
        <w:t>/</w:t>
      </w:r>
      <w:r>
        <w:rPr>
          <w:spacing w:val="8"/>
        </w:rPr>
        <w:t>申购乙方多</w:t>
      </w:r>
      <w:r>
        <w:rPr>
          <w:spacing w:val="10"/>
        </w:rPr>
        <w:t>只理财产品时，不同理财产品对应的《信银理财理财产品产品说明书》《信银理财理</w:t>
      </w:r>
      <w:r>
        <w:rPr>
          <w:spacing w:val="9"/>
        </w:rPr>
        <w:t>财产品风险揭示书》组成的理财产品合同互相独立。</w:t>
      </w:r>
    </w:p>
    <w:p w14:paraId="18905390">
      <w:pPr>
        <w:pStyle w:val="2"/>
        <w:spacing w:before="2" w:line="223" w:lineRule="auto"/>
        <w:ind w:left="501"/>
      </w:pPr>
      <w:r>
        <w:rPr>
          <w:spacing w:val="9"/>
        </w:rPr>
        <w:t>本协议不作为甲方认购</w:t>
      </w:r>
      <w:r>
        <w:rPr>
          <w:rFonts w:ascii="Times New Roman" w:hAnsi="Times New Roman" w:eastAsia="Times New Roman" w:cs="Times New Roman"/>
          <w:spacing w:val="9"/>
        </w:rPr>
        <w:t>/</w:t>
      </w:r>
      <w:r>
        <w:rPr>
          <w:spacing w:val="9"/>
        </w:rPr>
        <w:t>申购或持有理财产品的</w:t>
      </w:r>
      <w:r>
        <w:rPr>
          <w:spacing w:val="8"/>
        </w:rPr>
        <w:t>凭证。</w:t>
      </w:r>
    </w:p>
    <w:p w14:paraId="2CDADB91">
      <w:pPr>
        <w:spacing w:line="307" w:lineRule="auto"/>
        <w:rPr>
          <w:rFonts w:ascii="Arial"/>
          <w:sz w:val="21"/>
        </w:rPr>
      </w:pPr>
    </w:p>
    <w:p w14:paraId="44371F97">
      <w:pPr>
        <w:pStyle w:val="2"/>
        <w:spacing w:before="61" w:line="230" w:lineRule="auto"/>
        <w:ind w:left="497"/>
      </w:pPr>
      <w:r>
        <w:rPr>
          <w:b/>
          <w:bCs/>
          <w:spacing w:val="7"/>
        </w:rPr>
        <w:t>二、风险提示</w:t>
      </w:r>
    </w:p>
    <w:p w14:paraId="2EAA1B30">
      <w:pPr>
        <w:pStyle w:val="2"/>
        <w:spacing w:before="64" w:line="220" w:lineRule="auto"/>
        <w:ind w:left="498"/>
      </w:pPr>
      <w:r>
        <w:rPr>
          <w:b/>
          <w:bCs/>
          <w:spacing w:val="8"/>
        </w:rPr>
        <w:t>本产品为【固定收益类】产品，具体投资对象投资比例如下：</w:t>
      </w:r>
    </w:p>
    <w:p w14:paraId="3D631A35">
      <w:pPr>
        <w:spacing w:line="28" w:lineRule="auto"/>
        <w:rPr>
          <w:rFonts w:ascii="Arial"/>
          <w:sz w:val="2"/>
        </w:rPr>
      </w:pPr>
    </w:p>
    <w:tbl>
      <w:tblPr>
        <w:tblStyle w:val="5"/>
        <w:tblW w:w="6409" w:type="dxa"/>
        <w:tblInd w:w="7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01"/>
        <w:gridCol w:w="2208"/>
      </w:tblGrid>
      <w:tr w14:paraId="0D08C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201" w:type="dxa"/>
            <w:vAlign w:val="top"/>
          </w:tcPr>
          <w:p w14:paraId="7C8F521C">
            <w:pPr>
              <w:spacing w:before="36" w:line="215" w:lineRule="auto"/>
              <w:ind w:left="1700"/>
              <w:rPr>
                <w:rFonts w:ascii="楷体" w:hAnsi="楷体" w:eastAsia="楷体" w:cs="楷体"/>
                <w:sz w:val="19"/>
                <w:szCs w:val="19"/>
              </w:rPr>
            </w:pPr>
            <w:r>
              <w:rPr>
                <w:rFonts w:ascii="楷体" w:hAnsi="楷体" w:eastAsia="楷体" w:cs="楷体"/>
                <w:b/>
                <w:bCs/>
                <w:spacing w:val="4"/>
                <w:sz w:val="19"/>
                <w:szCs w:val="19"/>
              </w:rPr>
              <w:t>资产种类</w:t>
            </w:r>
          </w:p>
        </w:tc>
        <w:tc>
          <w:tcPr>
            <w:tcW w:w="2208" w:type="dxa"/>
            <w:vAlign w:val="top"/>
          </w:tcPr>
          <w:p w14:paraId="3ED43D5E">
            <w:pPr>
              <w:spacing w:before="36" w:line="215" w:lineRule="auto"/>
              <w:ind w:left="694"/>
              <w:rPr>
                <w:rFonts w:ascii="楷体" w:hAnsi="楷体" w:eastAsia="楷体" w:cs="楷体"/>
                <w:sz w:val="19"/>
                <w:szCs w:val="19"/>
              </w:rPr>
            </w:pPr>
            <w:r>
              <w:rPr>
                <w:rFonts w:ascii="楷体" w:hAnsi="楷体" w:eastAsia="楷体" w:cs="楷体"/>
                <w:b/>
                <w:bCs/>
                <w:spacing w:val="6"/>
                <w:sz w:val="19"/>
                <w:szCs w:val="19"/>
              </w:rPr>
              <w:t>投资比例</w:t>
            </w:r>
          </w:p>
        </w:tc>
      </w:tr>
      <w:tr w14:paraId="7591B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201" w:type="dxa"/>
            <w:vAlign w:val="top"/>
          </w:tcPr>
          <w:p w14:paraId="310658AF">
            <w:pPr>
              <w:spacing w:before="31" w:line="216" w:lineRule="auto"/>
              <w:ind w:left="1592"/>
              <w:rPr>
                <w:rFonts w:ascii="楷体" w:hAnsi="楷体" w:eastAsia="楷体" w:cs="楷体"/>
                <w:sz w:val="19"/>
                <w:szCs w:val="19"/>
              </w:rPr>
            </w:pPr>
            <w:r>
              <w:rPr>
                <w:rFonts w:ascii="楷体" w:hAnsi="楷体" w:eastAsia="楷体" w:cs="楷体"/>
                <w:spacing w:val="8"/>
                <w:sz w:val="19"/>
                <w:szCs w:val="19"/>
              </w:rPr>
              <w:t>债权类资产</w:t>
            </w:r>
          </w:p>
        </w:tc>
        <w:tc>
          <w:tcPr>
            <w:tcW w:w="2208" w:type="dxa"/>
            <w:vAlign w:val="top"/>
          </w:tcPr>
          <w:p w14:paraId="21BEB43B">
            <w:pPr>
              <w:spacing w:before="31" w:line="216" w:lineRule="auto"/>
              <w:ind w:left="690"/>
              <w:rPr>
                <w:rFonts w:ascii="楷体" w:hAnsi="楷体" w:eastAsia="楷体" w:cs="楷体"/>
                <w:sz w:val="19"/>
                <w:szCs w:val="19"/>
              </w:rPr>
            </w:pPr>
            <w:r>
              <w:rPr>
                <w:rFonts w:ascii="楷体" w:hAnsi="楷体" w:eastAsia="楷体" w:cs="楷体"/>
                <w:spacing w:val="5"/>
                <w:sz w:val="19"/>
                <w:szCs w:val="19"/>
              </w:rPr>
              <w:t>【100%】</w:t>
            </w:r>
          </w:p>
        </w:tc>
      </w:tr>
      <w:tr w14:paraId="2B3E6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201" w:type="dxa"/>
            <w:vAlign w:val="top"/>
          </w:tcPr>
          <w:p w14:paraId="68A5A985">
            <w:pPr>
              <w:spacing w:before="31" w:line="215" w:lineRule="auto"/>
              <w:ind w:left="895"/>
              <w:rPr>
                <w:rFonts w:ascii="楷体" w:hAnsi="楷体" w:eastAsia="楷体" w:cs="楷体"/>
                <w:sz w:val="19"/>
                <w:szCs w:val="19"/>
              </w:rPr>
            </w:pPr>
            <w:r>
              <w:rPr>
                <w:rFonts w:ascii="楷体" w:hAnsi="楷体" w:eastAsia="楷体" w:cs="楷体"/>
                <w:spacing w:val="9"/>
                <w:sz w:val="19"/>
                <w:szCs w:val="19"/>
              </w:rPr>
              <w:t>其中，非标准化债权类资产</w:t>
            </w:r>
          </w:p>
        </w:tc>
        <w:tc>
          <w:tcPr>
            <w:tcW w:w="2208" w:type="dxa"/>
            <w:vAlign w:val="top"/>
          </w:tcPr>
          <w:p w14:paraId="10E729B2">
            <w:pPr>
              <w:spacing w:before="31" w:line="215" w:lineRule="auto"/>
              <w:ind w:left="788"/>
              <w:rPr>
                <w:rFonts w:ascii="楷体" w:hAnsi="楷体" w:eastAsia="楷体" w:cs="楷体"/>
                <w:sz w:val="19"/>
                <w:szCs w:val="19"/>
              </w:rPr>
            </w:pPr>
            <w:r>
              <w:rPr>
                <w:rFonts w:ascii="楷体" w:hAnsi="楷体" w:eastAsia="楷体" w:cs="楷体"/>
                <w:spacing w:val="5"/>
                <w:sz w:val="19"/>
                <w:szCs w:val="19"/>
              </w:rPr>
              <w:t>【0%】</w:t>
            </w:r>
          </w:p>
        </w:tc>
      </w:tr>
      <w:tr w14:paraId="7ACD6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4201" w:type="dxa"/>
            <w:vAlign w:val="top"/>
          </w:tcPr>
          <w:p w14:paraId="04B47F76">
            <w:pPr>
              <w:spacing w:before="34" w:line="213" w:lineRule="auto"/>
              <w:ind w:left="1588"/>
              <w:rPr>
                <w:rFonts w:ascii="楷体" w:hAnsi="楷体" w:eastAsia="楷体" w:cs="楷体"/>
                <w:sz w:val="19"/>
                <w:szCs w:val="19"/>
              </w:rPr>
            </w:pPr>
            <w:r>
              <w:rPr>
                <w:rFonts w:ascii="楷体" w:hAnsi="楷体" w:eastAsia="楷体" w:cs="楷体"/>
                <w:spacing w:val="8"/>
                <w:sz w:val="19"/>
                <w:szCs w:val="19"/>
              </w:rPr>
              <w:t>权益类资产</w:t>
            </w:r>
          </w:p>
        </w:tc>
        <w:tc>
          <w:tcPr>
            <w:tcW w:w="2208" w:type="dxa"/>
            <w:vAlign w:val="top"/>
          </w:tcPr>
          <w:p w14:paraId="448234A5">
            <w:pPr>
              <w:spacing w:before="34" w:line="213" w:lineRule="auto"/>
              <w:ind w:left="788"/>
              <w:rPr>
                <w:rFonts w:ascii="楷体" w:hAnsi="楷体" w:eastAsia="楷体" w:cs="楷体"/>
                <w:sz w:val="19"/>
                <w:szCs w:val="19"/>
              </w:rPr>
            </w:pPr>
            <w:r>
              <w:rPr>
                <w:rFonts w:ascii="楷体" w:hAnsi="楷体" w:eastAsia="楷体" w:cs="楷体"/>
                <w:spacing w:val="5"/>
                <w:sz w:val="19"/>
                <w:szCs w:val="19"/>
              </w:rPr>
              <w:t>【0%】</w:t>
            </w:r>
          </w:p>
        </w:tc>
      </w:tr>
      <w:tr w14:paraId="21C12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4201" w:type="dxa"/>
            <w:vAlign w:val="top"/>
          </w:tcPr>
          <w:p w14:paraId="55C32CD2">
            <w:pPr>
              <w:spacing w:before="34" w:line="212" w:lineRule="auto"/>
              <w:ind w:left="301"/>
              <w:rPr>
                <w:rFonts w:ascii="楷体" w:hAnsi="楷体" w:eastAsia="楷体" w:cs="楷体"/>
                <w:sz w:val="19"/>
                <w:szCs w:val="19"/>
              </w:rPr>
            </w:pPr>
            <w:r>
              <w:rPr>
                <w:rFonts w:ascii="楷体" w:hAnsi="楷体" w:eastAsia="楷体" w:cs="楷体"/>
                <w:spacing w:val="9"/>
                <w:sz w:val="19"/>
                <w:szCs w:val="19"/>
              </w:rPr>
              <w:t>商品及金融衍生品类资产：持仓合约价值</w:t>
            </w:r>
          </w:p>
        </w:tc>
        <w:tc>
          <w:tcPr>
            <w:tcW w:w="2208" w:type="dxa"/>
            <w:vAlign w:val="top"/>
          </w:tcPr>
          <w:p w14:paraId="067AC7B0">
            <w:pPr>
              <w:spacing w:before="34" w:line="212" w:lineRule="auto"/>
              <w:ind w:left="788"/>
              <w:rPr>
                <w:rFonts w:ascii="楷体" w:hAnsi="楷体" w:eastAsia="楷体" w:cs="楷体"/>
                <w:sz w:val="19"/>
                <w:szCs w:val="19"/>
              </w:rPr>
            </w:pPr>
            <w:r>
              <w:rPr>
                <w:rFonts w:ascii="楷体" w:hAnsi="楷体" w:eastAsia="楷体" w:cs="楷体"/>
                <w:spacing w:val="5"/>
                <w:sz w:val="19"/>
                <w:szCs w:val="19"/>
              </w:rPr>
              <w:t>【0%】</w:t>
            </w:r>
          </w:p>
        </w:tc>
      </w:tr>
      <w:tr w14:paraId="494DF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201" w:type="dxa"/>
            <w:vAlign w:val="top"/>
          </w:tcPr>
          <w:p w14:paraId="12B340BB">
            <w:pPr>
              <w:spacing w:before="35" w:line="216" w:lineRule="auto"/>
              <w:ind w:left="200"/>
              <w:rPr>
                <w:rFonts w:ascii="楷体" w:hAnsi="楷体" w:eastAsia="楷体" w:cs="楷体"/>
                <w:sz w:val="19"/>
                <w:szCs w:val="19"/>
              </w:rPr>
            </w:pPr>
            <w:r>
              <w:rPr>
                <w:rFonts w:ascii="楷体" w:hAnsi="楷体" w:eastAsia="楷体" w:cs="楷体"/>
                <w:spacing w:val="9"/>
                <w:sz w:val="19"/>
                <w:szCs w:val="19"/>
              </w:rPr>
              <w:t>商品及金融衍生品类资产：衍生品账户权益</w:t>
            </w:r>
          </w:p>
        </w:tc>
        <w:tc>
          <w:tcPr>
            <w:tcW w:w="2208" w:type="dxa"/>
            <w:vAlign w:val="top"/>
          </w:tcPr>
          <w:p w14:paraId="19702B36">
            <w:pPr>
              <w:spacing w:before="35" w:line="216" w:lineRule="auto"/>
              <w:ind w:left="788"/>
              <w:rPr>
                <w:rFonts w:ascii="楷体" w:hAnsi="楷体" w:eastAsia="楷体" w:cs="楷体"/>
                <w:sz w:val="19"/>
                <w:szCs w:val="19"/>
              </w:rPr>
            </w:pPr>
            <w:r>
              <w:rPr>
                <w:rFonts w:ascii="楷体" w:hAnsi="楷体" w:eastAsia="楷体" w:cs="楷体"/>
                <w:spacing w:val="5"/>
                <w:sz w:val="19"/>
                <w:szCs w:val="19"/>
              </w:rPr>
              <w:t>【0%】</w:t>
            </w:r>
          </w:p>
        </w:tc>
      </w:tr>
    </w:tbl>
    <w:p w14:paraId="52140377">
      <w:pPr>
        <w:pStyle w:val="2"/>
        <w:spacing w:before="70" w:line="223" w:lineRule="auto"/>
        <w:ind w:left="491"/>
      </w:pPr>
      <w:r>
        <w:rPr>
          <w:b/>
          <w:bCs/>
          <w:spacing w:val="8"/>
        </w:rPr>
        <w:t>投资者投资本产品可能面临的特定风险主要包括（但不限于</w:t>
      </w:r>
      <w:r>
        <w:rPr>
          <w:rFonts w:hint="eastAsia"/>
          <w:b/>
          <w:bCs/>
          <w:spacing w:val="8"/>
          <w:lang w:eastAsia="zh-CN"/>
        </w:rPr>
        <w:t>）：</w:t>
      </w:r>
    </w:p>
    <w:p w14:paraId="29C964C7">
      <w:pPr>
        <w:pStyle w:val="2"/>
        <w:spacing w:before="70" w:line="223" w:lineRule="auto"/>
        <w:ind w:left="496"/>
      </w:pPr>
      <w:r>
        <w:rPr>
          <w:b/>
          <w:bCs/>
          <w:spacing w:val="1"/>
        </w:rPr>
        <w:t>（</w:t>
      </w:r>
      <w:r>
        <w:rPr>
          <w:rFonts w:ascii="Times New Roman" w:hAnsi="Times New Roman" w:eastAsia="Times New Roman" w:cs="Times New Roman"/>
          <w:b/>
          <w:bCs/>
          <w:spacing w:val="1"/>
        </w:rPr>
        <w:t>1</w:t>
      </w:r>
      <w:r>
        <w:rPr>
          <w:b/>
          <w:bCs/>
          <w:spacing w:val="1"/>
        </w:rPr>
        <w:t>）投资债权类资产的风险</w:t>
      </w:r>
    </w:p>
    <w:p w14:paraId="0A3AC562">
      <w:pPr>
        <w:pStyle w:val="2"/>
        <w:spacing w:before="71" w:line="223" w:lineRule="auto"/>
        <w:ind w:left="504"/>
      </w:pPr>
      <w:r>
        <w:rPr>
          <w:rFonts w:ascii="Times New Roman" w:hAnsi="Times New Roman" w:eastAsia="Times New Roman" w:cs="Times New Roman"/>
          <w:b/>
          <w:bCs/>
          <w:spacing w:val="5"/>
        </w:rPr>
        <w:t>1</w:t>
      </w:r>
      <w:bookmarkStart w:id="0" w:name="_GoBack"/>
      <w:r>
        <w:rPr>
          <w:b/>
          <w:bCs/>
          <w:spacing w:val="5"/>
        </w:rPr>
        <w:t>）</w:t>
      </w:r>
      <w:bookmarkEnd w:id="0"/>
      <w:r>
        <w:rPr>
          <w:b/>
          <w:bCs/>
          <w:spacing w:val="5"/>
        </w:rPr>
        <w:t>投资标准化债权类资产的风险</w:t>
      </w:r>
    </w:p>
    <w:p w14:paraId="20CECA09">
      <w:pPr>
        <w:pStyle w:val="2"/>
        <w:spacing w:before="71" w:line="291" w:lineRule="auto"/>
        <w:ind w:left="20" w:firstLine="478"/>
      </w:pPr>
      <w:r>
        <w:rPr>
          <w:b/>
          <w:bCs/>
          <w:spacing w:val="6"/>
        </w:rPr>
        <w:t>本产品投资债券、资产支持证券等债权类资产时可能面临以下风险：</w:t>
      </w:r>
      <w:r>
        <w:rPr>
          <w:spacing w:val="-34"/>
        </w:rPr>
        <w:t xml:space="preserve"> </w:t>
      </w:r>
      <w:r>
        <w:rPr>
          <w:b/>
          <w:bCs/>
          <w:spacing w:val="6"/>
        </w:rPr>
        <w:t>国家政策、经济周期、</w:t>
      </w:r>
      <w:r>
        <w:rPr>
          <w:b/>
          <w:bCs/>
          <w:spacing w:val="9"/>
        </w:rPr>
        <w:t>利率、汇率等因素可能发生的变化导致的市</w:t>
      </w:r>
      <w:r>
        <w:rPr>
          <w:b/>
          <w:bCs/>
          <w:spacing w:val="8"/>
        </w:rPr>
        <w:t>场风险；债券发行人的经营状况、信用质量降低等</w:t>
      </w:r>
      <w:r>
        <w:t xml:space="preserve"> </w:t>
      </w:r>
      <w:r>
        <w:rPr>
          <w:b/>
          <w:bCs/>
          <w:spacing w:val="8"/>
        </w:rPr>
        <w:t>可能发生的变化导致的信用风险；可能因市场成交量不足、缺乏交易对手导致的流动性风险等。</w:t>
      </w:r>
    </w:p>
    <w:p w14:paraId="75206C00">
      <w:pPr>
        <w:pStyle w:val="2"/>
        <w:spacing w:before="1" w:line="223" w:lineRule="auto"/>
        <w:ind w:left="496"/>
      </w:pPr>
      <w:r>
        <w:rPr>
          <w:rFonts w:ascii="Times New Roman" w:hAnsi="Times New Roman" w:eastAsia="Times New Roman" w:cs="Times New Roman"/>
          <w:b/>
          <w:bCs/>
          <w:spacing w:val="7"/>
        </w:rPr>
        <w:t>2</w:t>
      </w:r>
      <w:r>
        <w:rPr>
          <w:b/>
          <w:bCs/>
          <w:spacing w:val="7"/>
        </w:rPr>
        <w:t>）投资非标准化债权类资产的风险</w:t>
      </w:r>
    </w:p>
    <w:p w14:paraId="74223EC0">
      <w:pPr>
        <w:pStyle w:val="2"/>
        <w:spacing w:before="69" w:line="291" w:lineRule="auto"/>
        <w:ind w:left="14" w:right="239" w:firstLine="484"/>
      </w:pPr>
      <w:r>
        <w:rPr>
          <w:b/>
          <w:bCs/>
          <w:spacing w:val="7"/>
        </w:rPr>
        <w:t>本产品投资非标债权类资产时可能面临以下风险：</w:t>
      </w:r>
      <w:r>
        <w:rPr>
          <w:spacing w:val="-45"/>
        </w:rPr>
        <w:t xml:space="preserve"> </w:t>
      </w:r>
      <w:r>
        <w:rPr>
          <w:b/>
          <w:bCs/>
          <w:spacing w:val="7"/>
        </w:rPr>
        <w:t>由于融资主体</w:t>
      </w:r>
      <w:r>
        <w:rPr>
          <w:rFonts w:ascii="Times New Roman" w:hAnsi="Times New Roman" w:eastAsia="Times New Roman" w:cs="Times New Roman"/>
          <w:b/>
          <w:bCs/>
          <w:spacing w:val="7"/>
        </w:rPr>
        <w:t>/</w:t>
      </w:r>
      <w:r>
        <w:rPr>
          <w:b/>
          <w:bCs/>
          <w:spacing w:val="7"/>
        </w:rPr>
        <w:t>增信主体</w:t>
      </w:r>
      <w:r>
        <w:rPr>
          <w:rFonts w:ascii="Times New Roman" w:hAnsi="Times New Roman" w:eastAsia="Times New Roman" w:cs="Times New Roman"/>
          <w:b/>
          <w:bCs/>
          <w:spacing w:val="7"/>
        </w:rPr>
        <w:t>/</w:t>
      </w:r>
      <w:r>
        <w:rPr>
          <w:b/>
          <w:bCs/>
          <w:spacing w:val="7"/>
        </w:rPr>
        <w:t>其他义务</w:t>
      </w:r>
      <w:r>
        <w:rPr>
          <w:b/>
          <w:bCs/>
          <w:spacing w:val="6"/>
        </w:rPr>
        <w:t>人还款履约能力可能的变化导致的信用风险（</w:t>
      </w:r>
      <w:r>
        <w:rPr>
          <w:spacing w:val="-27"/>
        </w:rPr>
        <w:t xml:space="preserve"> </w:t>
      </w:r>
      <w:r>
        <w:rPr>
          <w:b/>
          <w:bCs/>
          <w:spacing w:val="6"/>
        </w:rPr>
        <w:t>包括但不限于：</w:t>
      </w:r>
      <w:r>
        <w:rPr>
          <w:spacing w:val="-56"/>
        </w:rPr>
        <w:t xml:space="preserve"> </w:t>
      </w:r>
      <w:r>
        <w:rPr>
          <w:b/>
          <w:bCs/>
          <w:spacing w:val="6"/>
        </w:rPr>
        <w:t>融资主体提前还款、延期还款或逾期</w:t>
      </w:r>
      <w:r>
        <w:rPr>
          <w:b/>
          <w:bCs/>
          <w:spacing w:val="9"/>
        </w:rPr>
        <w:t>还款的风险；增信主体未能履行增信义务（例如：保证担</w:t>
      </w:r>
      <w:r>
        <w:rPr>
          <w:b/>
          <w:bCs/>
          <w:spacing w:val="8"/>
        </w:rPr>
        <w:t>保、差额补足、远期回购、流动性支持等增信措施）的风险</w:t>
      </w:r>
      <w:r>
        <w:rPr>
          <w:b/>
          <w:bCs/>
        </w:rPr>
        <w:t>）；</w:t>
      </w:r>
      <w:r>
        <w:rPr>
          <w:spacing w:val="-54"/>
        </w:rPr>
        <w:t xml:space="preserve"> </w:t>
      </w:r>
      <w:r>
        <w:rPr>
          <w:b/>
          <w:bCs/>
          <w:spacing w:val="8"/>
        </w:rPr>
        <w:t>非标债权类资产可能因其无法等分化交易、信息披露不充分、未能</w:t>
      </w:r>
      <w:r>
        <w:rPr>
          <w:b/>
          <w:bCs/>
          <w:spacing w:val="9"/>
        </w:rPr>
        <w:t>集中登记和独立托管、缺乏公允性定价和流动机制不完善</w:t>
      </w:r>
      <w:r>
        <w:rPr>
          <w:b/>
          <w:bCs/>
          <w:spacing w:val="8"/>
        </w:rPr>
        <w:t>、未在银行间市场、证券交易所市场等国务院同意设立的交易市场交易等原因，从而缺乏交易对手，导致流动性风险等。</w:t>
      </w:r>
    </w:p>
    <w:p w14:paraId="3D289BA5">
      <w:pPr>
        <w:pStyle w:val="2"/>
        <w:spacing w:before="4" w:line="223" w:lineRule="auto"/>
        <w:ind w:left="496"/>
      </w:pPr>
      <w:r>
        <w:rPr>
          <w:b/>
          <w:bCs/>
          <w:spacing w:val="8"/>
        </w:rPr>
        <w:t>（</w:t>
      </w:r>
      <w:r>
        <w:rPr>
          <w:rFonts w:ascii="Times New Roman" w:hAnsi="Times New Roman" w:eastAsia="Times New Roman" w:cs="Times New Roman"/>
          <w:b/>
          <w:bCs/>
          <w:spacing w:val="8"/>
        </w:rPr>
        <w:t>2</w:t>
      </w:r>
      <w:r>
        <w:rPr>
          <w:b/>
          <w:bCs/>
          <w:spacing w:val="8"/>
        </w:rPr>
        <w:t>）投资权益类资产的风险</w:t>
      </w:r>
    </w:p>
    <w:p w14:paraId="036765ED">
      <w:pPr>
        <w:pStyle w:val="2"/>
        <w:spacing w:before="71" w:line="223" w:lineRule="auto"/>
        <w:ind w:left="504"/>
      </w:pPr>
      <w:r>
        <w:rPr>
          <w:rFonts w:ascii="Times New Roman" w:hAnsi="Times New Roman" w:eastAsia="Times New Roman" w:cs="Times New Roman"/>
          <w:b/>
          <w:bCs/>
          <w:spacing w:val="5"/>
        </w:rPr>
        <w:t>1</w:t>
      </w:r>
      <w:r>
        <w:rPr>
          <w:rFonts w:ascii="Times New Roman" w:hAnsi="Times New Roman" w:eastAsia="Times New Roman" w:cs="Times New Roman"/>
          <w:b/>
          <w:bCs/>
          <w:spacing w:val="-12"/>
        </w:rPr>
        <w:t xml:space="preserve"> </w:t>
      </w:r>
      <w:r>
        <w:rPr>
          <w:b/>
          <w:bCs/>
          <w:spacing w:val="5"/>
        </w:rPr>
        <w:t>）投资普通股票可能面临的风险</w:t>
      </w:r>
    </w:p>
    <w:p w14:paraId="7B574088">
      <w:pPr>
        <w:pStyle w:val="2"/>
        <w:spacing w:before="70" w:line="291" w:lineRule="auto"/>
        <w:ind w:left="14" w:right="160" w:firstLine="484"/>
      </w:pPr>
      <w:r>
        <w:rPr>
          <w:b/>
          <w:bCs/>
          <w:spacing w:val="7"/>
        </w:rPr>
        <w:t>本产品投资普通股票时可能面临以下风险：</w:t>
      </w:r>
      <w:r>
        <w:rPr>
          <w:spacing w:val="-36"/>
        </w:rPr>
        <w:t xml:space="preserve"> </w:t>
      </w:r>
      <w:r>
        <w:rPr>
          <w:b/>
          <w:bCs/>
          <w:spacing w:val="7"/>
        </w:rPr>
        <w:t>国家政策、经济周期、利率、汇率、股票发行人经营情况等因素可能发生变化导致的市场风险；</w:t>
      </w:r>
      <w:r>
        <w:rPr>
          <w:spacing w:val="-29"/>
        </w:rPr>
        <w:t xml:space="preserve"> </w:t>
      </w:r>
      <w:r>
        <w:rPr>
          <w:b/>
          <w:bCs/>
          <w:spacing w:val="7"/>
        </w:rPr>
        <w:t>因市场、技术、竞争、管理、财务等导致公</w:t>
      </w:r>
      <w:r>
        <w:rPr>
          <w:b/>
          <w:bCs/>
          <w:spacing w:val="9"/>
        </w:rPr>
        <w:t>司盈利发生变化，其股票价格可能下跌，影响投资者收益</w:t>
      </w:r>
      <w:r>
        <w:rPr>
          <w:b/>
          <w:bCs/>
          <w:spacing w:val="8"/>
        </w:rPr>
        <w:t>；股票定向增发等可能的流通和转让</w:t>
      </w:r>
      <w:r>
        <w:rPr>
          <w:b/>
          <w:bCs/>
          <w:spacing w:val="7"/>
        </w:rPr>
        <w:t>限制导致的流动性风险等。</w:t>
      </w:r>
    </w:p>
    <w:p w14:paraId="158DFAA1">
      <w:pPr>
        <w:pStyle w:val="2"/>
        <w:spacing w:before="2" w:line="226" w:lineRule="auto"/>
        <w:ind w:left="496"/>
      </w:pPr>
      <w:r>
        <w:rPr>
          <w:rFonts w:ascii="Times New Roman" w:hAnsi="Times New Roman" w:eastAsia="Times New Roman" w:cs="Times New Roman"/>
          <w:b/>
          <w:bCs/>
          <w:spacing w:val="7"/>
        </w:rPr>
        <w:t>2</w:t>
      </w:r>
      <w:r>
        <w:rPr>
          <w:b/>
          <w:bCs/>
          <w:spacing w:val="7"/>
        </w:rPr>
        <w:t>）投资优先股可能面临的风险</w:t>
      </w:r>
    </w:p>
    <w:p w14:paraId="457845AC">
      <w:pPr>
        <w:pStyle w:val="2"/>
        <w:spacing w:before="68" w:line="272" w:lineRule="auto"/>
        <w:ind w:left="14" w:right="160" w:firstLine="484"/>
      </w:pPr>
      <w:r>
        <w:rPr>
          <w:b/>
          <w:bCs/>
          <w:spacing w:val="7"/>
        </w:rPr>
        <w:t>本产品投资优先股时可能</w:t>
      </w:r>
      <w:r>
        <w:rPr>
          <w:rFonts w:hint="eastAsia"/>
          <w:b/>
          <w:bCs/>
          <w:spacing w:val="7"/>
          <w:lang w:eastAsia="zh-CN"/>
        </w:rPr>
        <w:t>面临</w:t>
      </w:r>
      <w:r>
        <w:rPr>
          <w:b/>
          <w:bCs/>
          <w:spacing w:val="7"/>
        </w:rPr>
        <w:t>以下风险：</w:t>
      </w:r>
      <w:r>
        <w:rPr>
          <w:spacing w:val="-36"/>
        </w:rPr>
        <w:t xml:space="preserve"> </w:t>
      </w:r>
      <w:r>
        <w:rPr>
          <w:b/>
          <w:bCs/>
          <w:spacing w:val="7"/>
        </w:rPr>
        <w:t>国家政策、经济周期、利率、汇率、股票发行人经营情况等因素可能发生变化导致的市场风险；</w:t>
      </w:r>
      <w:r>
        <w:rPr>
          <w:spacing w:val="-29"/>
        </w:rPr>
        <w:t xml:space="preserve"> </w:t>
      </w:r>
      <w:r>
        <w:rPr>
          <w:b/>
          <w:bCs/>
          <w:spacing w:val="7"/>
        </w:rPr>
        <w:t>因公司基本面改变导致影响优先股的股利支</w:t>
      </w:r>
    </w:p>
    <w:p w14:paraId="3414B5D0">
      <w:pPr>
        <w:spacing w:line="272" w:lineRule="auto"/>
        <w:sectPr>
          <w:headerReference r:id="rId5" w:type="default"/>
          <w:footerReference r:id="rId6" w:type="default"/>
          <w:pgSz w:w="11906" w:h="16839"/>
          <w:pgMar w:top="1166" w:right="1639" w:bottom="1432" w:left="1785" w:header="829" w:footer="1218" w:gutter="0"/>
          <w:cols w:space="720" w:num="1"/>
        </w:sectPr>
      </w:pPr>
    </w:p>
    <w:p w14:paraId="1A2FFE76">
      <w:pPr>
        <w:spacing w:line="278" w:lineRule="auto"/>
        <w:rPr>
          <w:rFonts w:ascii="Arial"/>
          <w:sz w:val="21"/>
        </w:rPr>
      </w:pPr>
    </w:p>
    <w:p w14:paraId="3CC055F6">
      <w:pPr>
        <w:pStyle w:val="2"/>
        <w:spacing w:before="62" w:line="291" w:lineRule="auto"/>
        <w:ind w:left="21" w:right="210" w:hanging="6"/>
      </w:pPr>
      <w:r>
        <w:rPr>
          <w:b/>
          <w:bCs/>
          <w:spacing w:val="8"/>
        </w:rPr>
        <w:t>付、在触发事件发生时优先股可能被强制转换为普通</w:t>
      </w:r>
      <w:r>
        <w:rPr>
          <w:b/>
          <w:bCs/>
          <w:spacing w:val="7"/>
        </w:rPr>
        <w:t>股的信用风险；</w:t>
      </w:r>
      <w:r>
        <w:rPr>
          <w:spacing w:val="-53"/>
        </w:rPr>
        <w:t xml:space="preserve"> </w:t>
      </w:r>
      <w:r>
        <w:rPr>
          <w:b/>
          <w:bCs/>
          <w:spacing w:val="7"/>
        </w:rPr>
        <w:t>向特定对象发行的优先股</w:t>
      </w:r>
      <w:r>
        <w:rPr>
          <w:b/>
          <w:bCs/>
          <w:spacing w:val="8"/>
        </w:rPr>
        <w:t>只能挂牌转让等优先股可能的流通和转让限制导致的流动性风险</w:t>
      </w:r>
      <w:r>
        <w:rPr>
          <w:b/>
          <w:bCs/>
          <w:spacing w:val="7"/>
        </w:rPr>
        <w:t>等。</w:t>
      </w:r>
    </w:p>
    <w:p w14:paraId="3310F2C5">
      <w:pPr>
        <w:pStyle w:val="2"/>
        <w:spacing w:before="2" w:line="223" w:lineRule="auto"/>
        <w:ind w:left="496"/>
      </w:pPr>
      <w:r>
        <w:rPr>
          <w:b/>
          <w:bCs/>
          <w:spacing w:val="6"/>
        </w:rPr>
        <w:t>（</w:t>
      </w:r>
      <w:r>
        <w:rPr>
          <w:rFonts w:ascii="Times New Roman" w:hAnsi="Times New Roman" w:eastAsia="Times New Roman" w:cs="Times New Roman"/>
          <w:b/>
          <w:bCs/>
          <w:spacing w:val="6"/>
        </w:rPr>
        <w:t>3</w:t>
      </w:r>
      <w:r>
        <w:rPr>
          <w:b/>
          <w:bCs/>
          <w:spacing w:val="6"/>
        </w:rPr>
        <w:t>）投资商品及金融衍生品类资产的风险</w:t>
      </w:r>
    </w:p>
    <w:p w14:paraId="3E33789C">
      <w:pPr>
        <w:pStyle w:val="2"/>
        <w:spacing w:before="71" w:line="289" w:lineRule="auto"/>
        <w:ind w:left="31" w:right="131" w:firstLine="466"/>
      </w:pPr>
      <w:r>
        <w:rPr>
          <w:b/>
          <w:bCs/>
          <w:spacing w:val="9"/>
        </w:rPr>
        <w:t>本产品投资商品及金融衍生品类资产时可能面</w:t>
      </w:r>
      <w:r>
        <w:rPr>
          <w:b/>
          <w:bCs/>
          <w:spacing w:val="8"/>
        </w:rPr>
        <w:t>临以下风险：该衍生品资产可能实行保证金</w:t>
      </w:r>
      <w:r>
        <w:rPr>
          <w:b/>
          <w:bCs/>
          <w:spacing w:val="6"/>
        </w:rPr>
        <w:t>交易制度，具有高杠杆性，</w:t>
      </w:r>
      <w:r>
        <w:rPr>
          <w:spacing w:val="-56"/>
        </w:rPr>
        <w:t xml:space="preserve"> </w:t>
      </w:r>
      <w:r>
        <w:rPr>
          <w:b/>
          <w:bCs/>
          <w:spacing w:val="6"/>
        </w:rPr>
        <w:t>高杠杆效应放大了价格波动风险；若本产</w:t>
      </w:r>
      <w:r>
        <w:rPr>
          <w:rFonts w:hint="eastAsia"/>
          <w:b/>
          <w:bCs/>
          <w:spacing w:val="6"/>
          <w:lang w:eastAsia="zh-CN"/>
        </w:rPr>
        <w:t>品在</w:t>
      </w:r>
      <w:r>
        <w:rPr>
          <w:b/>
          <w:bCs/>
          <w:spacing w:val="5"/>
        </w:rPr>
        <w:t>运作中出现基差（</w:t>
      </w:r>
      <w:r>
        <w:rPr>
          <w:spacing w:val="-44"/>
        </w:rPr>
        <w:t xml:space="preserve"> </w:t>
      </w:r>
      <w:r>
        <w:rPr>
          <w:b/>
          <w:bCs/>
          <w:spacing w:val="5"/>
        </w:rPr>
        <w:t>注：</w:t>
      </w:r>
    </w:p>
    <w:p w14:paraId="48B219F8">
      <w:pPr>
        <w:pStyle w:val="2"/>
        <w:spacing w:before="6" w:line="290" w:lineRule="auto"/>
        <w:ind w:left="12" w:right="210"/>
      </w:pPr>
      <w:r>
        <w:rPr>
          <w:b/>
          <w:bCs/>
          <w:spacing w:val="9"/>
        </w:rPr>
        <w:t>基差是指现货价格与期货价格之间的差额）波动不确定性加</w:t>
      </w:r>
      <w:r>
        <w:rPr>
          <w:b/>
          <w:bCs/>
          <w:spacing w:val="8"/>
        </w:rPr>
        <w:t>大、基差向不利方向变动等情况，</w:t>
      </w:r>
      <w:r>
        <w:rPr>
          <w:b/>
          <w:bCs/>
          <w:spacing w:val="9"/>
        </w:rPr>
        <w:t>可能对本产品投资产生不利影响；本产品持有的衍生品合约临</w:t>
      </w:r>
      <w:r>
        <w:rPr>
          <w:b/>
          <w:bCs/>
          <w:spacing w:val="8"/>
        </w:rPr>
        <w:t>近交割期限，需要向较远月份的</w:t>
      </w:r>
      <w:r>
        <w:rPr>
          <w:b/>
          <w:bCs/>
          <w:spacing w:val="9"/>
        </w:rPr>
        <w:t>合约进行展期时，可能发生展期过程中价差损失以及交易成本</w:t>
      </w:r>
      <w:r>
        <w:rPr>
          <w:b/>
          <w:bCs/>
          <w:spacing w:val="8"/>
        </w:rPr>
        <w:t>损失的情况，对投资产生不利影</w:t>
      </w:r>
      <w:r>
        <w:rPr>
          <w:b/>
          <w:bCs/>
          <w:spacing w:val="7"/>
        </w:rPr>
        <w:t>响；</w:t>
      </w:r>
      <w:r>
        <w:rPr>
          <w:spacing w:val="-38"/>
        </w:rPr>
        <w:t xml:space="preserve"> </w:t>
      </w:r>
      <w:r>
        <w:rPr>
          <w:b/>
          <w:bCs/>
          <w:spacing w:val="7"/>
        </w:rPr>
        <w:t>当本产品投资的衍生品保证金不足时，可能使所持有的头寸面临被强制平仓的</w:t>
      </w:r>
      <w:r>
        <w:rPr>
          <w:b/>
          <w:bCs/>
          <w:spacing w:val="6"/>
        </w:rPr>
        <w:t>风险。</w:t>
      </w:r>
    </w:p>
    <w:p w14:paraId="5676F509">
      <w:pPr>
        <w:pStyle w:val="2"/>
        <w:spacing w:before="270" w:line="222" w:lineRule="auto"/>
        <w:ind w:left="41" w:right="221" w:firstLine="492"/>
        <w:rPr>
          <w:sz w:val="25"/>
          <w:szCs w:val="25"/>
        </w:rPr>
      </w:pPr>
      <w:r>
        <w:rPr>
          <w:b/>
          <w:bCs/>
          <w:i/>
          <w:iCs/>
          <w:spacing w:val="-12"/>
          <w:sz w:val="25"/>
          <w:szCs w:val="25"/>
          <w:u w:val="single" w:color="auto"/>
        </w:rPr>
        <w:t>注：以上特定风险仅为列举性质，未能详尽列明投资本产品</w:t>
      </w:r>
      <w:r>
        <w:rPr>
          <w:b/>
          <w:bCs/>
          <w:i/>
          <w:iCs/>
          <w:spacing w:val="-13"/>
          <w:sz w:val="25"/>
          <w:szCs w:val="25"/>
          <w:u w:val="single" w:color="auto"/>
        </w:rPr>
        <w:t>可能面临的全</w:t>
      </w:r>
      <w:r>
        <w:rPr>
          <w:b/>
          <w:bCs/>
          <w:i/>
          <w:iCs/>
          <w:spacing w:val="-12"/>
          <w:sz w:val="25"/>
          <w:szCs w:val="25"/>
          <w:u w:val="single" w:color="auto"/>
        </w:rPr>
        <w:t>部风险和可能导致投资者投资本金及收益损失的所有因素。</w:t>
      </w:r>
    </w:p>
    <w:p w14:paraId="1784C77C">
      <w:pPr>
        <w:spacing w:line="269" w:lineRule="auto"/>
        <w:rPr>
          <w:rFonts w:ascii="Arial"/>
          <w:sz w:val="21"/>
        </w:rPr>
      </w:pPr>
    </w:p>
    <w:p w14:paraId="077D0A31">
      <w:pPr>
        <w:pStyle w:val="2"/>
        <w:spacing w:before="62" w:line="290" w:lineRule="auto"/>
        <w:ind w:left="15" w:right="210" w:firstLine="486"/>
      </w:pPr>
      <w:r>
        <w:rPr>
          <w:b/>
          <w:bCs/>
          <w:spacing w:val="8"/>
        </w:rPr>
        <w:t>理财非存款、产品有风险、投资须谨慎，理财产品过往业绩不代表其未来表现，不等于</w:t>
      </w:r>
      <w:r>
        <w:rPr>
          <w:b/>
          <w:bCs/>
          <w:spacing w:val="9"/>
        </w:rPr>
        <w:t>理财产品实际收益。投资者投资理财产品的，请关注产</w:t>
      </w:r>
      <w:r>
        <w:rPr>
          <w:b/>
          <w:bCs/>
          <w:spacing w:val="8"/>
        </w:rPr>
        <w:t>品各类投资对象的投资比例及相应投资风险，基于所投资的不同理财产品可能面临包括但不限于信用风险、市场风险、流动性风险、</w:t>
      </w:r>
    </w:p>
    <w:p w14:paraId="08E1459C">
      <w:pPr>
        <w:pStyle w:val="2"/>
        <w:spacing w:before="4" w:line="223" w:lineRule="auto"/>
        <w:ind w:left="13"/>
      </w:pPr>
      <w:r>
        <w:rPr>
          <w:b/>
          <w:bCs/>
          <w:spacing w:val="8"/>
        </w:rPr>
        <w:t>提前终止风险、政策风险、信息传递风险、管理风险、延期清算风险、理财产品不成立风险、</w:t>
      </w:r>
    </w:p>
    <w:p w14:paraId="5E1B1034">
      <w:pPr>
        <w:pStyle w:val="2"/>
        <w:spacing w:before="68" w:line="292" w:lineRule="auto"/>
        <w:ind w:left="26" w:right="155" w:firstLine="1"/>
      </w:pPr>
      <w:r>
        <w:rPr>
          <w:b/>
          <w:bCs/>
          <w:spacing w:val="8"/>
        </w:rPr>
        <w:t>不可抗力及意外事件风险、理财本金全部损失风险、合作销售机构（代销机构）风险、操作风险、关联交易风险等风险，具体风险请甲方仔细阅读认购</w:t>
      </w:r>
      <w:r>
        <w:rPr>
          <w:rFonts w:ascii="Times New Roman" w:hAnsi="Times New Roman" w:eastAsia="Times New Roman" w:cs="Times New Roman"/>
          <w:b/>
          <w:bCs/>
          <w:spacing w:val="8"/>
        </w:rPr>
        <w:t>/</w:t>
      </w:r>
      <w:r>
        <w:rPr>
          <w:b/>
          <w:bCs/>
          <w:spacing w:val="8"/>
        </w:rPr>
        <w:t>申购的理财产品的《信银理财理财产</w:t>
      </w:r>
      <w:r>
        <w:rPr>
          <w:b/>
          <w:bCs/>
          <w:spacing w:val="6"/>
        </w:rPr>
        <w:t>品产品说明书》和《信银理财理财产品风险揭示书》</w:t>
      </w:r>
      <w:r>
        <w:rPr>
          <w:spacing w:val="-42"/>
        </w:rPr>
        <w:t xml:space="preserve"> </w:t>
      </w:r>
      <w:r>
        <w:rPr>
          <w:b/>
          <w:bCs/>
          <w:spacing w:val="6"/>
        </w:rPr>
        <w:t>中的相应条款。</w:t>
      </w:r>
    </w:p>
    <w:p w14:paraId="26D4B97E">
      <w:pPr>
        <w:pStyle w:val="2"/>
        <w:spacing w:before="302" w:line="224" w:lineRule="auto"/>
        <w:ind w:left="500"/>
      </w:pPr>
      <w:r>
        <w:rPr>
          <w:b/>
          <w:bCs/>
          <w:spacing w:val="6"/>
        </w:rPr>
        <w:t>三、投资条款</w:t>
      </w:r>
    </w:p>
    <w:p w14:paraId="786E6DAC">
      <w:pPr>
        <w:pStyle w:val="2"/>
        <w:spacing w:before="69" w:line="289" w:lineRule="auto"/>
        <w:ind w:left="14" w:right="249" w:firstLine="511"/>
      </w:pPr>
      <w:r>
        <w:rPr>
          <w:spacing w:val="8"/>
        </w:rPr>
        <w:t>甲方认购</w:t>
      </w:r>
      <w:r>
        <w:rPr>
          <w:rFonts w:ascii="Times New Roman" w:hAnsi="Times New Roman" w:eastAsia="Times New Roman" w:cs="Times New Roman"/>
          <w:spacing w:val="8"/>
        </w:rPr>
        <w:t>/</w:t>
      </w:r>
      <w:r>
        <w:rPr>
          <w:spacing w:val="8"/>
        </w:rPr>
        <w:t>申购理财产品的具体认购</w:t>
      </w:r>
      <w:r>
        <w:rPr>
          <w:rFonts w:ascii="Times New Roman" w:hAnsi="Times New Roman" w:eastAsia="Times New Roman" w:cs="Times New Roman"/>
          <w:spacing w:val="8"/>
        </w:rPr>
        <w:t>/</w:t>
      </w:r>
      <w:r>
        <w:rPr>
          <w:spacing w:val="8"/>
        </w:rPr>
        <w:t>申购条件、流程</w:t>
      </w:r>
      <w:r>
        <w:rPr>
          <w:spacing w:val="7"/>
        </w:rPr>
        <w:t>、金额、份额、费用以及其他投资条</w:t>
      </w:r>
      <w:r>
        <w:rPr>
          <w:spacing w:val="9"/>
        </w:rPr>
        <w:t>款，由甲方实际认购</w:t>
      </w:r>
      <w:r>
        <w:rPr>
          <w:rFonts w:ascii="Times New Roman" w:hAnsi="Times New Roman" w:eastAsia="Times New Roman" w:cs="Times New Roman"/>
          <w:spacing w:val="9"/>
        </w:rPr>
        <w:t>/</w:t>
      </w:r>
      <w:r>
        <w:rPr>
          <w:spacing w:val="9"/>
        </w:rPr>
        <w:t>申购的理财产品的《信银理财</w:t>
      </w:r>
      <w:r>
        <w:rPr>
          <w:rFonts w:hint="eastAsia"/>
          <w:spacing w:val="9"/>
          <w:lang w:eastAsia="zh-CN"/>
        </w:rPr>
        <w:t>理财产品</w:t>
      </w:r>
      <w:r>
        <w:rPr>
          <w:spacing w:val="9"/>
        </w:rPr>
        <w:t>说明书》具体约定。</w:t>
      </w:r>
    </w:p>
    <w:p w14:paraId="4D30017C">
      <w:pPr>
        <w:spacing w:line="241" w:lineRule="auto"/>
        <w:rPr>
          <w:rFonts w:ascii="Arial"/>
          <w:sz w:val="21"/>
        </w:rPr>
      </w:pPr>
    </w:p>
    <w:p w14:paraId="697C65A0">
      <w:pPr>
        <w:pStyle w:val="2"/>
        <w:spacing w:before="62" w:line="225" w:lineRule="auto"/>
        <w:ind w:left="508"/>
      </w:pPr>
      <w:r>
        <w:rPr>
          <w:b/>
          <w:bCs/>
          <w:spacing w:val="2"/>
        </w:rPr>
        <w:t>四、</w:t>
      </w:r>
      <w:r>
        <w:rPr>
          <w:spacing w:val="-47"/>
        </w:rPr>
        <w:t xml:space="preserve"> </w:t>
      </w:r>
      <w:r>
        <w:rPr>
          <w:b/>
          <w:bCs/>
          <w:spacing w:val="2"/>
        </w:rPr>
        <w:t>甲方的权利与义务</w:t>
      </w:r>
    </w:p>
    <w:p w14:paraId="2BDE1987">
      <w:pPr>
        <w:pStyle w:val="2"/>
        <w:spacing w:before="67" w:line="290" w:lineRule="auto"/>
        <w:ind w:left="14" w:right="158" w:firstLine="484"/>
      </w:pPr>
      <w:r>
        <w:rPr>
          <w:spacing w:val="7"/>
        </w:rPr>
        <w:t>（</w:t>
      </w:r>
      <w:r>
        <w:rPr>
          <w:spacing w:val="-42"/>
        </w:rPr>
        <w:t xml:space="preserve"> </w:t>
      </w:r>
      <w:r>
        <w:rPr>
          <w:spacing w:val="7"/>
        </w:rPr>
        <w:t>一</w:t>
      </w:r>
      <w:r>
        <w:rPr>
          <w:spacing w:val="-38"/>
        </w:rPr>
        <w:t xml:space="preserve"> </w:t>
      </w:r>
      <w:r>
        <w:rPr>
          <w:spacing w:val="7"/>
        </w:rPr>
        <w:t>）甲方具有完全民事行为能力</w:t>
      </w:r>
      <w:r>
        <w:rPr>
          <w:rFonts w:hint="eastAsia"/>
          <w:spacing w:val="7"/>
          <w:lang w:eastAsia="zh-CN"/>
        </w:rPr>
        <w:t>，具</w:t>
      </w:r>
      <w:r>
        <w:rPr>
          <w:spacing w:val="7"/>
        </w:rPr>
        <w:t>有完全适当的资格与能力订立并履行理财产品销售文</w:t>
      </w:r>
      <w:r>
        <w:rPr>
          <w:spacing w:val="10"/>
        </w:rPr>
        <w:t>件，不存在法律、行政法规有关规定禁止或限制投资理财产品的情形（适用于个</w:t>
      </w:r>
      <w:r>
        <w:rPr>
          <w:spacing w:val="9"/>
        </w:rPr>
        <w:t>人投资者</w:t>
      </w:r>
      <w:r>
        <w:t>）；</w:t>
      </w:r>
    </w:p>
    <w:p w14:paraId="355F80A2">
      <w:pPr>
        <w:pStyle w:val="2"/>
        <w:spacing w:before="4" w:line="291" w:lineRule="auto"/>
        <w:ind w:left="24" w:right="158" w:firstLine="501"/>
      </w:pPr>
      <w:r>
        <w:rPr>
          <w:spacing w:val="8"/>
        </w:rPr>
        <w:t>甲方确认签署和履行理财产品销售文件系其真实意思表示，已经按照其章程或</w:t>
      </w:r>
      <w:r>
        <w:rPr>
          <w:spacing w:val="7"/>
        </w:rPr>
        <w:t>者</w:t>
      </w:r>
      <w:r>
        <w:rPr>
          <w:rFonts w:hint="eastAsia"/>
          <w:spacing w:val="7"/>
          <w:lang w:eastAsia="zh-CN"/>
        </w:rPr>
        <w:t>其他内部</w:t>
      </w:r>
      <w:r>
        <w:rPr>
          <w:spacing w:val="9"/>
        </w:rPr>
        <w:t>管理文件的要求取得合法、有效的授权</w:t>
      </w:r>
      <w:r>
        <w:rPr>
          <w:rFonts w:hint="eastAsia"/>
          <w:spacing w:val="9"/>
          <w:lang w:eastAsia="zh-CN"/>
        </w:rPr>
        <w:t>，且</w:t>
      </w:r>
      <w:r>
        <w:rPr>
          <w:spacing w:val="9"/>
        </w:rPr>
        <w:t>不会违反对其有约束力的任何合同和其他法律文件；</w:t>
      </w:r>
    </w:p>
    <w:p w14:paraId="3599D841">
      <w:pPr>
        <w:pStyle w:val="2"/>
        <w:spacing w:before="3" w:line="291" w:lineRule="auto"/>
        <w:ind w:left="28" w:right="242" w:firstLine="15"/>
      </w:pPr>
      <w:r>
        <w:rPr>
          <w:spacing w:val="9"/>
        </w:rPr>
        <w:t>甲方已经取得签订和履行理财产品销售文件所需的</w:t>
      </w:r>
      <w:r>
        <w:rPr>
          <w:rFonts w:hint="eastAsia"/>
          <w:spacing w:val="9"/>
          <w:lang w:eastAsia="zh-CN"/>
        </w:rPr>
        <w:t>一切</w:t>
      </w:r>
      <w:r>
        <w:rPr>
          <w:spacing w:val="9"/>
        </w:rPr>
        <w:t>批准、许可、备案或者登记（适用</w:t>
      </w:r>
      <w:r>
        <w:rPr>
          <w:spacing w:val="7"/>
        </w:rPr>
        <w:t>于机构投资者</w:t>
      </w:r>
      <w:r>
        <w:t>）；</w:t>
      </w:r>
    </w:p>
    <w:p w14:paraId="06CD9709">
      <w:pPr>
        <w:pStyle w:val="2"/>
        <w:spacing w:before="2" w:line="290" w:lineRule="auto"/>
        <w:ind w:left="20" w:right="186" w:firstLine="478"/>
      </w:pPr>
      <w:r>
        <w:rPr>
          <w:spacing w:val="7"/>
        </w:rPr>
        <w:t>（</w:t>
      </w:r>
      <w:r>
        <w:rPr>
          <w:spacing w:val="-53"/>
        </w:rPr>
        <w:t xml:space="preserve"> </w:t>
      </w:r>
      <w:r>
        <w:rPr>
          <w:spacing w:val="7"/>
        </w:rPr>
        <w:t>二</w:t>
      </w:r>
      <w:r>
        <w:rPr>
          <w:spacing w:val="-38"/>
        </w:rPr>
        <w:t xml:space="preserve"> </w:t>
      </w:r>
      <w:r>
        <w:rPr>
          <w:spacing w:val="7"/>
        </w:rPr>
        <w:t>）甲方保证以真实身份投资本理财产品，保证提供给产品管理人</w:t>
      </w:r>
      <w:r>
        <w:rPr>
          <w:rFonts w:ascii="Times New Roman" w:hAnsi="Times New Roman" w:eastAsia="Times New Roman" w:cs="Times New Roman"/>
          <w:spacing w:val="7"/>
        </w:rPr>
        <w:t>/</w:t>
      </w:r>
      <w:r>
        <w:rPr>
          <w:spacing w:val="7"/>
        </w:rPr>
        <w:t>代销机构的信息和</w:t>
      </w:r>
      <w:r>
        <w:rPr>
          <w:spacing w:val="10"/>
        </w:rPr>
        <w:t>资料均真实、准确、完整、合法。如甲方的信息和</w:t>
      </w:r>
      <w:r>
        <w:rPr>
          <w:rFonts w:ascii="Times New Roman" w:hAnsi="Times New Roman" w:eastAsia="Times New Roman" w:cs="Times New Roman"/>
          <w:spacing w:val="9"/>
        </w:rPr>
        <w:t>/</w:t>
      </w:r>
      <w:r>
        <w:rPr>
          <w:spacing w:val="9"/>
        </w:rPr>
        <w:t>或资料发生变更，应当及时书面告知产品管</w:t>
      </w:r>
      <w:r>
        <w:rPr>
          <w:spacing w:val="7"/>
        </w:rPr>
        <w:t>理人或代销机构；</w:t>
      </w:r>
    </w:p>
    <w:p w14:paraId="117B0AB7">
      <w:pPr>
        <w:pStyle w:val="2"/>
        <w:spacing w:line="225" w:lineRule="auto"/>
        <w:ind w:left="498"/>
      </w:pPr>
      <w:r>
        <w:rPr>
          <w:spacing w:val="6"/>
        </w:rPr>
        <w:t>（</w:t>
      </w:r>
      <w:r>
        <w:rPr>
          <w:spacing w:val="-41"/>
        </w:rPr>
        <w:t xml:space="preserve"> </w:t>
      </w:r>
      <w:r>
        <w:rPr>
          <w:spacing w:val="6"/>
        </w:rPr>
        <w:t>三</w:t>
      </w:r>
      <w:r>
        <w:rPr>
          <w:spacing w:val="-38"/>
        </w:rPr>
        <w:t xml:space="preserve"> </w:t>
      </w:r>
      <w:r>
        <w:rPr>
          <w:spacing w:val="6"/>
        </w:rPr>
        <w:t>）甲方声明熟悉理财产品类型特征及不同销售渠道的法律法规规定；</w:t>
      </w:r>
    </w:p>
    <w:p w14:paraId="34F63CE7">
      <w:pPr>
        <w:pStyle w:val="2"/>
        <w:spacing w:before="71" w:line="220" w:lineRule="auto"/>
        <w:ind w:left="498"/>
      </w:pPr>
      <w:r>
        <w:rPr>
          <w:spacing w:val="7"/>
        </w:rPr>
        <w:t>（</w:t>
      </w:r>
      <w:r>
        <w:rPr>
          <w:spacing w:val="-44"/>
        </w:rPr>
        <w:t xml:space="preserve"> </w:t>
      </w:r>
      <w:r>
        <w:rPr>
          <w:spacing w:val="7"/>
        </w:rPr>
        <w:t>四</w:t>
      </w:r>
      <w:r>
        <w:rPr>
          <w:spacing w:val="-38"/>
        </w:rPr>
        <w:t xml:space="preserve"> </w:t>
      </w:r>
      <w:r>
        <w:rPr>
          <w:spacing w:val="7"/>
        </w:rPr>
        <w:t>）甲方承诺</w:t>
      </w:r>
      <w:r>
        <w:rPr>
          <w:rFonts w:hint="eastAsia"/>
          <w:spacing w:val="7"/>
          <w:lang w:eastAsia="zh-CN"/>
        </w:rPr>
        <w:t>，</w:t>
      </w:r>
      <w:r>
        <w:rPr>
          <w:spacing w:val="7"/>
        </w:rPr>
        <w:t>如委托他人购买本产品，代理人须出具具有</w:t>
      </w:r>
      <w:r>
        <w:rPr>
          <w:spacing w:val="6"/>
        </w:rPr>
        <w:t>法律效力的授权委托书</w:t>
      </w:r>
      <w:r>
        <w:rPr>
          <w:rFonts w:hint="eastAsia"/>
          <w:spacing w:val="6"/>
          <w:lang w:eastAsia="zh-CN"/>
        </w:rPr>
        <w:t>。</w:t>
      </w:r>
    </w:p>
    <w:p w14:paraId="17954544">
      <w:pPr>
        <w:pStyle w:val="2"/>
        <w:spacing w:before="73" w:line="291" w:lineRule="auto"/>
        <w:ind w:left="17" w:right="306" w:firstLine="481"/>
      </w:pPr>
      <w:r>
        <w:rPr>
          <w:spacing w:val="7"/>
        </w:rPr>
        <w:t>（</w:t>
      </w:r>
      <w:r>
        <w:rPr>
          <w:spacing w:val="-53"/>
        </w:rPr>
        <w:t xml:space="preserve"> </w:t>
      </w:r>
      <w:r>
        <w:rPr>
          <w:spacing w:val="7"/>
        </w:rPr>
        <w:t>五</w:t>
      </w:r>
      <w:r>
        <w:rPr>
          <w:spacing w:val="-38"/>
        </w:rPr>
        <w:t xml:space="preserve"> </w:t>
      </w:r>
      <w:r>
        <w:rPr>
          <w:spacing w:val="7"/>
        </w:rPr>
        <w:t>）甲方保证理财投资资金来源和用途合法，保证可向产品管理人</w:t>
      </w:r>
      <w:r>
        <w:rPr>
          <w:rFonts w:ascii="Times New Roman" w:hAnsi="Times New Roman" w:eastAsia="Times New Roman" w:cs="Times New Roman"/>
          <w:spacing w:val="7"/>
        </w:rPr>
        <w:t>/</w:t>
      </w:r>
      <w:r>
        <w:rPr>
          <w:spacing w:val="7"/>
        </w:rPr>
        <w:t>代销机构提供合法筹集的证明文件；</w:t>
      </w:r>
    </w:p>
    <w:p w14:paraId="1D41C623">
      <w:pPr>
        <w:pStyle w:val="2"/>
        <w:spacing w:line="224" w:lineRule="auto"/>
        <w:ind w:left="498"/>
      </w:pPr>
      <w:r>
        <w:rPr>
          <w:spacing w:val="6"/>
        </w:rPr>
        <w:t>（</w:t>
      </w:r>
      <w:r>
        <w:rPr>
          <w:spacing w:val="-29"/>
        </w:rPr>
        <w:t xml:space="preserve"> </w:t>
      </w:r>
      <w:r>
        <w:rPr>
          <w:spacing w:val="6"/>
        </w:rPr>
        <w:t>六</w:t>
      </w:r>
      <w:r>
        <w:rPr>
          <w:spacing w:val="-38"/>
        </w:rPr>
        <w:t xml:space="preserve"> </w:t>
      </w:r>
      <w:r>
        <w:rPr>
          <w:spacing w:val="6"/>
        </w:rPr>
        <w:t>）甲方不得利用理财业务及理财产品销售文件项下理财产品从事违法活动；</w:t>
      </w:r>
    </w:p>
    <w:p w14:paraId="59D42C86">
      <w:pPr>
        <w:pStyle w:val="2"/>
        <w:spacing w:before="69" w:line="290" w:lineRule="auto"/>
        <w:ind w:left="15" w:firstLine="482"/>
      </w:pPr>
      <w:r>
        <w:rPr>
          <w:spacing w:val="6"/>
        </w:rPr>
        <w:t>（</w:t>
      </w:r>
      <w:r>
        <w:rPr>
          <w:spacing w:val="-40"/>
        </w:rPr>
        <w:t xml:space="preserve"> </w:t>
      </w:r>
      <w:r>
        <w:rPr>
          <w:spacing w:val="6"/>
        </w:rPr>
        <w:t>七</w:t>
      </w:r>
      <w:r>
        <w:rPr>
          <w:spacing w:val="-39"/>
        </w:rPr>
        <w:t xml:space="preserve"> </w:t>
      </w:r>
      <w:r>
        <w:rPr>
          <w:spacing w:val="6"/>
        </w:rPr>
        <w:t>）甲方保证遵守国家反洗钱</w:t>
      </w:r>
      <w:r>
        <w:rPr>
          <w:rFonts w:hint="eastAsia"/>
          <w:spacing w:val="6"/>
          <w:lang w:eastAsia="zh-CN"/>
        </w:rPr>
        <w:t>法律法规及相关</w:t>
      </w:r>
      <w:r>
        <w:rPr>
          <w:spacing w:val="6"/>
        </w:rPr>
        <w:t>政策要求，不从事涉及洗钱、恐怖融资、</w:t>
      </w:r>
      <w:r>
        <w:rPr>
          <w:spacing w:val="9"/>
        </w:rPr>
        <w:t>逃税、逃废债务、套取现金等违法违规活动，积极配合管理人</w:t>
      </w:r>
      <w:r>
        <w:rPr>
          <w:rFonts w:ascii="Times New Roman" w:hAnsi="Times New Roman" w:eastAsia="Times New Roman" w:cs="Times New Roman"/>
          <w:spacing w:val="9"/>
        </w:rPr>
        <w:t>/</w:t>
      </w:r>
      <w:r>
        <w:rPr>
          <w:spacing w:val="9"/>
        </w:rPr>
        <w:t>代销机构开展投资者身份识别</w:t>
      </w:r>
      <w:r>
        <w:rPr>
          <w:rFonts w:hint="eastAsia"/>
          <w:spacing w:val="9"/>
          <w:lang w:eastAsia="zh-CN"/>
        </w:rPr>
        <w:t>，</w:t>
      </w:r>
    </w:p>
    <w:p w14:paraId="6ED80BD1">
      <w:pPr>
        <w:pStyle w:val="2"/>
        <w:spacing w:before="6" w:line="291" w:lineRule="auto"/>
        <w:ind w:left="14" w:right="242" w:firstLine="17"/>
      </w:pPr>
      <w:r>
        <w:rPr>
          <w:spacing w:val="9"/>
        </w:rPr>
        <w:t>交易记录保存、投资者身份及交易背景尽职调查、大额和可疑交易报告等各项反洗钱工作，并</w:t>
      </w:r>
      <w:r>
        <w:rPr>
          <w:spacing w:val="8"/>
        </w:rPr>
        <w:t>按要求提供相关证明材料；</w:t>
      </w:r>
    </w:p>
    <w:p w14:paraId="00D63882">
      <w:pPr>
        <w:pStyle w:val="2"/>
        <w:spacing w:before="1" w:line="291" w:lineRule="auto"/>
        <w:ind w:left="15" w:right="158" w:firstLine="482"/>
      </w:pPr>
      <w:r>
        <w:rPr>
          <w:spacing w:val="9"/>
        </w:rPr>
        <w:t>（八）甲方不属于联合国制裁名单</w:t>
      </w:r>
      <w:r>
        <w:rPr>
          <w:rFonts w:hint="eastAsia"/>
          <w:spacing w:val="9"/>
          <w:lang w:eastAsia="zh-CN"/>
        </w:rPr>
        <w:t>以及</w:t>
      </w:r>
      <w:r>
        <w:rPr>
          <w:spacing w:val="9"/>
        </w:rPr>
        <w:t>中国政府部门或有权机关</w:t>
      </w:r>
      <w:r>
        <w:rPr>
          <w:spacing w:val="8"/>
        </w:rPr>
        <w:t>发布的涉恐及反洗钱相关风险名单内的企业或个人</w:t>
      </w:r>
      <w:r>
        <w:rPr>
          <w:rFonts w:hint="eastAsia"/>
          <w:spacing w:val="8"/>
          <w:lang w:eastAsia="zh-CN"/>
        </w:rPr>
        <w:t>，也</w:t>
      </w:r>
      <w:r>
        <w:rPr>
          <w:spacing w:val="8"/>
        </w:rPr>
        <w:t>不位于被联合国或中国制裁的国家和地区；</w:t>
      </w:r>
    </w:p>
    <w:p w14:paraId="1FD81893">
      <w:pPr>
        <w:spacing w:line="291" w:lineRule="auto"/>
        <w:sectPr>
          <w:headerReference r:id="rId7" w:type="default"/>
          <w:footerReference r:id="rId8" w:type="default"/>
          <w:pgSz w:w="11906" w:h="16839"/>
          <w:pgMar w:top="1166" w:right="1668" w:bottom="1432" w:left="1785" w:header="829" w:footer="1218" w:gutter="0"/>
          <w:cols w:space="720" w:num="1"/>
        </w:sectPr>
      </w:pPr>
    </w:p>
    <w:p w14:paraId="42912C77">
      <w:pPr>
        <w:spacing w:line="280" w:lineRule="auto"/>
        <w:rPr>
          <w:rFonts w:ascii="Arial"/>
          <w:sz w:val="21"/>
        </w:rPr>
      </w:pPr>
    </w:p>
    <w:p w14:paraId="43AD4179">
      <w:pPr>
        <w:pStyle w:val="2"/>
        <w:spacing w:before="62" w:line="291" w:lineRule="auto"/>
        <w:ind w:left="24" w:right="40" w:firstLine="474"/>
        <w:jc w:val="both"/>
      </w:pPr>
      <w:r>
        <w:rPr>
          <w:spacing w:val="9"/>
        </w:rPr>
        <w:t>（九）</w:t>
      </w:r>
      <w:r>
        <w:rPr>
          <w:spacing w:val="-52"/>
        </w:rPr>
        <w:t xml:space="preserve"> </w:t>
      </w:r>
      <w:r>
        <w:rPr>
          <w:spacing w:val="9"/>
        </w:rPr>
        <w:t>甲方保证不使用贷款、发行债券等筹集的非自有资金投资</w:t>
      </w:r>
      <w:r>
        <w:rPr>
          <w:spacing w:val="8"/>
        </w:rPr>
        <w:t>理财产品，保证投资本理</w:t>
      </w:r>
      <w:r>
        <w:rPr>
          <w:spacing w:val="10"/>
        </w:rPr>
        <w:t>财产品不存在违反监管要求的产品嵌套以及以投资本理</w:t>
      </w:r>
      <w:r>
        <w:rPr>
          <w:spacing w:val="9"/>
        </w:rPr>
        <w:t>财产品规避投资范围、杠杆约束等监</w:t>
      </w:r>
      <w:r>
        <w:rPr>
          <w:spacing w:val="7"/>
        </w:rPr>
        <w:t>管要求</w:t>
      </w:r>
      <w:r>
        <w:rPr>
          <w:rFonts w:hint="eastAsia"/>
          <w:spacing w:val="7"/>
          <w:lang w:eastAsia="zh-CN"/>
        </w:rPr>
        <w:t>的</w:t>
      </w:r>
      <w:r>
        <w:rPr>
          <w:spacing w:val="7"/>
        </w:rPr>
        <w:t>违规行为。</w:t>
      </w:r>
    </w:p>
    <w:p w14:paraId="4553F2F2">
      <w:pPr>
        <w:pStyle w:val="2"/>
        <w:spacing w:before="301" w:line="225" w:lineRule="auto"/>
        <w:ind w:left="495"/>
      </w:pPr>
      <w:r>
        <w:rPr>
          <w:b/>
          <w:bCs/>
          <w:spacing w:val="2"/>
        </w:rPr>
        <w:t>五、</w:t>
      </w:r>
      <w:r>
        <w:rPr>
          <w:spacing w:val="-34"/>
        </w:rPr>
        <w:t xml:space="preserve"> </w:t>
      </w:r>
      <w:r>
        <w:rPr>
          <w:b/>
          <w:bCs/>
          <w:spacing w:val="2"/>
        </w:rPr>
        <w:t>乙方的权利与义务</w:t>
      </w:r>
    </w:p>
    <w:p w14:paraId="68AE6C81">
      <w:pPr>
        <w:pStyle w:val="2"/>
        <w:spacing w:before="69" w:line="291" w:lineRule="auto"/>
        <w:ind w:left="20" w:right="40" w:firstLine="478"/>
      </w:pPr>
      <w:r>
        <w:rPr>
          <w:spacing w:val="9"/>
        </w:rPr>
        <w:t>（</w:t>
      </w:r>
      <w:r>
        <w:rPr>
          <w:spacing w:val="-51"/>
        </w:rPr>
        <w:t xml:space="preserve"> </w:t>
      </w:r>
      <w:r>
        <w:rPr>
          <w:spacing w:val="9"/>
        </w:rPr>
        <w:t>一）乙方具有开办理财业务的经营资质，保证以诚实守信、</w:t>
      </w:r>
      <w:r>
        <w:rPr>
          <w:spacing w:val="8"/>
        </w:rPr>
        <w:t>勤勉尽职的原则管理和运用</w:t>
      </w:r>
      <w:r>
        <w:rPr>
          <w:spacing w:val="6"/>
        </w:rPr>
        <w:t>理财资金</w:t>
      </w:r>
      <w:r>
        <w:rPr>
          <w:rFonts w:hint="eastAsia"/>
          <w:spacing w:val="6"/>
          <w:lang w:eastAsia="zh-CN"/>
        </w:rPr>
        <w:t>。</w:t>
      </w:r>
    </w:p>
    <w:p w14:paraId="0E424E16">
      <w:pPr>
        <w:pStyle w:val="2"/>
        <w:spacing w:line="222" w:lineRule="auto"/>
        <w:ind w:left="498"/>
      </w:pPr>
      <w:r>
        <w:rPr>
          <w:spacing w:val="8"/>
        </w:rPr>
        <w:t>（二）乙方具有完全适当的资格和能力订立</w:t>
      </w:r>
      <w:r>
        <w:rPr>
          <w:rFonts w:hint="eastAsia"/>
          <w:spacing w:val="8"/>
          <w:lang w:eastAsia="zh-CN"/>
        </w:rPr>
        <w:t>并</w:t>
      </w:r>
      <w:r>
        <w:rPr>
          <w:spacing w:val="8"/>
        </w:rPr>
        <w:t>履行理财产品合同。</w:t>
      </w:r>
    </w:p>
    <w:p w14:paraId="25A62F29">
      <w:pPr>
        <w:spacing w:line="307" w:lineRule="auto"/>
        <w:rPr>
          <w:rFonts w:ascii="Arial"/>
          <w:sz w:val="21"/>
        </w:rPr>
      </w:pPr>
    </w:p>
    <w:p w14:paraId="4E281B9C">
      <w:pPr>
        <w:pStyle w:val="2"/>
        <w:spacing w:before="62" w:line="224" w:lineRule="auto"/>
        <w:ind w:left="506"/>
      </w:pPr>
      <w:r>
        <w:rPr>
          <w:b/>
          <w:bCs/>
          <w:spacing w:val="5"/>
        </w:rPr>
        <w:t>六、违约责任</w:t>
      </w:r>
    </w:p>
    <w:p w14:paraId="687334B4">
      <w:pPr>
        <w:pStyle w:val="2"/>
        <w:spacing w:before="69" w:line="220" w:lineRule="auto"/>
        <w:ind w:right="23"/>
        <w:jc w:val="right"/>
      </w:pPr>
      <w:r>
        <w:rPr>
          <w:b/>
          <w:bCs/>
          <w:spacing w:val="8"/>
        </w:rPr>
        <w:t>双方因违反本协议约定而给对方造成损失的，违约方应赔偿因此给对方造成的直接损失。</w:t>
      </w:r>
    </w:p>
    <w:p w14:paraId="0948E6C5">
      <w:pPr>
        <w:spacing w:line="310" w:lineRule="auto"/>
        <w:rPr>
          <w:rFonts w:ascii="Arial"/>
          <w:sz w:val="21"/>
        </w:rPr>
      </w:pPr>
    </w:p>
    <w:p w14:paraId="6ED936FB">
      <w:pPr>
        <w:pStyle w:val="2"/>
        <w:spacing w:before="62" w:line="224" w:lineRule="auto"/>
        <w:ind w:left="497"/>
      </w:pPr>
      <w:r>
        <w:rPr>
          <w:b/>
          <w:bCs/>
          <w:spacing w:val="7"/>
        </w:rPr>
        <w:t>七、免责内容</w:t>
      </w:r>
    </w:p>
    <w:p w14:paraId="793AFAA0">
      <w:pPr>
        <w:pStyle w:val="2"/>
        <w:spacing w:before="64" w:line="293" w:lineRule="auto"/>
        <w:ind w:left="13" w:right="93" w:firstLine="509"/>
      </w:pPr>
      <w:r>
        <w:rPr>
          <w:b/>
          <w:bCs/>
          <w:spacing w:val="5"/>
        </w:rPr>
        <w:t>因法律法规或监管政策变化、自然灾害、意外事故、战争、系统故障、通讯故</w:t>
      </w:r>
      <w:r>
        <w:rPr>
          <w:b/>
          <w:bCs/>
          <w:spacing w:val="4"/>
        </w:rPr>
        <w:t>障等信银</w:t>
      </w:r>
      <w:r>
        <w:rPr>
          <w:b/>
          <w:bCs/>
          <w:spacing w:val="9"/>
        </w:rPr>
        <w:t>理财客观不能预见、不能避免、不能克服的不可抗力</w:t>
      </w:r>
      <w:r>
        <w:rPr>
          <w:rFonts w:hint="eastAsia"/>
          <w:b/>
          <w:bCs/>
          <w:spacing w:val="9"/>
          <w:lang w:eastAsia="zh-CN"/>
        </w:rPr>
        <w:t>事件</w:t>
      </w:r>
      <w:r>
        <w:rPr>
          <w:b/>
          <w:bCs/>
          <w:spacing w:val="8"/>
        </w:rPr>
        <w:t>，导致信银理财无法或延</w:t>
      </w:r>
      <w:r>
        <w:rPr>
          <w:b/>
          <w:bCs/>
          <w:spacing w:val="9"/>
        </w:rPr>
        <w:t>后履行本协议及《信银理财</w:t>
      </w:r>
      <w:r>
        <w:rPr>
          <w:rFonts w:hint="eastAsia"/>
          <w:b/>
          <w:bCs/>
          <w:spacing w:val="9"/>
          <w:lang w:eastAsia="zh-CN"/>
        </w:rPr>
        <w:t>理财产品</w:t>
      </w:r>
      <w:r>
        <w:rPr>
          <w:b/>
          <w:bCs/>
          <w:spacing w:val="9"/>
        </w:rPr>
        <w:t>说明书》有关义务</w:t>
      </w:r>
      <w:r>
        <w:rPr>
          <w:b/>
          <w:bCs/>
          <w:spacing w:val="8"/>
        </w:rPr>
        <w:t>的，信银理财不承担责任，但因信</w:t>
      </w:r>
      <w:r>
        <w:rPr>
          <w:b/>
          <w:bCs/>
          <w:spacing w:val="9"/>
        </w:rPr>
        <w:t>银理财故意或重大过失造成的系统故障、通讯故障的除外。</w:t>
      </w:r>
      <w:r>
        <w:rPr>
          <w:b/>
          <w:bCs/>
          <w:spacing w:val="8"/>
        </w:rPr>
        <w:t>前述约定不免除因信银理财过错导</w:t>
      </w:r>
      <w:r>
        <w:rPr>
          <w:b/>
          <w:bCs/>
          <w:spacing w:val="7"/>
        </w:rPr>
        <w:t>致依法应由产品管理人承担的责任。乙方应在条件允许的情况下，采取必要的补救措施以减少不可抗力造成的损失。</w:t>
      </w:r>
    </w:p>
    <w:p w14:paraId="765A6431">
      <w:pPr>
        <w:pStyle w:val="2"/>
        <w:spacing w:before="293" w:line="228" w:lineRule="auto"/>
        <w:ind w:left="499"/>
      </w:pPr>
      <w:r>
        <w:rPr>
          <w:b/>
          <w:bCs/>
          <w:spacing w:val="7"/>
        </w:rPr>
        <w:t>八、争议解决</w:t>
      </w:r>
    </w:p>
    <w:p w14:paraId="3A4C55DF">
      <w:pPr>
        <w:pStyle w:val="2"/>
        <w:spacing w:before="69" w:line="289" w:lineRule="auto"/>
        <w:ind w:left="30" w:right="213" w:firstLine="468"/>
      </w:pPr>
      <w:r>
        <w:rPr>
          <w:b/>
          <w:bCs/>
          <w:spacing w:val="7"/>
        </w:rPr>
        <w:t>（</w:t>
      </w:r>
      <w:r>
        <w:rPr>
          <w:spacing w:val="-36"/>
        </w:rPr>
        <w:t xml:space="preserve"> </w:t>
      </w:r>
      <w:r>
        <w:rPr>
          <w:b/>
          <w:bCs/>
          <w:spacing w:val="7"/>
        </w:rPr>
        <w:t>一）本协议及其他理财产品合同适用中华人民共和国法律（为履行理财产品合同之目的，不包括中国香港特别行政区、澳门特别行政区及</w:t>
      </w:r>
      <w:r>
        <w:rPr>
          <w:rFonts w:hint="eastAsia"/>
          <w:b/>
          <w:bCs/>
          <w:spacing w:val="7"/>
          <w:lang w:eastAsia="zh-CN"/>
        </w:rPr>
        <w:t>中国台湾地区</w:t>
      </w:r>
      <w:r>
        <w:rPr>
          <w:b/>
          <w:bCs/>
          <w:spacing w:val="7"/>
        </w:rPr>
        <w:t>法律）。</w:t>
      </w:r>
    </w:p>
    <w:p w14:paraId="30CD19C2">
      <w:pPr>
        <w:pStyle w:val="2"/>
        <w:spacing w:before="4" w:line="291" w:lineRule="auto"/>
        <w:ind w:left="13" w:right="93" w:firstLine="485"/>
      </w:pPr>
      <w:r>
        <w:rPr>
          <w:b/>
          <w:bCs/>
          <w:spacing w:val="6"/>
        </w:rPr>
        <w:t>（二）凡因本协议</w:t>
      </w:r>
      <w:r>
        <w:rPr>
          <w:rFonts w:ascii="Times New Roman" w:hAnsi="Times New Roman" w:eastAsia="Times New Roman" w:cs="Times New Roman"/>
          <w:b/>
          <w:bCs/>
          <w:spacing w:val="6"/>
        </w:rPr>
        <w:t>/</w:t>
      </w:r>
      <w:r>
        <w:rPr>
          <w:b/>
          <w:bCs/>
          <w:spacing w:val="6"/>
        </w:rPr>
        <w:t>理财产品合同引起的或与本协议</w:t>
      </w:r>
      <w:r>
        <w:rPr>
          <w:rFonts w:ascii="Times New Roman" w:hAnsi="Times New Roman" w:eastAsia="Times New Roman" w:cs="Times New Roman"/>
          <w:b/>
          <w:bCs/>
          <w:spacing w:val="6"/>
        </w:rPr>
        <w:t>/</w:t>
      </w:r>
      <w:r>
        <w:rPr>
          <w:b/>
          <w:bCs/>
          <w:spacing w:val="6"/>
        </w:rPr>
        <w:t>理财产品合同有关的任何争议，</w:t>
      </w:r>
      <w:r>
        <w:rPr>
          <w:rFonts w:hint="eastAsia"/>
          <w:b/>
          <w:bCs/>
          <w:spacing w:val="6"/>
          <w:lang w:eastAsia="zh-CN"/>
        </w:rPr>
        <w:t>甲乙双方</w:t>
      </w:r>
      <w:r>
        <w:rPr>
          <w:b/>
          <w:bCs/>
          <w:spacing w:val="9"/>
        </w:rPr>
        <w:t>应本着诚实信用的原则通过协商解决。如通过协商仍不</w:t>
      </w:r>
      <w:r>
        <w:rPr>
          <w:b/>
          <w:bCs/>
          <w:spacing w:val="8"/>
        </w:rPr>
        <w:t>能解决</w:t>
      </w:r>
      <w:r>
        <w:rPr>
          <w:rFonts w:hint="eastAsia"/>
          <w:b/>
          <w:bCs/>
          <w:spacing w:val="8"/>
          <w:lang w:eastAsia="zh-CN"/>
        </w:rPr>
        <w:t>争议</w:t>
      </w:r>
      <w:r>
        <w:rPr>
          <w:b/>
          <w:bCs/>
          <w:spacing w:val="8"/>
        </w:rPr>
        <w:t>，双方应将该等争议提交上海仲裁委员会仲裁，仲裁地在上海。仲裁裁决是终局性的</w:t>
      </w:r>
      <w:r>
        <w:rPr>
          <w:b/>
          <w:bCs/>
          <w:spacing w:val="7"/>
        </w:rPr>
        <w:t>，对双方均有约束力。除非仲裁裁决另有规定，双方为仲裁而实际支付的费用（包括但不限于仲裁费、律师费、保全担保费</w:t>
      </w:r>
      <w:r>
        <w:rPr>
          <w:b/>
          <w:bCs/>
        </w:rPr>
        <w:t>等）由败诉方承担。</w:t>
      </w:r>
    </w:p>
    <w:p w14:paraId="6A8597C2">
      <w:pPr>
        <w:pStyle w:val="2"/>
        <w:spacing w:before="1" w:line="293" w:lineRule="auto"/>
        <w:ind w:left="15" w:right="158" w:firstLine="482"/>
      </w:pPr>
      <w:r>
        <w:rPr>
          <w:b/>
          <w:bCs/>
          <w:spacing w:val="7"/>
        </w:rPr>
        <w:t>（</w:t>
      </w:r>
      <w:r>
        <w:rPr>
          <w:spacing w:val="-41"/>
        </w:rPr>
        <w:t xml:space="preserve"> </w:t>
      </w:r>
      <w:r>
        <w:rPr>
          <w:b/>
          <w:bCs/>
          <w:spacing w:val="7"/>
        </w:rPr>
        <w:t>三）在协商或仲裁期间，对于本协议</w:t>
      </w:r>
      <w:r>
        <w:rPr>
          <w:rFonts w:ascii="Times New Roman" w:hAnsi="Times New Roman" w:eastAsia="Times New Roman" w:cs="Times New Roman"/>
          <w:b/>
          <w:bCs/>
          <w:spacing w:val="7"/>
        </w:rPr>
        <w:t>/</w:t>
      </w:r>
      <w:r>
        <w:rPr>
          <w:b/>
          <w:bCs/>
          <w:spacing w:val="7"/>
        </w:rPr>
        <w:t>理财产品合同不涉及争议部分的条款，双方仍须</w:t>
      </w:r>
      <w:r>
        <w:rPr>
          <w:b/>
          <w:bCs/>
          <w:spacing w:val="3"/>
        </w:rPr>
        <w:t>履行。</w:t>
      </w:r>
    </w:p>
    <w:p w14:paraId="665440C0">
      <w:pPr>
        <w:pStyle w:val="2"/>
        <w:spacing w:before="298" w:line="226" w:lineRule="auto"/>
        <w:ind w:left="500"/>
      </w:pPr>
      <w:r>
        <w:rPr>
          <w:b/>
          <w:bCs/>
          <w:spacing w:val="6"/>
        </w:rPr>
        <w:t>九、附则</w:t>
      </w:r>
    </w:p>
    <w:p w14:paraId="7EDAE2F6">
      <w:pPr>
        <w:pStyle w:val="2"/>
        <w:spacing w:before="68" w:line="220" w:lineRule="auto"/>
        <w:ind w:left="498"/>
      </w:pPr>
      <w:r>
        <w:rPr>
          <w:b/>
          <w:bCs/>
          <w:spacing w:val="2"/>
        </w:rPr>
        <w:t>（</w:t>
      </w:r>
      <w:r>
        <w:rPr>
          <w:spacing w:val="-30"/>
        </w:rPr>
        <w:t xml:space="preserve"> </w:t>
      </w:r>
      <w:r>
        <w:rPr>
          <w:b/>
          <w:bCs/>
          <w:spacing w:val="2"/>
        </w:rPr>
        <w:t>一）本协议通过纸质形式签署的，</w:t>
      </w:r>
      <w:r>
        <w:rPr>
          <w:spacing w:val="-33"/>
        </w:rPr>
        <w:t xml:space="preserve"> </w:t>
      </w:r>
      <w:r>
        <w:rPr>
          <w:b/>
          <w:bCs/>
          <w:spacing w:val="2"/>
        </w:rPr>
        <w:t>自甲方签署（</w:t>
      </w:r>
      <w:r>
        <w:rPr>
          <w:spacing w:val="-28"/>
        </w:rPr>
        <w:t xml:space="preserve"> </w:t>
      </w:r>
      <w:r>
        <w:rPr>
          <w:b/>
          <w:bCs/>
          <w:spacing w:val="2"/>
        </w:rPr>
        <w:t>甲方为自然人的，应签字；</w:t>
      </w:r>
      <w:r>
        <w:rPr>
          <w:spacing w:val="-40"/>
        </w:rPr>
        <w:t xml:space="preserve"> </w:t>
      </w:r>
      <w:r>
        <w:rPr>
          <w:b/>
          <w:bCs/>
          <w:spacing w:val="2"/>
        </w:rPr>
        <w:t>甲方为机</w:t>
      </w:r>
    </w:p>
    <w:p w14:paraId="75783C6A">
      <w:pPr>
        <w:pStyle w:val="2"/>
        <w:spacing w:before="76" w:line="291" w:lineRule="auto"/>
        <w:ind w:left="22" w:right="34" w:hanging="7"/>
      </w:pPr>
      <w:r>
        <w:rPr>
          <w:b/>
          <w:bCs/>
          <w:spacing w:val="9"/>
        </w:rPr>
        <w:t>构或产品的，应加盖机构或产品管理人公章且其法</w:t>
      </w:r>
      <w:r>
        <w:rPr>
          <w:b/>
          <w:bCs/>
          <w:spacing w:val="8"/>
        </w:rPr>
        <w:t>定代表人或授权代表签章）且甲方产品认购</w:t>
      </w:r>
      <w:r>
        <w:rPr>
          <w:rFonts w:ascii="Times New Roman" w:hAnsi="Times New Roman" w:eastAsia="Times New Roman" w:cs="Times New Roman"/>
          <w:b/>
          <w:bCs/>
          <w:spacing w:val="8"/>
        </w:rPr>
        <w:t>/</w:t>
      </w:r>
      <w:r>
        <w:rPr>
          <w:b/>
          <w:bCs/>
          <w:spacing w:val="7"/>
        </w:rPr>
        <w:t>申购份额经乙方确认后生效。本协议通过电子形式签署的，</w:t>
      </w:r>
      <w:r>
        <w:rPr>
          <w:spacing w:val="-33"/>
        </w:rPr>
        <w:t xml:space="preserve"> </w:t>
      </w:r>
      <w:r>
        <w:rPr>
          <w:b/>
          <w:bCs/>
          <w:spacing w:val="7"/>
        </w:rPr>
        <w:t>自甲方通过乙方产品的</w:t>
      </w:r>
      <w:r>
        <w:rPr>
          <w:b/>
          <w:bCs/>
          <w:spacing w:val="6"/>
        </w:rPr>
        <w:t>各电子销售</w:t>
      </w:r>
      <w:r>
        <w:rPr>
          <w:b/>
          <w:bCs/>
          <w:spacing w:val="5"/>
        </w:rPr>
        <w:t>渠道（</w:t>
      </w:r>
      <w:r>
        <w:rPr>
          <w:spacing w:val="-13"/>
        </w:rPr>
        <w:t xml:space="preserve"> </w:t>
      </w:r>
      <w:r>
        <w:rPr>
          <w:b/>
          <w:bCs/>
          <w:spacing w:val="5"/>
        </w:rPr>
        <w:t>包括直销和代销）在线点击确认或勾选且甲方产品认购</w:t>
      </w:r>
      <w:r>
        <w:rPr>
          <w:rFonts w:ascii="Times New Roman" w:hAnsi="Times New Roman" w:eastAsia="Times New Roman" w:cs="Times New Roman"/>
          <w:b/>
          <w:bCs/>
          <w:spacing w:val="5"/>
        </w:rPr>
        <w:t>/</w:t>
      </w:r>
      <w:r>
        <w:rPr>
          <w:b/>
          <w:bCs/>
          <w:spacing w:val="5"/>
        </w:rPr>
        <w:t>申购份额经乙方确认后生效。</w:t>
      </w:r>
      <w:r>
        <w:rPr>
          <w:spacing w:val="-40"/>
        </w:rPr>
        <w:t xml:space="preserve"> </w:t>
      </w:r>
      <w:r>
        <w:rPr>
          <w:b/>
          <w:bCs/>
          <w:spacing w:val="5"/>
        </w:rPr>
        <w:t>甲</w:t>
      </w:r>
      <w:r>
        <w:rPr>
          <w:b/>
          <w:bCs/>
          <w:spacing w:val="6"/>
        </w:rPr>
        <w:t>方知悉并确认，</w:t>
      </w:r>
      <w:r>
        <w:rPr>
          <w:spacing w:val="-43"/>
        </w:rPr>
        <w:t xml:space="preserve"> </w:t>
      </w:r>
      <w:r>
        <w:rPr>
          <w:b/>
          <w:bCs/>
          <w:spacing w:val="6"/>
        </w:rPr>
        <w:t>乙方对于甲方认购</w:t>
      </w:r>
      <w:r>
        <w:rPr>
          <w:rFonts w:ascii="Times New Roman" w:hAnsi="Times New Roman" w:eastAsia="Times New Roman" w:cs="Times New Roman"/>
          <w:b/>
          <w:bCs/>
          <w:spacing w:val="6"/>
        </w:rPr>
        <w:t>/</w:t>
      </w:r>
      <w:r>
        <w:rPr>
          <w:b/>
          <w:bCs/>
          <w:spacing w:val="6"/>
        </w:rPr>
        <w:t>申购份额的确认即视为乙方对于本协议的签署和认可，</w:t>
      </w:r>
      <w:r>
        <w:rPr>
          <w:spacing w:val="-52"/>
        </w:rPr>
        <w:t xml:space="preserve"> </w:t>
      </w:r>
      <w:r>
        <w:rPr>
          <w:b/>
          <w:bCs/>
          <w:spacing w:val="6"/>
        </w:rPr>
        <w:t>甲方</w:t>
      </w:r>
      <w:r>
        <w:rPr>
          <w:b/>
          <w:bCs/>
          <w:spacing w:val="7"/>
        </w:rPr>
        <w:t>不得以乙方未在本协议上盖章为由主张本协议无效。</w:t>
      </w:r>
    </w:p>
    <w:p w14:paraId="17BF9FAA">
      <w:pPr>
        <w:pStyle w:val="2"/>
        <w:spacing w:before="2" w:line="290" w:lineRule="auto"/>
        <w:ind w:left="17" w:right="40" w:firstLine="480"/>
      </w:pPr>
      <w:r>
        <w:rPr>
          <w:spacing w:val="9"/>
        </w:rPr>
        <w:t>（</w:t>
      </w:r>
      <w:r>
        <w:rPr>
          <w:spacing w:val="-55"/>
        </w:rPr>
        <w:t xml:space="preserve"> </w:t>
      </w:r>
      <w:r>
        <w:rPr>
          <w:spacing w:val="9"/>
        </w:rPr>
        <w:t>二）本协议条款与《信银理财理财产品产品说明书》条款不一致的，</w:t>
      </w:r>
      <w:r>
        <w:rPr>
          <w:spacing w:val="8"/>
        </w:rPr>
        <w:t>以《信银理财理财产品产品说明书》的约定为准。</w:t>
      </w:r>
    </w:p>
    <w:p w14:paraId="38230D5B">
      <w:pPr>
        <w:pStyle w:val="2"/>
        <w:spacing w:before="2" w:line="289" w:lineRule="auto"/>
        <w:ind w:left="17" w:right="213" w:firstLine="480"/>
      </w:pPr>
      <w:r>
        <w:rPr>
          <w:b/>
          <w:bCs/>
          <w:spacing w:val="7"/>
        </w:rPr>
        <w:t>（</w:t>
      </w:r>
      <w:r>
        <w:rPr>
          <w:spacing w:val="-36"/>
        </w:rPr>
        <w:t xml:space="preserve"> </w:t>
      </w:r>
      <w:r>
        <w:rPr>
          <w:b/>
          <w:bCs/>
          <w:spacing w:val="7"/>
        </w:rPr>
        <w:t>三）如果由于任何原因使本协议下的任何条款或者内容成为无效或者依法被撤销，本</w:t>
      </w:r>
      <w:r>
        <w:rPr>
          <w:b/>
          <w:bCs/>
          <w:spacing w:val="8"/>
        </w:rPr>
        <w:t>协议其他条款或内容的合法性，有效性和可执行性不受影响。</w:t>
      </w:r>
    </w:p>
    <w:p w14:paraId="1B1EBD90">
      <w:pPr>
        <w:spacing w:line="289" w:lineRule="auto"/>
        <w:sectPr>
          <w:headerReference r:id="rId9" w:type="default"/>
          <w:footerReference r:id="rId10" w:type="default"/>
          <w:pgSz w:w="11906" w:h="16839"/>
          <w:pgMar w:top="1166" w:right="1785" w:bottom="1432" w:left="1785" w:header="829" w:footer="1218" w:gutter="0"/>
          <w:cols w:space="720" w:num="1"/>
        </w:sectPr>
      </w:pPr>
    </w:p>
    <w:p w14:paraId="4C21382F">
      <w:pPr>
        <w:spacing w:line="280" w:lineRule="auto"/>
        <w:rPr>
          <w:rFonts w:ascii="Arial"/>
          <w:sz w:val="21"/>
        </w:rPr>
      </w:pPr>
    </w:p>
    <w:p w14:paraId="5AF4638E">
      <w:pPr>
        <w:pStyle w:val="2"/>
        <w:spacing w:before="62" w:line="223" w:lineRule="auto"/>
        <w:ind w:left="43"/>
        <w:rPr>
          <w:rFonts w:ascii="Times New Roman" w:hAnsi="Times New Roman" w:eastAsia="Times New Roman" w:cs="Times New Roman"/>
        </w:rPr>
      </w:pPr>
      <w:r>
        <w:rPr>
          <w:b/>
          <w:bCs/>
          <w:spacing w:val="7"/>
        </w:rPr>
        <w:t>甲方</w:t>
      </w:r>
      <w:r>
        <w:rPr>
          <w:spacing w:val="7"/>
        </w:rPr>
        <w:t>：个人投资者（签字）</w:t>
      </w:r>
      <w:r>
        <w:rPr>
          <w:rFonts w:hint="eastAsia"/>
          <w:spacing w:val="7"/>
          <w:lang w:eastAsia="zh-CN"/>
        </w:rPr>
        <w:t>：</w:t>
      </w:r>
    </w:p>
    <w:p w14:paraId="302F4B5C">
      <w:pPr>
        <w:spacing w:line="307" w:lineRule="auto"/>
        <w:rPr>
          <w:rFonts w:ascii="Arial"/>
          <w:sz w:val="21"/>
        </w:rPr>
      </w:pPr>
    </w:p>
    <w:p w14:paraId="0C66318A">
      <w:pPr>
        <w:pStyle w:val="2"/>
        <w:spacing w:before="61" w:line="225" w:lineRule="auto"/>
        <w:ind w:left="614"/>
        <w:rPr>
          <w:rFonts w:ascii="Times New Roman" w:hAnsi="Times New Roman" w:eastAsia="Times New Roman" w:cs="Times New Roman"/>
        </w:rPr>
      </w:pPr>
      <w:r>
        <w:rPr>
          <w:spacing w:val="10"/>
        </w:rPr>
        <w:t>机构投资者（公章）</w:t>
      </w:r>
      <w:r>
        <w:rPr>
          <w:rFonts w:hint="eastAsia"/>
          <w:spacing w:val="10"/>
          <w:lang w:eastAsia="zh-CN"/>
        </w:rPr>
        <w:t>：</w:t>
      </w:r>
    </w:p>
    <w:p w14:paraId="089BC4E0">
      <w:pPr>
        <w:pStyle w:val="2"/>
        <w:spacing w:before="68" w:line="223" w:lineRule="auto"/>
        <w:ind w:left="628"/>
      </w:pPr>
      <w:r>
        <w:rPr>
          <w:spacing w:val="7"/>
        </w:rPr>
        <w:t>法定代表人</w:t>
      </w:r>
      <w:r>
        <w:rPr>
          <w:rFonts w:ascii="Times New Roman" w:hAnsi="Times New Roman" w:eastAsia="Times New Roman" w:cs="Times New Roman"/>
          <w:spacing w:val="7"/>
        </w:rPr>
        <w:t>/</w:t>
      </w:r>
      <w:r>
        <w:rPr>
          <w:spacing w:val="7"/>
        </w:rPr>
        <w:t>负责人</w:t>
      </w:r>
      <w:r>
        <w:rPr>
          <w:rFonts w:ascii="Times New Roman" w:hAnsi="Times New Roman" w:eastAsia="Times New Roman" w:cs="Times New Roman"/>
          <w:spacing w:val="7"/>
        </w:rPr>
        <w:t>/</w:t>
      </w:r>
      <w:r>
        <w:rPr>
          <w:spacing w:val="7"/>
        </w:rPr>
        <w:t>授权代表（签字</w:t>
      </w:r>
      <w:r>
        <w:rPr>
          <w:rFonts w:ascii="Times New Roman" w:hAnsi="Times New Roman" w:eastAsia="Times New Roman" w:cs="Times New Roman"/>
          <w:spacing w:val="7"/>
        </w:rPr>
        <w:t>/</w:t>
      </w:r>
      <w:r>
        <w:rPr>
          <w:spacing w:val="7"/>
        </w:rPr>
        <w:t>盖章</w:t>
      </w:r>
      <w:r>
        <w:rPr>
          <w:spacing w:val="9"/>
        </w:rPr>
        <w:t>）：</w:t>
      </w:r>
    </w:p>
    <w:p w14:paraId="787AD2EF">
      <w:pPr>
        <w:spacing w:line="307" w:lineRule="auto"/>
        <w:rPr>
          <w:rFonts w:ascii="Arial"/>
          <w:sz w:val="21"/>
        </w:rPr>
      </w:pPr>
    </w:p>
    <w:p w14:paraId="62FF2DEF">
      <w:pPr>
        <w:pStyle w:val="2"/>
        <w:spacing w:before="62" w:line="224" w:lineRule="auto"/>
        <w:ind w:left="613"/>
      </w:pPr>
      <w:r>
        <w:rPr>
          <w:spacing w:val="9"/>
        </w:rPr>
        <w:t>证件类别（个人投资者</w:t>
      </w:r>
      <w:r>
        <w:rPr>
          <w:spacing w:val="3"/>
        </w:rPr>
        <w:t>）：</w:t>
      </w:r>
    </w:p>
    <w:p w14:paraId="6CC1EBDB">
      <w:pPr>
        <w:spacing w:line="305" w:lineRule="auto"/>
        <w:rPr>
          <w:rFonts w:ascii="Arial"/>
          <w:sz w:val="21"/>
        </w:rPr>
      </w:pPr>
    </w:p>
    <w:p w14:paraId="4A91B815">
      <w:pPr>
        <w:pStyle w:val="2"/>
        <w:spacing w:before="62" w:line="224" w:lineRule="auto"/>
        <w:ind w:left="613"/>
      </w:pPr>
      <w:r>
        <w:rPr>
          <w:spacing w:val="9"/>
        </w:rPr>
        <w:t>证件号（个人投资者</w:t>
      </w:r>
      <w:r>
        <w:rPr>
          <w:spacing w:val="3"/>
        </w:rPr>
        <w:t>）：</w:t>
      </w:r>
    </w:p>
    <w:sectPr>
      <w:footerReference r:id="rId11" w:type="default"/>
      <w:pgSz w:w="11906" w:h="16839"/>
      <w:pgMar w:top="1166" w:right="1785" w:bottom="1432" w:left="1785" w:header="829" w:footer="121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380D2">
    <w:pPr>
      <w:spacing w:line="209" w:lineRule="auto"/>
      <w:ind w:left="3520"/>
      <w:rPr>
        <w:rFonts w:ascii="宋体" w:hAnsi="宋体" w:eastAsia="宋体" w:cs="宋体"/>
        <w:sz w:val="18"/>
        <w:szCs w:val="18"/>
      </w:rPr>
    </w:pPr>
    <w:r>
      <w:rPr>
        <w:rFonts w:ascii="宋体" w:hAnsi="宋体" w:eastAsia="宋体" w:cs="宋体"/>
        <w:spacing w:val="-9"/>
        <w:sz w:val="18"/>
        <w:szCs w:val="18"/>
      </w:rPr>
      <w:t>第</w:t>
    </w:r>
    <w:r>
      <w:rPr>
        <w:rFonts w:ascii="宋体" w:hAnsi="宋体" w:eastAsia="宋体" w:cs="宋体"/>
        <w:spacing w:val="26"/>
        <w:sz w:val="18"/>
        <w:szCs w:val="18"/>
      </w:rPr>
      <w:t xml:space="preserve"> </w:t>
    </w:r>
    <w:r>
      <w:rPr>
        <w:rFonts w:ascii="宋体" w:hAnsi="宋体" w:eastAsia="宋体" w:cs="宋体"/>
        <w:spacing w:val="-9"/>
        <w:sz w:val="18"/>
        <w:szCs w:val="18"/>
      </w:rPr>
      <w:t>1页</w:t>
    </w:r>
    <w:r>
      <w:rPr>
        <w:rFonts w:ascii="宋体" w:hAnsi="宋体" w:eastAsia="宋体" w:cs="宋体"/>
        <w:spacing w:val="23"/>
        <w:sz w:val="18"/>
        <w:szCs w:val="18"/>
      </w:rPr>
      <w:t xml:space="preserve"> </w:t>
    </w:r>
    <w:r>
      <w:rPr>
        <w:rFonts w:ascii="宋体" w:hAnsi="宋体" w:eastAsia="宋体" w:cs="宋体"/>
        <w:spacing w:val="-9"/>
        <w:sz w:val="18"/>
        <w:szCs w:val="18"/>
      </w:rPr>
      <w:t>，共</w:t>
    </w:r>
    <w:r>
      <w:rPr>
        <w:rFonts w:ascii="宋体" w:hAnsi="宋体" w:eastAsia="宋体" w:cs="宋体"/>
        <w:spacing w:val="-38"/>
        <w:sz w:val="18"/>
        <w:szCs w:val="18"/>
      </w:rPr>
      <w:t xml:space="preserve"> </w:t>
    </w:r>
    <w:r>
      <w:rPr>
        <w:rFonts w:ascii="宋体" w:hAnsi="宋体" w:eastAsia="宋体" w:cs="宋体"/>
        <w:spacing w:val="-9"/>
        <w:sz w:val="18"/>
        <w:szCs w:val="18"/>
      </w:rPr>
      <w:t>4页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5C26F">
    <w:pPr>
      <w:spacing w:line="209" w:lineRule="auto"/>
      <w:ind w:left="3520"/>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12"/>
        <w:sz w:val="18"/>
        <w:szCs w:val="18"/>
      </w:rPr>
      <w:t xml:space="preserve"> </w:t>
    </w:r>
    <w:r>
      <w:rPr>
        <w:rFonts w:ascii="宋体" w:hAnsi="宋体" w:eastAsia="宋体" w:cs="宋体"/>
        <w:spacing w:val="-7"/>
        <w:sz w:val="18"/>
        <w:szCs w:val="18"/>
      </w:rPr>
      <w:t>2页</w:t>
    </w:r>
    <w:r>
      <w:rPr>
        <w:rFonts w:ascii="宋体" w:hAnsi="宋体" w:eastAsia="宋体" w:cs="宋体"/>
        <w:spacing w:val="23"/>
        <w:sz w:val="18"/>
        <w:szCs w:val="18"/>
      </w:rPr>
      <w:t xml:space="preserve"> </w:t>
    </w:r>
    <w:r>
      <w:rPr>
        <w:rFonts w:ascii="宋体" w:hAnsi="宋体" w:eastAsia="宋体" w:cs="宋体"/>
        <w:spacing w:val="-7"/>
        <w:sz w:val="18"/>
        <w:szCs w:val="18"/>
      </w:rPr>
      <w:t>，共</w:t>
    </w:r>
    <w:r>
      <w:rPr>
        <w:rFonts w:ascii="宋体" w:hAnsi="宋体" w:eastAsia="宋体" w:cs="宋体"/>
        <w:spacing w:val="-38"/>
        <w:sz w:val="18"/>
        <w:szCs w:val="18"/>
      </w:rPr>
      <w:t xml:space="preserve"> </w:t>
    </w:r>
    <w:r>
      <w:rPr>
        <w:rFonts w:ascii="宋体" w:hAnsi="宋体" w:eastAsia="宋体" w:cs="宋体"/>
        <w:spacing w:val="-7"/>
        <w:sz w:val="18"/>
        <w:szCs w:val="18"/>
      </w:rPr>
      <w:t>4页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B917">
    <w:pPr>
      <w:spacing w:line="209" w:lineRule="auto"/>
      <w:ind w:left="3520"/>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12"/>
        <w:sz w:val="18"/>
        <w:szCs w:val="18"/>
      </w:rPr>
      <w:t xml:space="preserve"> </w:t>
    </w:r>
    <w:r>
      <w:rPr>
        <w:rFonts w:ascii="宋体" w:hAnsi="宋体" w:eastAsia="宋体" w:cs="宋体"/>
        <w:spacing w:val="-7"/>
        <w:sz w:val="18"/>
        <w:szCs w:val="18"/>
      </w:rPr>
      <w:t>3页</w:t>
    </w:r>
    <w:r>
      <w:rPr>
        <w:rFonts w:ascii="宋体" w:hAnsi="宋体" w:eastAsia="宋体" w:cs="宋体"/>
        <w:spacing w:val="23"/>
        <w:sz w:val="18"/>
        <w:szCs w:val="18"/>
      </w:rPr>
      <w:t xml:space="preserve"> </w:t>
    </w:r>
    <w:r>
      <w:rPr>
        <w:rFonts w:ascii="宋体" w:hAnsi="宋体" w:eastAsia="宋体" w:cs="宋体"/>
        <w:spacing w:val="-7"/>
        <w:sz w:val="18"/>
        <w:szCs w:val="18"/>
      </w:rPr>
      <w:t>，共</w:t>
    </w:r>
    <w:r>
      <w:rPr>
        <w:rFonts w:ascii="宋体" w:hAnsi="宋体" w:eastAsia="宋体" w:cs="宋体"/>
        <w:spacing w:val="-38"/>
        <w:sz w:val="18"/>
        <w:szCs w:val="18"/>
      </w:rPr>
      <w:t xml:space="preserve"> </w:t>
    </w:r>
    <w:r>
      <w:rPr>
        <w:rFonts w:ascii="宋体" w:hAnsi="宋体" w:eastAsia="宋体" w:cs="宋体"/>
        <w:spacing w:val="-7"/>
        <w:sz w:val="18"/>
        <w:szCs w:val="18"/>
      </w:rPr>
      <w:t>4页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07E06">
    <w:pPr>
      <w:spacing w:line="209" w:lineRule="auto"/>
      <w:ind w:left="3520"/>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12"/>
        <w:sz w:val="18"/>
        <w:szCs w:val="18"/>
      </w:rPr>
      <w:t xml:space="preserve"> </w:t>
    </w:r>
    <w:r>
      <w:rPr>
        <w:rFonts w:ascii="宋体" w:hAnsi="宋体" w:eastAsia="宋体" w:cs="宋体"/>
        <w:spacing w:val="-7"/>
        <w:sz w:val="18"/>
        <w:szCs w:val="18"/>
      </w:rPr>
      <w:t>4页</w:t>
    </w:r>
    <w:r>
      <w:rPr>
        <w:rFonts w:ascii="宋体" w:hAnsi="宋体" w:eastAsia="宋体" w:cs="宋体"/>
        <w:spacing w:val="23"/>
        <w:sz w:val="18"/>
        <w:szCs w:val="18"/>
      </w:rPr>
      <w:t xml:space="preserve"> </w:t>
    </w:r>
    <w:r>
      <w:rPr>
        <w:rFonts w:ascii="宋体" w:hAnsi="宋体" w:eastAsia="宋体" w:cs="宋体"/>
        <w:spacing w:val="-7"/>
        <w:sz w:val="18"/>
        <w:szCs w:val="18"/>
      </w:rPr>
      <w:t>，共</w:t>
    </w:r>
    <w:r>
      <w:rPr>
        <w:rFonts w:ascii="宋体" w:hAnsi="宋体" w:eastAsia="宋体" w:cs="宋体"/>
        <w:spacing w:val="-38"/>
        <w:sz w:val="18"/>
        <w:szCs w:val="18"/>
      </w:rPr>
      <w:t xml:space="preserve"> </w:t>
    </w:r>
    <w:r>
      <w:rPr>
        <w:rFonts w:ascii="宋体" w:hAnsi="宋体" w:eastAsia="宋体" w:cs="宋体"/>
        <w:spacing w:val="-7"/>
        <w:sz w:val="18"/>
        <w:szCs w:val="18"/>
      </w:rPr>
      <w:t>4页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B6451">
    <w:pPr>
      <w:spacing w:before="48" w:line="219" w:lineRule="auto"/>
      <w:ind w:left="5255"/>
      <w:rPr>
        <w:rFonts w:ascii="宋体" w:hAnsi="宋体" w:eastAsia="宋体" w:cs="宋体"/>
        <w:sz w:val="18"/>
        <w:szCs w:val="18"/>
      </w:rPr>
    </w:pPr>
    <w:r>
      <w:pict>
        <v:shape id="_x0000_s2049" o:spid="_x0000_s2049" style="position:absolute;left:0pt;margin-left:89.85pt;margin-top:55.2pt;height:0.75pt;width:415.65pt;mso-position-horizontal-relative:page;mso-position-vertical-relative:page;z-index:251659264;mso-width-relative:page;mso-height-relative:page;" fillcolor="#000000" filled="t" stroked="f" coordsize="8312,15" o:allowincell="f" path="m0,0l8312,0,8312,14,0,14,0,0xe">
          <v:fill on="t" focussize="0,0"/>
          <v:stroke on="f"/>
          <v:imagedata o:title=""/>
          <o:lock v:ext="edit"/>
        </v:shape>
      </w:pict>
    </w:r>
    <w:r>
      <w:rPr>
        <w:rFonts w:ascii="宋体" w:hAnsi="宋体" w:eastAsia="宋体" w:cs="宋体"/>
        <w:spacing w:val="-1"/>
        <w:sz w:val="18"/>
        <w:szCs w:val="18"/>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8A6AC">
    <w:pPr>
      <w:spacing w:before="48" w:line="219" w:lineRule="auto"/>
      <w:ind w:left="5255"/>
      <w:rPr>
        <w:rFonts w:ascii="宋体" w:hAnsi="宋体" w:eastAsia="宋体" w:cs="宋体"/>
        <w:sz w:val="18"/>
        <w:szCs w:val="18"/>
      </w:rPr>
    </w:pPr>
    <w:r>
      <w:pict>
        <v:shape id="_x0000_s2050" o:spid="_x0000_s2050" style="position:absolute;left:0pt;margin-left:89.85pt;margin-top:55.2pt;height:0.75pt;width:415.65pt;mso-position-horizontal-relative:page;mso-position-vertical-relative:page;z-index:251660288;mso-width-relative:page;mso-height-relative:page;" fillcolor="#000000" filled="t" stroked="f" coordsize="8312,15" o:allowincell="f" path="m0,0l8312,0,8312,14,0,14,0,0xe">
          <v:fill on="t" focussize="0,0"/>
          <v:stroke on="f"/>
          <v:imagedata o:title=""/>
          <o:lock v:ext="edit"/>
        </v:shape>
      </w:pict>
    </w:r>
    <w:r>
      <w:rPr>
        <w:rFonts w:ascii="宋体" w:hAnsi="宋体" w:eastAsia="宋体" w:cs="宋体"/>
        <w:spacing w:val="-1"/>
        <w:sz w:val="18"/>
        <w:szCs w:val="18"/>
      </w:rPr>
      <w:t>理财非存款、产品有风险、投资须谨慎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5F20A">
    <w:pPr>
      <w:spacing w:before="48" w:line="219" w:lineRule="auto"/>
      <w:ind w:right="28"/>
      <w:jc w:val="right"/>
      <w:rPr>
        <w:rFonts w:ascii="宋体" w:hAnsi="宋体" w:eastAsia="宋体" w:cs="宋体"/>
        <w:sz w:val="18"/>
        <w:szCs w:val="18"/>
      </w:rPr>
    </w:pPr>
    <w:r>
      <w:pict>
        <v:shape id="_x0000_s2051" o:spid="_x0000_s2051" style="position:absolute;left:0pt;margin-left:89.85pt;margin-top:55.2pt;height:0.75pt;width:415.65pt;mso-position-horizontal-relative:page;mso-position-vertical-relative:page;z-index:251661312;mso-width-relative:page;mso-height-relative:page;" fillcolor="#000000" filled="t" stroked="f" coordsize="8312,15" o:allowincell="f" path="m0,0l8312,0,8312,14,0,14,0,0xe">
          <v:fill on="t" focussize="0,0"/>
          <v:stroke on="f"/>
          <v:imagedata o:title=""/>
          <o:lock v:ext="edit"/>
        </v:shape>
      </w:pict>
    </w:r>
    <w:r>
      <w:rPr>
        <w:rFonts w:ascii="宋体" w:hAnsi="宋体" w:eastAsia="宋体" w:cs="宋体"/>
        <w:spacing w:val="-1"/>
        <w:sz w:val="18"/>
        <w:szCs w:val="18"/>
      </w:rPr>
      <w:t>理财非存款、产品有风险、投资须谨慎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41425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楷体" w:hAnsi="楷体" w:eastAsia="楷体" w:cs="楷体"/>
      <w:sz w:val="19"/>
      <w:szCs w:val="1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2051"/>
  </customShpExts>
</s:customData>
</file>

<file path=customXml/item2.xml><?xml version="1.0" encoding="utf-8"?>
<contractReview xmlns="http://schemas.wps.cn/vas-ai-hub/contract-review">
  <reviewItems>
    <reviewItem>
      <errorID>2aefb0d8-a456-4dea-bca5-589a12698448</errorID>
      <errorWord> </errorWord>
      <group>L1_Punc</group>
      <groupName>标点问题</groupName>
      <ability>L2_Punc_CN</ability>
      <abilityName>标点符号问题</abilityName>
      <candidateList>
        <item/>
      </candidateList>
      <explain>此处空格冗余，建议删除。</explain>
      <paraID>233B806C</paraID>
      <start>29</start>
      <end>29</end>
      <status>modified</status>
      <modifiedWord/>
      <trackRevisions>false</trackRevisions>
    </reviewItem>
    <reviewItem>
      <errorID>6db2c871-15db-4635-8f59-5ab13a784f2e</errorID>
      <errorWord>"理财产品" </errorWord>
      <group>L1_Punc</group>
      <groupName>标点问题</groupName>
      <ability>L2_Punc_CN</ability>
      <abilityName>标点符号问题</abilityName>
      <candidateList>
        <item>“理财产品”</item>
      </candidateList>
      <explain/>
      <paraID>233B806C</paraID>
      <start>33</start>
      <end>39</end>
      <status>modified</status>
      <modifiedWord>“理财产品”</modifiedWord>
      <trackRevisions>false</trackRevisions>
    </reviewItem>
    <reviewItem>
      <errorID>3efe8485-1057-46f7-be50-6a343da3b21b</errorID>
      <errorWord>）</errorWord>
      <group>L1_Punc</group>
      <groupName>标点问题</groupName>
      <ability>L2_Punc_CN</ability>
      <abilityName>标点符号问题</abilityName>
      <candidateList>
        <item>）：</item>
      </candidateList>
      <explain/>
      <paraID>52140377</paraID>
      <start>26</start>
      <end>28</end>
      <status>modified</status>
      <modifiedWord>）：</modifiedWord>
      <trackRevisions>false</trackRevisions>
    </reviewItem>
    <reviewItem>
      <errorID>ff92a23f-cc15-4b29-b14b-312abd9557c0</errorID>
      <errorWord> </errorWord>
      <group>L1_Punc</group>
      <groupName>标点问题</groupName>
      <ability>L2_Punc_CN</ability>
      <abilityName>标点符号问题</abilityName>
      <candidateList>
        <item/>
      </candidateList>
      <explain>此处空格冗余，建议删除。</explain>
      <paraID>29C964C7</paraID>
      <start>1</start>
      <end>1</end>
      <status>modified</status>
      <modifiedWord/>
      <trackRevisions>false</trackRevisions>
    </reviewItem>
    <reviewItem>
      <errorID>78a9e96a-c5fd-46d6-8ae1-06c64ff727e2</errorID>
      <errorWord> </errorWord>
      <group>L1_Punc</group>
      <groupName>标点问题</groupName>
      <ability>L2_Punc_CN</ability>
      <abilityName>标点符号问题</abilityName>
      <candidateList>
        <item/>
      </candidateList>
      <explain>此处空格冗余，建议删除。</explain>
      <paraID>29C964C7</paraID>
      <start>2</start>
      <end>2</end>
      <status>modified</status>
      <modifiedWord/>
      <trackRevisions>false</trackRevisions>
    </reviewItem>
    <reviewItem>
      <errorID>b0f8539f-74df-4254-8989-aebfdfd36739</errorID>
      <errorWord> </errorWord>
      <group>L1_Punc</group>
      <groupName>标点问题</groupName>
      <ability>L2_Punc_CN</ability>
      <abilityName>标点符号问题</abilityName>
      <candidateList>
        <item/>
      </candidateList>
      <explain>此处空格冗余，建议删除。</explain>
      <paraID> A3AC562</paraID>
      <start>1</start>
      <end>1</end>
      <status>modified</status>
      <modifiedWord/>
      <trackRevisions>false</trackRevisions>
    </reviewItem>
    <reviewItem>
      <errorID>76439b09-a8df-4838-8642-a3201a6f3cce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A3AC562</paraID>
      <start>1</start>
      <end>2</end>
      <status>unmodified</status>
      <modifiedWord/>
      <trackRevisions>false</trackRevisions>
    </reviewItem>
    <reviewItem>
      <errorID>296692d6-664e-4636-b4a1-e0abc475f7e0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36765ED</paraID>
      <start>2</start>
      <end>3</end>
      <status>unmodified</status>
      <modifiedWord/>
      <trackRevisions>false</trackRevisions>
    </reviewItem>
    <reviewItem>
      <errorID>6ea30c7a-505a-43ac-9e75-14501a3bf12f</errorID>
      <errorWord>面临的</errorWord>
      <group>L1_Word</group>
      <groupName>字词问题</groupName>
      <ability>L2_Typo</ability>
      <abilityName>字词错误</abilityName>
      <candidateList>
        <item>面临</item>
      </candidateList>
      <explain/>
      <paraID>457845AC</paraID>
      <start>11</start>
      <end>13</end>
      <status>modified</status>
      <modifiedWord>面临</modifiedWord>
      <trackRevisions>false</trackRevisions>
    </reviewItem>
    <reviewItem>
      <errorID>492b3232-cf3e-4807-9202-522363b13e11</errorID>
      <errorWord> </errorWord>
      <group>L1_Punc</group>
      <groupName>标点问题</groupName>
      <ability>L2_Punc_CN</ability>
      <abilityName>标点符号问题</abilityName>
      <candidateList>
        <item/>
      </candidateList>
      <explain>此处空格冗余，建议删除。</explain>
      <paraID>3310F2C5</paraID>
      <start>2</start>
      <end>2</end>
      <status>modified</status>
      <modifiedWord/>
      <trackRevisions>false</trackRevisions>
    </reviewItem>
    <reviewItem>
      <errorID>eea65c35-8ac1-40fb-a874-f9ec44d0fd62</errorID>
      <errorWord>品</errorWord>
      <group>L1_Word</group>
      <groupName>字词问题</groupName>
      <ability>L2_Typo</ability>
      <abilityName>字词错误</abilityName>
      <candidateList>
        <item>品在</item>
      </candidateList>
      <explain/>
      <paraID>3E33789C</paraID>
      <start>70</start>
      <end>72</end>
      <status>modified</status>
      <modifiedWord>品在</modifiedWord>
      <trackRevisions>false</trackRevisions>
    </reviewItem>
    <reviewItem>
      <errorID>8f825459-4759-40f2-babd-cd6f007f9905</errorID>
      <errorWord> </errorWord>
      <group>L1_Punc</group>
      <groupName>标点问题</groupName>
      <ability>L2_Punc_CN</ability>
      <abilityName>标点符号问题</abilityName>
      <candidateList>
        <item/>
      </candidateList>
      <explain>此处空格冗余，建议删除。</explain>
      <paraID>786E6DAC</paraID>
      <start>31</start>
      <end>31</end>
      <status>modified</status>
      <modifiedWord/>
      <trackRevisions>false</trackRevisions>
    </reviewItem>
    <reviewItem>
      <errorID>d7063616-8822-488b-af70-1e05f3cea0f5</errorID>
      <errorWord>理财产品产品</errorWord>
      <group>L1_Grammar</group>
      <groupName>语法问题</groupName>
      <ability>L2_Grammar</ability>
      <abilityName>语法错误</abilityName>
      <candidateList>
        <item>理财产品</item>
      </candidateList>
      <explain/>
      <paraID>786E6DAC</paraID>
      <start>63</start>
      <end>67</end>
      <status>modified</status>
      <modifiedWord>理财产品</modifiedWord>
      <trackRevisions>false</trackRevisions>
    </reviewItem>
    <reviewItem>
      <errorID>08f2c070-f434-46a8-b082-5ff9fb1d40e6</errorID>
      <errorWord>，</errorWord>
      <group>L1_Word</group>
      <groupName>字词问题</groupName>
      <ability>L2_Typo</ability>
      <abilityName>字词错误</abilityName>
      <candidateList>
        <item>，具</item>
      </candidateList>
      <explain/>
      <paraID>2BDE1987</paraID>
      <start>17</start>
      <end>19</end>
      <status>modified</status>
      <modifiedWord>，具</modifiedWord>
      <trackRevisions>false</trackRevisions>
    </reviewItem>
    <reviewItem>
      <errorID>81110179-5a81-4c26-8979-86ba06a94523</errorID>
      <errorWord> </errorWord>
      <group>L1_Punc</group>
      <groupName>标点问题</groupName>
      <ability>L2_Punc_CN</ability>
      <abilityName>标点符号问题</abilityName>
      <candidateList>
        <item/>
      </candidateList>
      <explain>此处空格冗余，建议删除。</explain>
      <paraID>355F80A2</paraID>
      <start>26</start>
      <end>26</end>
      <status>modified</status>
      <modifiedWord/>
      <trackRevisions>false</trackRevisions>
    </reviewItem>
    <reviewItem>
      <errorID>0c265d31-6091-469a-a8b7-9cbbc74e29a0</errorID>
      <errorWord>其它内部</errorWord>
      <group>L1_Word</group>
      <groupName>字词问题</groupName>
      <ability>L2_Alias</ability>
      <abilityName>也作/曾用词</abilityName>
      <candidateList>
        <item>其他内部</item>
      </candidateList>
      <explain>词汇[其它内部]为不规范表述或旧称，其规范书面表述为[其他内部]。</explain>
      <paraID>355F80A2</paraID>
      <start>35</start>
      <end>39</end>
      <status>modified</status>
      <modifiedWord>其他内部</modifiedWord>
      <trackRevisions>false</trackRevisions>
    </reviewItem>
    <reviewItem>
      <errorID>6b6408e6-c286-4ad5-b2a2-5c321db79d6f</errorID>
      <errorWord>且</errorWord>
      <group>L1_Punc</group>
      <groupName>标点问题</groupName>
      <ability>L2_Punc_CN</ability>
      <abilityName>标点符号问题</abilityName>
      <candidateList>
        <item>，且</item>
      </candidateList>
      <explain/>
      <paraID>355F80A2</paraID>
      <start>56</start>
      <end>58</end>
      <status>modified</status>
      <modifiedWord>，且</modifiedWord>
      <trackRevisions>false</trackRevisions>
    </reviewItem>
    <reviewItem>
      <errorID>f437fd11-496d-4593-9e29-3375ecf5dd11</errorID>
      <errorWord>一切有关</errorWord>
      <group>L1_Grammar</group>
      <groupName>语法问题</groupName>
      <ability>L2_Grammar</ability>
      <abilityName>语法错误</abilityName>
      <candidateList>
        <item>一切</item>
      </candidateList>
      <explain/>
      <paraID>3599D841</paraID>
      <start>22</start>
      <end>24</end>
      <status>modified</status>
      <modifiedWord>一切</modifiedWord>
      <trackRevisions>false</trackRevisions>
    </reviewItem>
    <reviewItem>
      <errorID>58ba8af1-65e2-49fe-9d3e-fd931a5534e0</errorID>
      <errorWord>：</errorWord>
      <group>L1_Punc</group>
      <groupName>标点问题</groupName>
      <ability>L2_Punc_CN</ability>
      <abilityName>标点符号问题</abilityName>
      <candidateList>
        <item>，</item>
      </candidateList>
      <explain/>
      <paraID>34F63CE7</paraID>
      <start>9</start>
      <end>10</end>
      <status>modified</status>
      <modifiedWord>，</modifiedWord>
      <trackRevisions>false</trackRevisions>
    </reviewItem>
    <reviewItem>
      <errorID>9ddf539c-4987-46c9-8d8a-2162faf04890</errorID>
      <errorWord>；</errorWord>
      <group>L1_Punc</group>
      <groupName>标点问题</groupName>
      <ability>L2_Punc_CN</ability>
      <abilityName>标点符号问题</abilityName>
      <candidateList>
        <item>。</item>
      </candidateList>
      <explain/>
      <paraID>34F63CE7</paraID>
      <start>39</start>
      <end>40</end>
      <status>modified</status>
      <modifiedWord>。</modifiedWord>
      <trackRevisions>false</trackRevisions>
    </reviewItem>
    <reviewItem>
      <errorID>9569a2a4-b533-4670-9a0f-e83566563623</errorID>
      <errorWord>法律、法规及相关</errorWord>
      <group>L1_Word</group>
      <groupName>字词问题</groupName>
      <ability>L2_Typo</ability>
      <abilityName>字词错误</abilityName>
      <candidateList>
        <item>法律法规及相关</item>
      </candidateList>
      <explain/>
      <paraID>59D42C86</paraID>
      <start>16</start>
      <end>23</end>
      <status>modified</status>
      <modifiedWord>法律法规及相关</modifiedWord>
      <trackRevisions>false</trackRevisions>
    </reviewItem>
    <reviewItem>
      <errorID>6fa66205-e80a-446f-8387-81955595f3f7</errorID>
      <errorWord>、</errorWord>
      <group>L1_Punc</group>
      <groupName>标点问题</groupName>
      <ability>L2_Punc_CN</ability>
      <abilityName>标点符号问题</abilityName>
      <candidateList>
        <item>，</item>
      </candidateList>
      <explain/>
      <paraID>59D42C86</paraID>
      <start>82</start>
      <end>83</end>
      <status>modified</status>
      <modifiedWord>，</modifiedWord>
      <trackRevisions>false</trackRevisions>
    </reviewItem>
    <reviewItem>
      <errorID>8f08d188-7ded-4c6a-94cd-a2c458a51e08</errorID>
      <errorWord> </errorWord>
      <group>L1_Punc</group>
      <groupName>标点问题</groupName>
      <ability>L2_Punc_CN</ability>
      <abilityName>标点符号问题</abilityName>
      <candidateList>
        <item/>
      </candidateList>
      <explain>此处空格冗余，建议删除。</explain>
      <paraID>  D63882</paraID>
      <start>3</start>
      <end>3</end>
      <status>modified</status>
      <modifiedWord/>
      <trackRevisions>false</trackRevisions>
    </reviewItem>
    <reviewItem>
      <errorID>eb41d9e9-3c05-40c5-b289-2d7049593d9e</errorID>
      <errorWord>，及</errorWord>
      <group>L1_Word</group>
      <groupName>字词问题</groupName>
      <ability>L2_Typo</ability>
      <abilityName>字词错误</abilityName>
      <candidateList>
        <item>以及</item>
      </candidateList>
      <explain/>
      <paraID>  D63882</paraID>
      <start>15</start>
      <end>17</end>
      <status>modified</status>
      <modifiedWord>以及</modifiedWord>
      <trackRevisions>false</trackRevisions>
    </reviewItem>
    <reviewItem>
      <errorID>4ffaa4b7-5e81-47b0-9f33-01d2c2ab1015</errorID>
      <errorWord>； </errorWord>
      <group>L1_Word</group>
      <groupName>字词问题</groupName>
      <ability>L2_Typo</ability>
      <abilityName>字词错误</abilityName>
      <candidateList>
        <item>，也</item>
      </candidateList>
      <explain/>
      <paraID>  D63882</paraID>
      <start>50</start>
      <end>52</end>
      <status>modified</status>
      <modifiedWord>，也</modifiedWord>
      <trackRevisions>false</trackRevisions>
    </reviewItem>
    <reviewItem>
      <errorID>cf10fc8b-cd4f-40c3-9609-d38f4f8fc770</errorID>
      <errorWord>，</errorWord>
      <group>L1_Punc</group>
      <groupName>标点问题</groupName>
      <ability>L2_Punc_CN</ability>
      <abilityName>标点符号问题</abilityName>
      <candidateList>
        <item/>
      </candidateList>
      <explain/>
      <paraID>43AD4179</paraID>
      <start>57</start>
      <end>57</end>
      <status>modified</status>
      <modifiedWord/>
      <trackRevisions>false</trackRevisions>
    </reviewItem>
    <reviewItem>
      <errorID>0939bf33-9e27-4a7c-b841-bf1d9e8e4608</errorID>
      <errorWord>等</errorWord>
      <group>L1_Word</group>
      <groupName>字词问题</groupName>
      <ability>L2_Typo</ability>
      <abilityName>字词错误</abilityName>
      <candidateList>
        <item>的</item>
      </candidateList>
      <explain/>
      <paraID>43AD4179</paraID>
      <start>83</start>
      <end>84</end>
      <status>modified</status>
      <modifiedWord>的</modifiedWord>
      <trackRevisions>false</trackRevisions>
    </reviewItem>
    <reviewItem>
      <errorID>349b328a-0fc6-4ed0-a0a7-3f0023b1d734</errorID>
      <errorWord>；</errorWord>
      <group>L1_Punc</group>
      <groupName>标点问题</groupName>
      <ability>L2_Punc_CN</ability>
      <abilityName>标点符号问题</abilityName>
      <candidateList>
        <item>。</item>
      </candidateList>
      <explain/>
      <paraID>68AE6C81</paraID>
      <start>44</start>
      <end>45</end>
      <status>modified</status>
      <modifiedWord>。</modifiedWord>
      <trackRevisions>false</trackRevisions>
    </reviewItem>
    <reviewItem>
      <errorID>ce4d8aa7-5ca7-4d61-a6cb-c9aaa6f5763a</errorID>
      <errorWord> </errorWord>
      <group>L1_Punc</group>
      <groupName>标点问题</groupName>
      <ability>L2_Punc_CN</ability>
      <abilityName>标点符号问题</abilityName>
      <candidateList>
        <item/>
      </candidateList>
      <explain>此处空格冗余，建议删除。</explain>
      <paraID> E424E16</paraID>
      <start>1</start>
      <end>1</end>
      <status>modified</status>
      <modifiedWord/>
      <trackRevisions>false</trackRevisions>
    </reviewItem>
    <reviewItem>
      <errorID>27549d8c-cf66-4b93-8b3a-81adcc5c8454</errorID>
      <errorWord>与</errorWord>
      <group>L1_Word</group>
      <groupName>字词问题</groupName>
      <ability>L2_Typo</ability>
      <abilityName>字词错误</abilityName>
      <candidateList>
        <item>并</item>
      </candidateList>
      <explain/>
      <paraID> E424E16</paraID>
      <start>19</start>
      <end>20</end>
      <status>modified</status>
      <modifiedWord>并</modifiedWord>
      <trackRevisions>false</trackRevisions>
    </reviewItem>
    <reviewItem>
      <errorID>1fc9514b-13b4-483b-8fb9-358042830f3f</errorID>
      <errorWord> </errorWord>
      <group>L1_Punc</group>
      <groupName>标点问题</groupName>
      <ability>L2_Punc_CN</ability>
      <abilityName>标点符号问题</abilityName>
      <candidateList>
        <item/>
      </candidateList>
      <explain>此处空格冗余，建议删除。</explain>
      <paraID>793AFAA0</paraID>
      <start>13</start>
      <end>13</end>
      <status>modified</status>
      <modifiedWord/>
      <trackRevisions>false</trackRevisions>
    </reviewItem>
    <reviewItem>
      <errorID>685a9ece-95f6-4091-8d11-4824ac64004c</errorID>
      <errorWord> </errorWord>
      <group>L1_Punc</group>
      <groupName>标点问题</groupName>
      <ability>L2_Punc_CN</ability>
      <abilityName>标点符号问题</abilityName>
      <candidateList>
        <item/>
      </candidateList>
      <explain>此处空格冗余，建议删除。</explain>
      <paraID>793AFAA0</paraID>
      <start>26</start>
      <end>26</end>
      <status>modified</status>
      <modifiedWord/>
      <trackRevisions>false</trackRevisions>
    </reviewItem>
    <reviewItem>
      <errorID>ca842b60-5525-4c50-a7ae-b0a459e74d8a</errorID>
      <errorWord>事件或意外事件</errorWord>
      <group>L1_Grammar</group>
      <groupName>语法问题</groupName>
      <ability>L2_Grammar</ability>
      <abilityName>语法错误</abilityName>
      <candidateList>
        <item>事件</item>
      </candidateList>
      <explain/>
      <paraID>793AFAA0</paraID>
      <start>61</start>
      <end>63</end>
      <status>modified</status>
      <modifiedWord>事件</modifiedWord>
      <trackRevisions>false</trackRevisions>
    </reviewItem>
    <reviewItem>
      <errorID>66cbb62b-07aa-4ad4-8e84-18b0ff72a7c5</errorID>
      <errorWord>理财产品产品</errorWord>
      <group>L1_Grammar</group>
      <groupName>语法问题</groupName>
      <ability>L2_Grammar</ability>
      <abilityName>语法错误</abilityName>
      <candidateList>
        <item>理财产品</item>
      </candidateList>
      <explain/>
      <paraID>793AFAA0</paraID>
      <start>86</start>
      <end>90</end>
      <status>modified</status>
      <modifiedWord>理财产品</modifiedWord>
      <trackRevisions>false</trackRevisions>
    </reviewItem>
    <reviewItem>
      <errorID>b85d4707-848e-49f0-a17c-53f2986ed49d</errorID>
      <errorWord> </errorWord>
      <group>L1_Punc</group>
      <groupName>标点问题</groupName>
      <ability>L2_Punc_CN</ability>
      <abilityName>标点符号问题</abilityName>
      <candidateList>
        <item/>
      </candidateList>
      <explain>此处空格冗余，建议删除。</explain>
      <paraID>793AFAA0</paraID>
      <start>170</start>
      <end>170</end>
      <status>modified</status>
      <modifiedWord/>
      <trackRevisions>false</trackRevisions>
    </reviewItem>
    <reviewItem>
      <errorID>1e0f044f-9e0f-4eca-abd0-b84647136c88</errorID>
      <errorWord>台湾地区</errorWord>
      <group>L1_Word</group>
      <groupName>字词问题</groupName>
      <ability>L2_Typo</ability>
      <abilityName>字词错误</abilityName>
      <candidateList>
        <item>中国台湾地区</item>
      </candidateList>
      <explain/>
      <paraID>3A4C55DF</paraID>
      <start>62</start>
      <end>68</end>
      <status>modified</status>
      <modifiedWord>中国台湾地区</modifiedWord>
      <trackRevisions>false</trackRevisions>
    </reviewItem>
    <reviewItem>
      <errorID>540ea696-7f6c-4fc0-87ee-56c7c1812a5c</errorID>
      <errorWord> 甲 乙双方</errorWord>
      <group>L1_Grammar</group>
      <groupName>语法问题</groupName>
      <ability>L2_Grammar</ability>
      <abilityName>语法错误</abilityName>
      <candidateList>
        <item>甲乙双方</item>
      </candidateList>
      <explain/>
      <paraID>30CD19C2</paraID>
      <start>38</start>
      <end>42</end>
      <status>modified</status>
      <modifiedWord>甲乙双方</modifiedWord>
      <trackRevisions>false</trackRevisions>
    </reviewItem>
    <reviewItem>
      <errorID>17fbe2be-6eb7-4c9d-ad6c-af95dd63f2cd</errorID>
      <errorWord>争议时</errorWord>
      <group>L1_Word</group>
      <groupName>字词问题</groupName>
      <ability>L2_Typo</ability>
      <abilityName>字词错误</abilityName>
      <candidateList>
        <item>争议</item>
      </candidateList>
      <explain/>
      <paraID>30CD19C2</paraID>
      <start>69</start>
      <end>71</end>
      <status>modified</status>
      <modifiedWord>争议</modifiedWord>
      <trackRevisions>false</trackRevisions>
    </reviewItem>
    <reviewItem>
      <errorID>ee09c608-82d4-4d1b-ba7c-4bfed6fe33f8</errorID>
      <errorWord> </errorWord>
      <group>L1_Punc</group>
      <groupName>标点问题</groupName>
      <ability>L2_Punc_CN</ability>
      <abilityName>标点符号问题</abilityName>
      <candidateList>
        <item/>
      </candidateList>
      <explain>此处空格冗余，建议删除。</explain>
      <paraID>30CD19C2</paraID>
      <start>118</start>
      <end>118</end>
      <status>modified</status>
      <modifiedWord/>
      <trackRevisions>false</trackRevisions>
    </reviewItem>
    <reviewItem>
      <errorID>11d3f185-06ad-4dcc-8b4e-081f2f477d0f</errorID>
      <errorWord> </errorWord>
      <group>L1_Punc</group>
      <groupName>标点问题</groupName>
      <ability>L2_Punc_CN</ability>
      <abilityName>标点符号问题</abilityName>
      <candidateList>
        <item/>
      </candidateList>
      <explain>此处空格冗余，建议删除。</explain>
      <paraID>30CD19C2</paraID>
      <start>143</start>
      <end>143</end>
      <status>modified</status>
      <modifiedWord/>
      <trackRevisions>false</trackRevisions>
    </reviewItem>
    <reviewItem>
      <errorID>8a942f80-150c-40a5-ae54-baaee544e6b5</errorID>
      <errorWord> </errorWord>
      <group>L1_Punc</group>
      <groupName>标点问题</groupName>
      <ability>L2_Punc_CN</ability>
      <abilityName>标点符号问题</abilityName>
      <candidateList>
        <item/>
      </candidateList>
      <explain>此处空格冗余，建议删除。</explain>
      <paraID>30CD19C2</paraID>
      <start>163</start>
      <end>163</end>
      <status>modified</status>
      <modifiedWord/>
      <trackRevisions>false</trackRevisions>
    </reviewItem>
    <reviewItem>
      <errorID>45491cd4-f8bd-46fd-88c7-3b30e7641f8c</errorID>
      <errorWord>:</errorWord>
      <group>L1_Punc</group>
      <groupName>标点问题</groupName>
      <ability>L2_Punc_CN</ability>
      <abilityName>标点符号问题</abilityName>
      <candidateList>
        <item>：</item>
      </candidateList>
      <explain/>
      <paraID>5AF4638E</paraID>
      <start>12</start>
      <end>13</end>
      <status>modified</status>
      <modifiedWord>：</modifiedWord>
      <trackRevisions>false</trackRevisions>
    </reviewItem>
    <reviewItem>
      <errorID>3a533116-5089-4332-b2c4-dc8718a69fb1</errorID>
      <errorWord>:</errorWord>
      <group>L1_Format</group>
      <groupName>格式问题</groupName>
      <ability>L2_HalfPunc_CN</ability>
      <abilityName>全半角问题</abilityName>
      <candidateList>
        <item>：</item>
      </candidateList>
      <explain>文本全半角错误。</explain>
      <paraID> C66318A</paraID>
      <start>9</start>
      <end>10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a433e1-be51-459c-8d30-0a1d291d6f88}">
  <ds:schemaRefs/>
</ds:datastoreItem>
</file>

<file path=docProps/app.xml><?xml version="1.0" encoding="utf-8"?>
<Properties xmlns="http://schemas.openxmlformats.org/officeDocument/2006/extended-properties" xmlns:vt="http://schemas.openxmlformats.org/officeDocument/2006/docPropsVTypes">
  <Pages>5</Pages>
  <Words>3723</Words>
  <Characters>3730</Characters>
  <TotalTime>0</TotalTime>
  <ScaleCrop>false</ScaleCrop>
  <LinksUpToDate>false</LinksUpToDate>
  <CharactersWithSpaces>3798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2026-10-15T17:59:00Z</dcterms:created>
  <dc:creator>王晓明</dc:creator>
  <cp:lastModifiedBy>阿豆</cp:lastModifiedBy>
  <dcterms:modified xsi:type="dcterms:W3CDTF">2026-10-15T10:41:53Z</dcterms:modified>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2026-10-15T18:41:21Z</vt:filetime>
  </property>
  <property fmtid="{D5CDD505-2E9C-101B-9397-08002B2CF9AE}" pid="4" name="KSOTemplateDocerSaveRecord">
    <vt:lpwstr>eyJoZGlkIjoiNzI1MzljODBiNDliMzEyMzFlZWNlN2EzYjU0N2YzMWEiLCJ1c2VySWQiOiI1MTU1Nzc2OTkifQ==</vt:lpwstr>
  </property>
  <property fmtid="{D5CDD505-2E9C-101B-9397-08002B2CF9AE}" pid="5" name="KSOProductBuildVer">
    <vt:lpwstr>2052-12.1.0.28505</vt:lpwstr>
  </property>
  <property fmtid="{D5CDD505-2E9C-101B-9397-08002B2CF9AE}" pid="6" name="ICV">
    <vt:lpwstr>6C108E58286148A59622D60482CDB86A_12</vt:lpwstr>
  </property>
</Properties>
</file>