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4E152">
      <w:pPr>
        <w:spacing w:before="307" w:line="222" w:lineRule="auto"/>
        <w:ind w:left="259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24"/>
          <w:szCs w:val="24"/>
        </w:rPr>
        <w:t>信银理财理财产品风险揭示书</w:t>
      </w:r>
    </w:p>
    <w:p w14:paraId="415098DB">
      <w:pPr>
        <w:pStyle w:val="2"/>
        <w:spacing w:before="309" w:line="217" w:lineRule="auto"/>
        <w:ind w:left="19"/>
      </w:pPr>
      <w:r>
        <w:rPr>
          <w:spacing w:val="-2"/>
        </w:rPr>
        <w:t>尊敬的客户：</w:t>
      </w:r>
    </w:p>
    <w:p w14:paraId="59DE5BC3">
      <w:pPr>
        <w:pStyle w:val="2"/>
        <w:spacing w:before="36" w:line="239" w:lineRule="auto"/>
        <w:ind w:left="16" w:right="60" w:firstLine="485"/>
        <w:jc w:val="both"/>
      </w:pPr>
      <w:r>
        <w:rPr>
          <w:b/>
          <w:bCs/>
          <w:spacing w:val="2"/>
        </w:rPr>
        <w:t>理财资金管理运用过程中，可能会面临多种风险因素，包括但</w:t>
      </w:r>
      <w:r>
        <w:rPr>
          <w:b/>
          <w:bCs/>
          <w:spacing w:val="1"/>
        </w:rPr>
        <w:t>不限于信用</w:t>
      </w:r>
      <w:r>
        <w:rPr>
          <w:b/>
          <w:bCs/>
          <w:spacing w:val="2"/>
        </w:rPr>
        <w:t>风险、市场风险、流动性风险、提前终止风险、政策风险</w:t>
      </w:r>
      <w:r>
        <w:rPr>
          <w:b/>
          <w:bCs/>
          <w:spacing w:val="1"/>
        </w:rPr>
        <w:t>、信息传递风险、管</w:t>
      </w:r>
      <w:r>
        <w:rPr>
          <w:b/>
          <w:bCs/>
          <w:spacing w:val="2"/>
        </w:rPr>
        <w:t>理风险、延期清算风险、理财产品不成立风险、不可抗力</w:t>
      </w:r>
      <w:r>
        <w:rPr>
          <w:b/>
          <w:bCs/>
          <w:spacing w:val="1"/>
        </w:rPr>
        <w:t>及意外事件风险、理</w:t>
      </w:r>
      <w:r>
        <w:rPr>
          <w:b/>
          <w:bCs/>
          <w:spacing w:val="2"/>
        </w:rPr>
        <w:t>财本金全部损失风险、合作销售机构（代销机构）风险、</w:t>
      </w:r>
      <w:r>
        <w:rPr>
          <w:b/>
          <w:bCs/>
          <w:spacing w:val="1"/>
        </w:rPr>
        <w:t>操作风险、关联交易</w:t>
      </w:r>
      <w:r>
        <w:rPr>
          <w:b/>
          <w:bCs/>
          <w:spacing w:val="2"/>
        </w:rPr>
        <w:t>风险</w:t>
      </w:r>
      <w:bookmarkStart w:id="0" w:name="_GoBack"/>
      <w:r>
        <w:rPr>
          <w:rFonts w:hint="eastAsia"/>
          <w:b/>
          <w:bCs/>
          <w:spacing w:val="2"/>
          <w:lang w:eastAsia="zh-CN"/>
        </w:rPr>
        <w:t>等</w:t>
      </w:r>
      <w:bookmarkEnd w:id="0"/>
      <w:r>
        <w:rPr>
          <w:b/>
          <w:bCs/>
          <w:spacing w:val="2"/>
        </w:rPr>
        <w:t>。具体风险的含义，请您认真阅读本理财产品</w:t>
      </w:r>
      <w:r>
        <w:rPr>
          <w:b/>
          <w:bCs/>
          <w:spacing w:val="1"/>
        </w:rPr>
        <w:t>说明书中相应的风险</w:t>
      </w:r>
      <w:r>
        <w:rPr>
          <w:b/>
          <w:bCs/>
          <w:spacing w:val="-4"/>
        </w:rPr>
        <w:t>揭示部分。</w:t>
      </w:r>
    </w:p>
    <w:p w14:paraId="62B270E0">
      <w:pPr>
        <w:pStyle w:val="2"/>
        <w:spacing w:before="1" w:line="239" w:lineRule="auto"/>
        <w:ind w:left="19" w:firstLine="504"/>
        <w:jc w:val="both"/>
      </w:pPr>
      <w:r>
        <w:rPr>
          <w:b/>
          <w:bCs/>
          <w:spacing w:val="1"/>
        </w:rPr>
        <w:t>由于相关风险因素可能导致您的本金及收益全部或部分损失，因此，在您</w:t>
      </w:r>
      <w:r>
        <w:rPr>
          <w:b/>
          <w:bCs/>
          <w:spacing w:val="2"/>
        </w:rPr>
        <w:t>选择购买本理财产品前，请仔细阅读理财产品销售</w:t>
      </w:r>
      <w:r>
        <w:rPr>
          <w:b/>
          <w:bCs/>
          <w:spacing w:val="1"/>
        </w:rPr>
        <w:t>文件，包括理财产品销售总</w:t>
      </w:r>
      <w:r>
        <w:rPr>
          <w:b/>
          <w:bCs/>
          <w:spacing w:val="-4"/>
        </w:rPr>
        <w:t>协议、理财产品投资协议书、理财产品说明书、风险揭示书及客户权益须知等，</w:t>
      </w:r>
      <w:r>
        <w:rPr>
          <w:b/>
          <w:bCs/>
          <w:spacing w:val="-3"/>
        </w:rPr>
        <w:t>了解本理财产品具体情况。</w:t>
      </w:r>
    </w:p>
    <w:p w14:paraId="3E963A3C">
      <w:pPr>
        <w:pStyle w:val="2"/>
        <w:spacing w:before="314" w:line="239" w:lineRule="auto"/>
        <w:ind w:left="13" w:right="60" w:firstLine="486"/>
        <w:jc w:val="both"/>
      </w:pPr>
      <w:r>
        <w:rPr>
          <w:spacing w:val="1"/>
        </w:rPr>
        <w:t>本理财产品名称为</w:t>
      </w:r>
      <w:r>
        <w:rPr>
          <w:b/>
          <w:bCs/>
          <w:spacing w:val="1"/>
        </w:rPr>
        <w:t>【信银理财安盈象固收稳利日开</w:t>
      </w:r>
      <w:r>
        <w:rPr>
          <w:spacing w:val="-29"/>
        </w:rPr>
        <w:t xml:space="preserve"> </w:t>
      </w:r>
      <w:r>
        <w:rPr>
          <w:b/>
          <w:bCs/>
          <w:spacing w:val="1"/>
        </w:rPr>
        <w:t>170</w:t>
      </w:r>
      <w:r>
        <w:rPr>
          <w:spacing w:val="-41"/>
        </w:rPr>
        <w:t xml:space="preserve"> </w:t>
      </w:r>
      <w:r>
        <w:rPr>
          <w:b/>
          <w:bCs/>
          <w:spacing w:val="1"/>
        </w:rPr>
        <w:t>号理财产品】</w:t>
      </w:r>
      <w:r>
        <w:rPr>
          <w:spacing w:val="1"/>
        </w:rPr>
        <w:t>，产</w:t>
      </w:r>
      <w:r>
        <w:rPr>
          <w:spacing w:val="4"/>
        </w:rPr>
        <w:t>品代码为【</w:t>
      </w:r>
      <w:r>
        <w:t>AF</w:t>
      </w:r>
      <w:r>
        <w:rPr>
          <w:spacing w:val="4"/>
        </w:rPr>
        <w:t>251526】，类型为公募、【固定收益类】、开放式产品，产品到</w:t>
      </w:r>
      <w:r>
        <w:rPr>
          <w:spacing w:val="1"/>
        </w:rPr>
        <w:t>期日为无固定期限，风险评级为【</w:t>
      </w:r>
      <w:r>
        <w:t>PR</w:t>
      </w:r>
      <w:r>
        <w:rPr>
          <w:spacing w:val="1"/>
        </w:rPr>
        <w:t>2】，适合购买客户为风险承</w:t>
      </w:r>
      <w:r>
        <w:t>受能力为【稳</w:t>
      </w:r>
      <w:r>
        <w:rPr>
          <w:spacing w:val="4"/>
        </w:rPr>
        <w:t>健型】及以上的客户。</w:t>
      </w:r>
      <w:r>
        <w:rPr>
          <w:spacing w:val="-95"/>
        </w:rPr>
        <w:t xml:space="preserve"> </w:t>
      </w:r>
      <w:r>
        <w:rPr>
          <w:spacing w:val="4"/>
        </w:rPr>
        <w:t>【固定收益类产品</w:t>
      </w:r>
      <w:r>
        <w:rPr>
          <w:rFonts w:hint="eastAsia"/>
          <w:spacing w:val="4"/>
          <w:lang w:eastAsia="zh-CN"/>
        </w:rPr>
        <w:t>仅</w:t>
      </w:r>
      <w:r>
        <w:rPr>
          <w:spacing w:val="4"/>
        </w:rPr>
        <w:t>按</w:t>
      </w:r>
      <w:r>
        <w:rPr>
          <w:spacing w:val="3"/>
        </w:rPr>
        <w:t>照投资性质分类，并非指收益</w:t>
      </w:r>
      <w:r>
        <w:rPr>
          <w:spacing w:val="-3"/>
        </w:rPr>
        <w:t>固定或保本。</w:t>
      </w:r>
      <w:r>
        <w:rPr>
          <w:spacing w:val="-69"/>
        </w:rPr>
        <w:t xml:space="preserve"> </w:t>
      </w:r>
      <w:r>
        <w:rPr>
          <w:spacing w:val="-3"/>
        </w:rPr>
        <w:t>】</w:t>
      </w:r>
    </w:p>
    <w:p w14:paraId="0AEB144C">
      <w:pPr>
        <w:pStyle w:val="2"/>
        <w:spacing w:before="3" w:line="239" w:lineRule="auto"/>
        <w:ind w:left="22" w:right="62" w:firstLine="471"/>
      </w:pPr>
      <w:r>
        <w:rPr>
          <w:spacing w:val="4"/>
        </w:rPr>
        <w:t>信银理财有权根据市场变化对产品风险等级进行调整，并最迟于调整生效</w:t>
      </w:r>
      <w:r>
        <w:rPr>
          <w:spacing w:val="-1"/>
        </w:rPr>
        <w:t>前【</w:t>
      </w:r>
      <w:r>
        <w:rPr>
          <w:rFonts w:ascii="Arial" w:hAnsi="Arial" w:eastAsia="Arial" w:cs="Arial"/>
          <w:spacing w:val="-1"/>
        </w:rPr>
        <w:t>2</w:t>
      </w:r>
      <w:r>
        <w:rPr>
          <w:spacing w:val="-1"/>
        </w:rPr>
        <w:t>】个工作日以本说明书约定的方式向投资者发布相关信息。</w:t>
      </w:r>
    </w:p>
    <w:p w14:paraId="31F54515">
      <w:pPr>
        <w:pStyle w:val="2"/>
        <w:spacing w:before="308" w:line="238" w:lineRule="auto"/>
        <w:ind w:left="15" w:right="60" w:firstLine="491"/>
        <w:jc w:val="both"/>
      </w:pPr>
      <w:r>
        <w:rPr>
          <w:rFonts w:ascii="黑体" w:hAnsi="黑体" w:eastAsia="黑体" w:cs="黑体"/>
          <w:spacing w:val="4"/>
        </w:rPr>
        <w:t>重要提示</w:t>
      </w:r>
      <w:r>
        <w:rPr>
          <w:spacing w:val="4"/>
        </w:rPr>
        <w:t>：信银理财作为本理财产品管理人</w:t>
      </w:r>
      <w:r>
        <w:rPr>
          <w:rFonts w:hint="eastAsia"/>
          <w:spacing w:val="4"/>
          <w:lang w:eastAsia="zh-CN"/>
        </w:rPr>
        <w:t>，承诺</w:t>
      </w:r>
      <w:r>
        <w:rPr>
          <w:spacing w:val="4"/>
        </w:rPr>
        <w:t>以诚实守信、勤勉尽职的</w:t>
      </w:r>
      <w:r>
        <w:rPr>
          <w:spacing w:val="3"/>
        </w:rPr>
        <w:t>原则管理和运用理财产品资金，但</w:t>
      </w:r>
      <w:r>
        <w:rPr>
          <w:b/>
          <w:bCs/>
          <w:spacing w:val="3"/>
        </w:rPr>
        <w:t>不保证本金和收益，您可能因</w:t>
      </w:r>
      <w:r>
        <w:rPr>
          <w:b/>
          <w:bCs/>
          <w:spacing w:val="2"/>
        </w:rPr>
        <w:t>市场变动而损失全部本金且无法取得任何收益</w:t>
      </w:r>
      <w:r>
        <w:rPr>
          <w:spacing w:val="2"/>
        </w:rPr>
        <w:t>。</w:t>
      </w:r>
      <w:r>
        <w:rPr>
          <w:b/>
          <w:bCs/>
          <w:spacing w:val="2"/>
        </w:rPr>
        <w:t>理财产品过往业绩不代表其未来</w:t>
      </w:r>
      <w:r>
        <w:rPr>
          <w:b/>
          <w:bCs/>
          <w:spacing w:val="1"/>
        </w:rPr>
        <w:t>表现，不等</w:t>
      </w:r>
      <w:r>
        <w:rPr>
          <w:b/>
          <w:bCs/>
          <w:spacing w:val="3"/>
        </w:rPr>
        <w:t>于理财产品实际收益，投资须谨慎。</w:t>
      </w:r>
      <w:r>
        <w:rPr>
          <w:spacing w:val="3"/>
        </w:rPr>
        <w:t>信银理财提醒您理财产品投资风险由买者</w:t>
      </w:r>
      <w:r>
        <w:rPr>
          <w:spacing w:val="-1"/>
        </w:rPr>
        <w:t>自负，您应充分认识投资风险，谨慎投资！</w:t>
      </w:r>
    </w:p>
    <w:p w14:paraId="56B847D4">
      <w:pPr>
        <w:rPr>
          <w:rFonts w:ascii="Arial"/>
          <w:sz w:val="21"/>
        </w:rPr>
      </w:pPr>
    </w:p>
    <w:p w14:paraId="3906A664">
      <w:pPr>
        <w:pStyle w:val="2"/>
        <w:spacing w:before="79" w:line="239" w:lineRule="auto"/>
        <w:ind w:left="28" w:right="60" w:firstLine="468"/>
      </w:pPr>
      <w:r>
        <w:rPr>
          <w:b/>
          <w:bCs/>
          <w:spacing w:val="2"/>
        </w:rPr>
        <w:t>【最不利投资情形示例】：若投资者购买本理财产品，假设理财产品本金</w:t>
      </w:r>
      <w:r>
        <w:rPr>
          <w:b/>
          <w:bCs/>
          <w:spacing w:val="-1"/>
        </w:rPr>
        <w:t>为</w:t>
      </w:r>
      <w:r>
        <w:rPr>
          <w:spacing w:val="-35"/>
        </w:rPr>
        <w:t xml:space="preserve"> </w:t>
      </w:r>
      <w:r>
        <w:rPr>
          <w:b/>
          <w:bCs/>
          <w:spacing w:val="-1"/>
        </w:rPr>
        <w:t>1.00亿元，在最不利情况下，理财本金及收益全</w:t>
      </w:r>
      <w:r>
        <w:rPr>
          <w:b/>
          <w:bCs/>
          <w:spacing w:val="-2"/>
        </w:rPr>
        <w:t>部损失。</w:t>
      </w:r>
    </w:p>
    <w:p w14:paraId="76DA86FC">
      <w:pPr>
        <w:spacing w:before="312" w:line="221" w:lineRule="auto"/>
        <w:ind w:left="50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-3"/>
          <w:sz w:val="24"/>
          <w:szCs w:val="24"/>
        </w:rPr>
        <w:t>理财非存款、产品有风险、投资须谨慎！</w:t>
      </w:r>
    </w:p>
    <w:p w14:paraId="2C3EAFC1">
      <w:pPr>
        <w:spacing w:line="256" w:lineRule="auto"/>
        <w:rPr>
          <w:rFonts w:ascii="Arial"/>
          <w:sz w:val="21"/>
        </w:rPr>
      </w:pPr>
    </w:p>
    <w:p w14:paraId="42D92ED6">
      <w:pPr>
        <w:pStyle w:val="2"/>
        <w:spacing w:before="78" w:line="211" w:lineRule="auto"/>
        <w:ind w:left="499"/>
      </w:pPr>
      <w:r>
        <w:t>如影响您风险承受能力的因素发生变化，请及时完成</w:t>
      </w:r>
      <w:r>
        <w:rPr>
          <w:spacing w:val="-1"/>
        </w:rPr>
        <w:t>风险承受能力评估。</w:t>
      </w:r>
    </w:p>
    <w:p w14:paraId="6DE50ECE">
      <w:pPr>
        <w:pStyle w:val="2"/>
        <w:spacing w:before="37" w:line="216" w:lineRule="auto"/>
        <w:ind w:left="4367"/>
      </w:pPr>
      <w:r>
        <w:rPr>
          <w:spacing w:val="-1"/>
        </w:rPr>
        <w:t>风险揭示方： 信银理财有限责任公司</w:t>
      </w:r>
    </w:p>
    <w:p w14:paraId="15F48A17">
      <w:pPr>
        <w:spacing w:line="293" w:lineRule="auto"/>
        <w:rPr>
          <w:rFonts w:ascii="Arial"/>
          <w:sz w:val="21"/>
        </w:rPr>
      </w:pPr>
    </w:p>
    <w:p w14:paraId="73891AAE">
      <w:pPr>
        <w:spacing w:line="294" w:lineRule="auto"/>
        <w:rPr>
          <w:rFonts w:ascii="Arial"/>
          <w:sz w:val="21"/>
        </w:rPr>
      </w:pPr>
    </w:p>
    <w:p w14:paraId="509CAB78">
      <w:pPr>
        <w:spacing w:line="294" w:lineRule="auto"/>
        <w:rPr>
          <w:rFonts w:ascii="Arial"/>
          <w:sz w:val="21"/>
        </w:rPr>
      </w:pPr>
    </w:p>
    <w:p w14:paraId="1BD7D863">
      <w:pPr>
        <w:pStyle w:val="2"/>
        <w:spacing w:before="79" w:line="218" w:lineRule="auto"/>
        <w:ind w:left="3325"/>
      </w:pPr>
      <w:r>
        <w:rPr>
          <w:b/>
          <w:bCs/>
          <w:spacing w:val="-5"/>
          <w:u w:val="single" w:color="auto"/>
        </w:rPr>
        <w:t>客</w:t>
      </w:r>
      <w:r>
        <w:rPr>
          <w:spacing w:val="14"/>
          <w:u w:val="single" w:color="auto"/>
        </w:rPr>
        <w:t xml:space="preserve"> </w:t>
      </w:r>
      <w:r>
        <w:rPr>
          <w:b/>
          <w:bCs/>
          <w:spacing w:val="-5"/>
          <w:u w:val="single" w:color="auto"/>
        </w:rPr>
        <w:t>户</w:t>
      </w:r>
      <w:r>
        <w:rPr>
          <w:spacing w:val="-5"/>
          <w:u w:val="single" w:color="auto"/>
        </w:rPr>
        <w:t xml:space="preserve"> </w:t>
      </w:r>
      <w:r>
        <w:rPr>
          <w:b/>
          <w:bCs/>
          <w:spacing w:val="-5"/>
          <w:u w:val="single" w:color="auto"/>
        </w:rPr>
        <w:t>确</w:t>
      </w:r>
      <w:r>
        <w:rPr>
          <w:spacing w:val="2"/>
          <w:u w:val="single" w:color="auto"/>
        </w:rPr>
        <w:t xml:space="preserve"> </w:t>
      </w:r>
      <w:r>
        <w:rPr>
          <w:b/>
          <w:bCs/>
          <w:spacing w:val="-5"/>
          <w:u w:val="single" w:color="auto"/>
        </w:rPr>
        <w:t>认</w:t>
      </w:r>
      <w:r>
        <w:rPr>
          <w:spacing w:val="8"/>
          <w:u w:val="single" w:color="auto"/>
        </w:rPr>
        <w:t xml:space="preserve"> </w:t>
      </w:r>
      <w:r>
        <w:rPr>
          <w:b/>
          <w:bCs/>
          <w:spacing w:val="-5"/>
          <w:u w:val="single" w:color="auto"/>
        </w:rPr>
        <w:t>栏</w:t>
      </w:r>
    </w:p>
    <w:p w14:paraId="0C550D73">
      <w:pPr>
        <w:pStyle w:val="2"/>
        <w:spacing w:before="31" w:line="239" w:lineRule="auto"/>
        <w:ind w:left="15" w:right="60" w:firstLine="484"/>
        <w:jc w:val="both"/>
      </w:pPr>
      <w:r>
        <w:rPr>
          <w:spacing w:val="1"/>
        </w:rPr>
        <w:t>本人/本单位确认，本人/本单位购买该理财产</w:t>
      </w:r>
      <w:r>
        <w:t>品为本人/本单位真实的意思</w:t>
      </w:r>
      <w:r>
        <w:rPr>
          <w:spacing w:val="4"/>
        </w:rPr>
        <w:t>表示</w:t>
      </w:r>
      <w:r>
        <w:rPr>
          <w:rFonts w:hint="eastAsia"/>
          <w:spacing w:val="4"/>
          <w:lang w:eastAsia="zh-CN"/>
        </w:rPr>
        <w:t>，</w:t>
      </w:r>
      <w:r>
        <w:rPr>
          <w:spacing w:val="4"/>
        </w:rPr>
        <w:t>并认为该理财产品完全适合本人/本单位的投资目标、投资预期以及风险承受能力，本人/本单位自愿承担由此带来的一切后果。本人/本单位确认信银理财/代销机构相关业务人员对于理财产品销售文件中限制或排除本人/本单位</w:t>
      </w:r>
      <w:r>
        <w:rPr>
          <w:spacing w:val="1"/>
        </w:rPr>
        <w:t>权利、增加或加重本人/本单位义务或责任以及有关免除或</w:t>
      </w:r>
      <w:r>
        <w:t>减轻信银理财责任或</w:t>
      </w:r>
    </w:p>
    <w:p w14:paraId="2984B53F">
      <w:pPr>
        <w:spacing w:line="239" w:lineRule="auto"/>
        <w:sectPr>
          <w:headerReference r:id="rId5" w:type="default"/>
          <w:footerReference r:id="rId6" w:type="default"/>
          <w:pgSz w:w="11906" w:h="16839"/>
          <w:pgMar w:top="1166" w:right="1736" w:bottom="1432" w:left="1785" w:header="829" w:footer="1218" w:gutter="0"/>
          <w:cols w:space="720" w:num="1"/>
        </w:sectPr>
      </w:pPr>
    </w:p>
    <w:p w14:paraId="6BE9CA4D">
      <w:pPr>
        <w:pStyle w:val="2"/>
        <w:spacing w:before="307"/>
        <w:ind w:left="56" w:right="11" w:hanging="43"/>
      </w:pPr>
      <w:r>
        <w:rPr>
          <w:spacing w:val="4"/>
        </w:rPr>
        <w:t>信银理财单方面拥有某些权利的条款已向本人/本单位予以说明，本人/本单位</w:t>
      </w:r>
      <w:r>
        <w:rPr>
          <w:spacing w:val="-5"/>
        </w:rPr>
        <w:t>已完全理解并自愿接受。</w:t>
      </w:r>
    </w:p>
    <w:p w14:paraId="1E2A2966">
      <w:pPr>
        <w:pStyle w:val="2"/>
        <w:spacing w:before="2" w:line="239" w:lineRule="auto"/>
        <w:ind w:left="14" w:right="11" w:firstLine="485"/>
        <w:jc w:val="both"/>
      </w:pPr>
      <w:r>
        <w:rPr>
          <w:b/>
          <w:bCs/>
          <w:spacing w:val="3"/>
        </w:rPr>
        <w:t>本人/本单位确认，将向本理财产品销售机构真实提供信息，自主作出</w:t>
      </w:r>
      <w:r>
        <w:rPr>
          <w:rFonts w:hint="eastAsia"/>
          <w:b/>
          <w:bCs/>
          <w:spacing w:val="3"/>
          <w:lang w:eastAsia="zh-CN"/>
        </w:rPr>
        <w:t>认购</w:t>
      </w:r>
      <w:r>
        <w:rPr>
          <w:b/>
          <w:bCs/>
          <w:spacing w:val="-3"/>
        </w:rPr>
        <w:t>（</w:t>
      </w:r>
      <w:r>
        <w:rPr>
          <w:rFonts w:hint="eastAsia"/>
          <w:b/>
          <w:bCs/>
          <w:spacing w:val="-3"/>
          <w:lang w:eastAsia="zh-CN"/>
        </w:rPr>
        <w:t>申购）</w:t>
      </w:r>
      <w:r>
        <w:rPr>
          <w:b/>
          <w:bCs/>
          <w:spacing w:val="-3"/>
        </w:rPr>
        <w:t>/赎回等决定，独立对销售文件进行签字/盖章确认，自主承担投资风</w:t>
      </w:r>
      <w:r>
        <w:rPr>
          <w:b/>
          <w:bCs/>
          <w:spacing w:val="5"/>
        </w:rPr>
        <w:t>险。本人/本单位拒绝向销售机构提供或者未按照要求提供信息的，销售机构</w:t>
      </w:r>
      <w:r>
        <w:rPr>
          <w:b/>
          <w:bCs/>
          <w:spacing w:val="2"/>
        </w:rPr>
        <w:t>有权告知本人/本单位相应的后果和责任，并有权拒绝</w:t>
      </w:r>
      <w:r>
        <w:rPr>
          <w:b/>
          <w:bCs/>
          <w:spacing w:val="1"/>
        </w:rPr>
        <w:t>向本人/本单位提供销售</w:t>
      </w:r>
      <w:r>
        <w:rPr>
          <w:b/>
          <w:bCs/>
          <w:spacing w:val="-4"/>
        </w:rPr>
        <w:t>服务。</w:t>
      </w:r>
    </w:p>
    <w:p w14:paraId="42311E18">
      <w:pPr>
        <w:pStyle w:val="2"/>
        <w:spacing w:line="239" w:lineRule="auto"/>
        <w:ind w:left="14" w:right="11" w:firstLine="485"/>
      </w:pPr>
      <w:r>
        <w:rPr>
          <w:spacing w:val="1"/>
        </w:rPr>
        <w:t>本人/本单位确认，投资本理财产品的资金非贷</w:t>
      </w:r>
      <w:r>
        <w:t>款、发行债券等募集的非自</w:t>
      </w:r>
      <w:r>
        <w:rPr>
          <w:spacing w:val="-1"/>
        </w:rPr>
        <w:t>有资金。</w:t>
      </w:r>
    </w:p>
    <w:p w14:paraId="77B1CD0D">
      <w:pPr>
        <w:pStyle w:val="2"/>
        <w:ind w:left="11" w:right="11" w:firstLine="488"/>
        <w:jc w:val="both"/>
      </w:pPr>
      <w:r>
        <w:rPr>
          <w:spacing w:val="1"/>
        </w:rPr>
        <w:t>本人/本单位确认已阅知客户权益须知，完全清</w:t>
      </w:r>
      <w:r>
        <w:t>楚理财产品购买流程、风险</w:t>
      </w:r>
      <w:r>
        <w:rPr>
          <w:spacing w:val="4"/>
        </w:rPr>
        <w:t>评估、产品评级含义、信息披露方式及渠道、信银理财及代销机构联系方式及</w:t>
      </w:r>
      <w:r>
        <w:t>投诉程序等内容。</w:t>
      </w:r>
    </w:p>
    <w:p w14:paraId="50FAA6E1">
      <w:pPr>
        <w:pStyle w:val="2"/>
        <w:spacing w:before="309" w:line="216" w:lineRule="auto"/>
        <w:ind w:left="500"/>
      </w:pPr>
      <w:r>
        <w:rPr>
          <w:spacing w:val="-1"/>
        </w:rPr>
        <w:t>本人/本单位确认如下：</w:t>
      </w:r>
    </w:p>
    <w:p w14:paraId="6DB3F5B4">
      <w:pPr>
        <w:spacing w:line="260" w:lineRule="auto"/>
        <w:rPr>
          <w:rFonts w:ascii="Arial"/>
          <w:sz w:val="21"/>
        </w:rPr>
      </w:pPr>
    </w:p>
    <w:p w14:paraId="55E000D9">
      <w:pPr>
        <w:pStyle w:val="2"/>
        <w:spacing w:before="79"/>
        <w:ind w:left="13" w:right="11" w:firstLine="486"/>
        <w:jc w:val="both"/>
      </w:pPr>
      <w:r>
        <w:rPr>
          <w:b/>
          <w:bCs/>
          <w:spacing w:val="2"/>
        </w:rPr>
        <w:t>本理财产品可能委托信银理财的关联方托管或销售。信银理</w:t>
      </w:r>
      <w:r>
        <w:rPr>
          <w:b/>
          <w:bCs/>
          <w:spacing w:val="1"/>
        </w:rPr>
        <w:t>财委托关联方</w:t>
      </w:r>
      <w:r>
        <w:rPr>
          <w:b/>
          <w:bCs/>
          <w:spacing w:val="2"/>
        </w:rPr>
        <w:t>托管或销售本理财产品的，存在关联交易风险，请投资者仔细阅</w:t>
      </w:r>
      <w:r>
        <w:rPr>
          <w:b/>
          <w:bCs/>
          <w:spacing w:val="1"/>
        </w:rPr>
        <w:t>读理财产品说</w:t>
      </w:r>
      <w:r>
        <w:rPr>
          <w:b/>
          <w:bCs/>
          <w:spacing w:val="-2"/>
        </w:rPr>
        <w:t>明书中相应风险揭示部分以及本理财产品披露的销售机构及托管人。</w:t>
      </w:r>
    </w:p>
    <w:p w14:paraId="77169974">
      <w:pPr>
        <w:pStyle w:val="2"/>
        <w:spacing w:before="1" w:line="211" w:lineRule="auto"/>
        <w:ind w:left="500"/>
      </w:pPr>
      <w:r>
        <w:rPr>
          <w:b/>
          <w:bCs/>
          <w:spacing w:val="-4"/>
        </w:rPr>
        <w:t>本人/本单位确认，</w:t>
      </w:r>
      <w:r>
        <w:rPr>
          <w:spacing w:val="-59"/>
        </w:rPr>
        <w:t xml:space="preserve"> </w:t>
      </w:r>
      <w:r>
        <w:rPr>
          <w:b/>
          <w:bCs/>
          <w:spacing w:val="-4"/>
        </w:rPr>
        <w:t>已知悉上述关联交易，愿意承担相应投资风险。</w:t>
      </w:r>
    </w:p>
    <w:p w14:paraId="6E0B5521">
      <w:pPr>
        <w:spacing w:line="267" w:lineRule="auto"/>
        <w:rPr>
          <w:rFonts w:ascii="Arial"/>
          <w:sz w:val="21"/>
        </w:rPr>
      </w:pPr>
    </w:p>
    <w:p w14:paraId="4139B9B3">
      <w:pPr>
        <w:pStyle w:val="2"/>
        <w:spacing w:before="78" w:line="239" w:lineRule="auto"/>
        <w:ind w:left="22" w:right="11" w:firstLine="478"/>
      </w:pPr>
      <w:r>
        <w:rPr>
          <w:spacing w:val="2"/>
        </w:rPr>
        <w:t>本人/本单位风险承受能力评级为（</w:t>
      </w:r>
      <w:r>
        <w:rPr>
          <w:spacing w:val="-43"/>
        </w:rPr>
        <w:t xml:space="preserve"> </w:t>
      </w:r>
      <w:r>
        <w:rPr>
          <w:spacing w:val="2"/>
        </w:rPr>
        <w:t>由个人客户本人/机构客户授权经</w:t>
      </w:r>
      <w:r>
        <w:rPr>
          <w:spacing w:val="1"/>
        </w:rPr>
        <w:t>办人</w:t>
      </w:r>
      <w:r>
        <w:rPr>
          <w:spacing w:val="14"/>
        </w:rPr>
        <w:t>填写</w:t>
      </w:r>
      <w:r>
        <w:rPr>
          <w:spacing w:val="-8"/>
        </w:rPr>
        <w:t>）：</w:t>
      </w:r>
    </w:p>
    <w:p w14:paraId="20374C69">
      <w:pPr>
        <w:pStyle w:val="2"/>
        <w:spacing w:before="1" w:line="238" w:lineRule="auto"/>
        <w:ind w:left="19" w:right="13" w:hanging="3"/>
      </w:pPr>
      <w:r>
        <w:rPr>
          <w:spacing w:val="4"/>
        </w:rPr>
        <w:t>（个人客户本人/机构客户授权经办人需全文抄录以下文字以完成确</w:t>
      </w:r>
      <w:r>
        <w:rPr>
          <w:spacing w:val="3"/>
        </w:rPr>
        <w:t>认：</w:t>
      </w:r>
      <w:r>
        <w:rPr>
          <w:b/>
          <w:bCs/>
          <w:spacing w:val="3"/>
        </w:rPr>
        <w:t>本人/</w:t>
      </w:r>
      <w:r>
        <w:rPr>
          <w:b/>
          <w:bCs/>
          <w:spacing w:val="-3"/>
        </w:rPr>
        <w:t>本单位已经阅读风险揭示，愿意承担投资风险</w:t>
      </w:r>
      <w:r>
        <w:rPr>
          <w:spacing w:val="-3"/>
        </w:rPr>
        <w:t>。</w:t>
      </w:r>
      <w:r>
        <w:rPr>
          <w:spacing w:val="-59"/>
        </w:rPr>
        <w:t xml:space="preserve"> </w:t>
      </w:r>
      <w:r>
        <w:rPr>
          <w:spacing w:val="-3"/>
        </w:rPr>
        <w:t>）</w:t>
      </w:r>
    </w:p>
    <w:p w14:paraId="6EA9E5B2">
      <w:pPr>
        <w:spacing w:before="231" w:line="636" w:lineRule="exact"/>
        <w:ind w:firstLine="11"/>
      </w:pPr>
      <w:r>
        <w:rPr>
          <w:position w:val="-12"/>
        </w:rPr>
        <w:pict>
          <v:shape id="_x0000_s1026" o:spid="_x0000_s1026" style="height:31.8pt;width:396pt;" filled="f" stroked="t" coordsize="7920,635" path="m0,5l7919,5m0,317l7919,317m0,630l7919,630e">
            <v:fill on="f" focussize="0,0"/>
            <v:stroke weight="0.6pt" color="#000000" miterlimit="2" joinstyle="bevel"/>
            <v:imagedata o:title=""/>
            <o:lock v:ext="edit"/>
            <w10:wrap type="none"/>
            <w10:anchorlock/>
          </v:shape>
        </w:pict>
      </w:r>
    </w:p>
    <w:p w14:paraId="3176202A">
      <w:pPr>
        <w:spacing w:line="301" w:lineRule="auto"/>
        <w:rPr>
          <w:rFonts w:ascii="Arial"/>
          <w:sz w:val="21"/>
        </w:rPr>
      </w:pPr>
    </w:p>
    <w:p w14:paraId="2CA96ADA">
      <w:pPr>
        <w:spacing w:before="78" w:line="222" w:lineRule="auto"/>
        <w:ind w:left="2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个人客户（签字</w:t>
      </w:r>
      <w:r>
        <w:rPr>
          <w:rFonts w:ascii="黑体" w:hAnsi="黑体" w:eastAsia="黑体" w:cs="黑体"/>
          <w:spacing w:val="2"/>
          <w:sz w:val="24"/>
          <w:szCs w:val="24"/>
        </w:rPr>
        <w:t>）：</w:t>
      </w:r>
      <w:r>
        <w:rPr>
          <w:rFonts w:ascii="黑体" w:hAnsi="黑体" w:eastAsia="黑体" w:cs="黑体"/>
          <w:sz w:val="24"/>
          <w:szCs w:val="24"/>
        </w:rPr>
        <w:t xml:space="preserve">                </w:t>
      </w:r>
      <w:r>
        <w:rPr>
          <w:rFonts w:ascii="黑体" w:hAnsi="黑体" w:eastAsia="黑体" w:cs="黑体"/>
          <w:spacing w:val="-2"/>
          <w:sz w:val="24"/>
          <w:szCs w:val="24"/>
        </w:rPr>
        <w:t>机构客户（盖章</w:t>
      </w:r>
      <w:r>
        <w:rPr>
          <w:rFonts w:ascii="黑体" w:hAnsi="黑体" w:eastAsia="黑体" w:cs="黑体"/>
          <w:spacing w:val="2"/>
          <w:sz w:val="24"/>
          <w:szCs w:val="24"/>
        </w:rPr>
        <w:t>）：</w:t>
      </w:r>
    </w:p>
    <w:p w14:paraId="139667A6">
      <w:pPr>
        <w:spacing w:before="22" w:line="221" w:lineRule="auto"/>
        <w:ind w:left="374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法定代表人或负责人（签字或签章</w:t>
      </w:r>
      <w:r>
        <w:rPr>
          <w:rFonts w:ascii="黑体" w:hAnsi="黑体" w:eastAsia="黑体" w:cs="黑体"/>
          <w:spacing w:val="1"/>
          <w:sz w:val="24"/>
          <w:szCs w:val="24"/>
        </w:rPr>
        <w:t>）：</w:t>
      </w:r>
    </w:p>
    <w:p w14:paraId="24957ED1">
      <w:pPr>
        <w:spacing w:line="254" w:lineRule="auto"/>
        <w:rPr>
          <w:rFonts w:ascii="Arial"/>
          <w:sz w:val="21"/>
        </w:rPr>
      </w:pPr>
    </w:p>
    <w:p w14:paraId="27EE407C">
      <w:pPr>
        <w:spacing w:before="79" w:line="223" w:lineRule="auto"/>
        <w:ind w:left="58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2"/>
          <w:sz w:val="24"/>
          <w:szCs w:val="24"/>
        </w:rPr>
        <w:t>日期：年 月</w:t>
      </w:r>
      <w:r>
        <w:rPr>
          <w:rFonts w:ascii="黑体" w:hAnsi="黑体" w:eastAsia="黑体" w:cs="黑体"/>
          <w:spacing w:val="46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2"/>
          <w:sz w:val="24"/>
          <w:szCs w:val="24"/>
        </w:rPr>
        <w:t>日</w:t>
      </w:r>
      <w:r>
        <w:rPr>
          <w:rFonts w:ascii="黑体" w:hAnsi="黑体" w:eastAsia="黑体" w:cs="黑体"/>
          <w:spacing w:val="2"/>
          <w:sz w:val="24"/>
          <w:szCs w:val="24"/>
        </w:rPr>
        <w:t xml:space="preserve">                    </w:t>
      </w:r>
      <w:r>
        <w:rPr>
          <w:rFonts w:ascii="黑体" w:hAnsi="黑体" w:eastAsia="黑体" w:cs="黑体"/>
          <w:spacing w:val="-12"/>
          <w:sz w:val="24"/>
          <w:szCs w:val="24"/>
        </w:rPr>
        <w:t>日期：年</w:t>
      </w:r>
      <w:r>
        <w:rPr>
          <w:rFonts w:ascii="黑体" w:hAnsi="黑体" w:eastAsia="黑体" w:cs="黑体"/>
          <w:spacing w:val="22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2"/>
          <w:sz w:val="24"/>
          <w:szCs w:val="24"/>
        </w:rPr>
        <w:t>月</w:t>
      </w:r>
      <w:r>
        <w:rPr>
          <w:rFonts w:ascii="黑体" w:hAnsi="黑体" w:eastAsia="黑体" w:cs="黑体"/>
          <w:spacing w:val="46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2"/>
          <w:sz w:val="24"/>
          <w:szCs w:val="24"/>
        </w:rPr>
        <w:t>日</w:t>
      </w:r>
    </w:p>
    <w:sectPr>
      <w:headerReference r:id="rId7" w:type="default"/>
      <w:footerReference r:id="rId8" w:type="default"/>
      <w:pgSz w:w="11906" w:h="16839"/>
      <w:pgMar w:top="1166" w:right="1785" w:bottom="1432" w:left="1785" w:header="829" w:footer="121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82F8D">
    <w:pPr>
      <w:spacing w:line="209" w:lineRule="auto"/>
      <w:ind w:left="352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9"/>
        <w:sz w:val="18"/>
        <w:szCs w:val="18"/>
      </w:rPr>
      <w:t>第</w:t>
    </w:r>
    <w:r>
      <w:rPr>
        <w:rFonts w:ascii="宋体" w:hAnsi="宋体" w:eastAsia="宋体" w:cs="宋体"/>
        <w:spacing w:val="24"/>
        <w:sz w:val="18"/>
        <w:szCs w:val="18"/>
      </w:rPr>
      <w:t xml:space="preserve"> </w:t>
    </w:r>
    <w:r>
      <w:rPr>
        <w:rFonts w:ascii="宋体" w:hAnsi="宋体" w:eastAsia="宋体" w:cs="宋体"/>
        <w:spacing w:val="-9"/>
        <w:sz w:val="18"/>
        <w:szCs w:val="18"/>
      </w:rPr>
      <w:t>1页</w:t>
    </w:r>
    <w:r>
      <w:rPr>
        <w:rFonts w:ascii="宋体" w:hAnsi="宋体" w:eastAsia="宋体" w:cs="宋体"/>
        <w:spacing w:val="23"/>
        <w:sz w:val="18"/>
        <w:szCs w:val="18"/>
      </w:rPr>
      <w:t xml:space="preserve"> </w:t>
    </w:r>
    <w:r>
      <w:rPr>
        <w:rFonts w:ascii="宋体" w:hAnsi="宋体" w:eastAsia="宋体" w:cs="宋体"/>
        <w:spacing w:val="-9"/>
        <w:sz w:val="18"/>
        <w:szCs w:val="18"/>
      </w:rPr>
      <w:t>，共</w:t>
    </w:r>
    <w:r>
      <w:rPr>
        <w:rFonts w:ascii="宋体" w:hAnsi="宋体" w:eastAsia="宋体" w:cs="宋体"/>
        <w:spacing w:val="-36"/>
        <w:sz w:val="18"/>
        <w:szCs w:val="18"/>
      </w:rPr>
      <w:t xml:space="preserve"> </w:t>
    </w:r>
    <w:r>
      <w:rPr>
        <w:rFonts w:ascii="宋体" w:hAnsi="宋体" w:eastAsia="宋体" w:cs="宋体"/>
        <w:spacing w:val="-9"/>
        <w:sz w:val="18"/>
        <w:szCs w:val="18"/>
      </w:rPr>
      <w:t>2页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44500">
    <w:pPr>
      <w:spacing w:line="209" w:lineRule="auto"/>
      <w:ind w:left="352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7"/>
        <w:sz w:val="18"/>
        <w:szCs w:val="18"/>
      </w:rPr>
      <w:t>第</w:t>
    </w:r>
    <w:r>
      <w:rPr>
        <w:rFonts w:ascii="宋体" w:hAnsi="宋体" w:eastAsia="宋体" w:cs="宋体"/>
        <w:spacing w:val="10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2页</w:t>
    </w:r>
    <w:r>
      <w:rPr>
        <w:rFonts w:ascii="宋体" w:hAnsi="宋体" w:eastAsia="宋体" w:cs="宋体"/>
        <w:spacing w:val="23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，共</w:t>
    </w:r>
    <w:r>
      <w:rPr>
        <w:rFonts w:ascii="宋体" w:hAnsi="宋体" w:eastAsia="宋体" w:cs="宋体"/>
        <w:spacing w:val="-36"/>
        <w:sz w:val="18"/>
        <w:szCs w:val="18"/>
      </w:rPr>
      <w:t xml:space="preserve"> </w:t>
    </w:r>
    <w:r>
      <w:rPr>
        <w:rFonts w:ascii="宋体" w:hAnsi="宋体" w:eastAsia="宋体" w:cs="宋体"/>
        <w:spacing w:val="-7"/>
        <w:sz w:val="18"/>
        <w:szCs w:val="18"/>
      </w:rPr>
      <w:t>2页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E88A0">
    <w:pPr>
      <w:spacing w:before="48" w:line="219" w:lineRule="auto"/>
      <w:ind w:left="710"/>
      <w:rPr>
        <w:rFonts w:ascii="宋体" w:hAnsi="宋体" w:eastAsia="宋体" w:cs="宋体"/>
        <w:sz w:val="18"/>
        <w:szCs w:val="18"/>
      </w:rPr>
    </w:pPr>
    <w:r>
      <w:pict>
        <v:shape id="_x0000_s2049" o:spid="_x0000_s2049" style="position:absolute;left:0pt;margin-left:89.85pt;margin-top:55.2pt;height:0.75pt;width:415.65pt;mso-position-horizontal-relative:page;mso-position-vertical-relative:page;z-index:251659264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z w:val="18"/>
        <w:szCs w:val="18"/>
      </w:rPr>
      <w:t>本产品风险评级为【PR2】                    理财非存款、产</w:t>
    </w:r>
    <w:r>
      <w:rPr>
        <w:rFonts w:ascii="宋体" w:hAnsi="宋体" w:eastAsia="宋体" w:cs="宋体"/>
        <w:spacing w:val="-1"/>
        <w:sz w:val="18"/>
        <w:szCs w:val="18"/>
      </w:rPr>
      <w:t>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C13EA">
    <w:pPr>
      <w:spacing w:before="48" w:line="219" w:lineRule="auto"/>
      <w:ind w:left="710"/>
      <w:rPr>
        <w:rFonts w:ascii="宋体" w:hAnsi="宋体" w:eastAsia="宋体" w:cs="宋体"/>
        <w:sz w:val="18"/>
        <w:szCs w:val="18"/>
      </w:rPr>
    </w:pPr>
    <w:r>
      <w:pict>
        <v:shape id="_x0000_s2050" o:spid="_x0000_s2050" style="position:absolute;left:0pt;margin-left:89.85pt;margin-top:55.2pt;height:0.75pt;width:415.65pt;mso-position-horizontal-relative:page;mso-position-vertical-relative:page;z-index:251660288;mso-width-relative:page;mso-height-relative:page;" fillcolor="#000000" filled="t" stroked="f" coordsize="8312,15" o:allowincell="f" path="m0,0l8312,0,8312,14,0,14,0,0xe">
          <v:fill on="t" focussize="0,0"/>
          <v:stroke on="f"/>
          <v:imagedata o:title=""/>
          <o:lock v:ext="edit"/>
        </v:shape>
      </w:pict>
    </w:r>
    <w:r>
      <w:rPr>
        <w:rFonts w:ascii="宋体" w:hAnsi="宋体" w:eastAsia="宋体" w:cs="宋体"/>
        <w:sz w:val="18"/>
        <w:szCs w:val="18"/>
      </w:rPr>
      <w:t>本产品风险评级为【PR2】                    理财非存款、产</w:t>
    </w:r>
    <w:r>
      <w:rPr>
        <w:rFonts w:ascii="宋体" w:hAnsi="宋体" w:eastAsia="宋体" w:cs="宋体"/>
        <w:spacing w:val="-1"/>
        <w:sz w:val="18"/>
        <w:szCs w:val="18"/>
      </w:rPr>
      <w:t>品有风险、投资须谨慎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A103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45508322-91fc-44fe-9d1b-bd19aee334e5</errorID>
      <errorWord>等风险</errorWord>
      <group>L1_Grammar</group>
      <groupName>语法问题</groupName>
      <ability>L2_Grammar</ability>
      <abilityName>语法错误</abilityName>
      <candidateList>
        <item>等</item>
      </candidateList>
      <explain/>
      <paraID>59DE5BC3</paraID>
      <start>136</start>
      <end>137</end>
      <status>modified</status>
      <modifiedWord>等</modifiedWord>
      <trackRevisions>false</trackRevisions>
    </reviewItem>
    <reviewItem>
      <errorID>1255fba6-415e-47cd-a13e-7b470f49c074</errorID>
      <errorWord>仅是</errorWord>
      <group>L1_Word</group>
      <groupName>字词问题</groupName>
      <ability>L2_Typo</ability>
      <abilityName>字词错误</abilityName>
      <candidateList>
        <item>仅</item>
      </candidateList>
      <explain/>
      <paraID>3E963A3C</paraID>
      <start>128</start>
      <end>129</end>
      <status>modified</status>
      <modifiedWord>仅</modifiedWord>
      <trackRevisions>false</trackRevisions>
    </reviewItem>
    <reviewItem>
      <errorID>f7e32727-37d1-4cde-b25a-3e19c688dbce</errorID>
      <errorWord>承诺</errorWord>
      <group>L1_Punc</group>
      <groupName>标点问题</groupName>
      <ability>L2_Punc_CN</ability>
      <abilityName>标点符号问题</abilityName>
      <candidateList>
        <item>，承诺</item>
      </candidateList>
      <explain/>
      <paraID>31F54515</paraID>
      <start>19</start>
      <end>22</end>
      <status>modified</status>
      <modifiedWord>，承诺</modifiedWord>
      <trackRevisions>false</trackRevisions>
    </reviewItem>
    <reviewItem>
      <errorID>f9206c6e-ec51-4b0d-97dd-3780ab02fb4a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C550D73</paraID>
      <start>36</start>
      <end>37</end>
      <status>modified</status>
      <modifiedWord>，</modifiedWord>
      <trackRevisions>false</trackRevisions>
    </reviewItem>
    <reviewItem>
      <errorID>276d6ccb-7c79-42d2-9217-88f0976f1b40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1E2A2966</paraID>
      <start>27</start>
      <end>27</end>
      <status>modified</status>
      <modifiedWord/>
      <trackRevisions>false</trackRevisions>
    </reviewItem>
    <reviewItem>
      <errorID>88cd99f2-bc97-441c-84ed-9e5221e223f7</errorID>
      <errorWord>认</errorWord>
      <group>L1_Word</group>
      <groupName>字词问题</groupName>
      <ability>L2_Typo</ability>
      <abilityName>字词错误</abilityName>
      <candidateList>
        <item>认购</item>
      </candidateList>
      <explain/>
      <paraID>1E2A2966</paraID>
      <start>31</start>
      <end>33</end>
      <status>modified</status>
      <modifiedWord>认购</modifiedWord>
      <trackRevisions>false</trackRevisions>
    </reviewItem>
    <reviewItem>
      <errorID>ffe8e257-c9a0-48d1-bc08-b2109082009a</errorID>
      <errorWord> 申）购</errorWord>
      <group>L1_Word</group>
      <groupName>字词问题</groupName>
      <ability>L2_Typo</ability>
      <abilityName>字词错误</abilityName>
      <candidateList>
        <item>申购）</item>
      </candidateList>
      <explain/>
      <paraID>1E2A2966</paraID>
      <start>34</start>
      <end>37</end>
      <status>modified</status>
      <modifiedWord>申购）</modifiedWord>
      <trackRevisions>false</trackRevisions>
    </reviewItem>
    <reviewItem>
      <errorID>ddf3884b-3187-4766-b42d-56627595129b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1E2A2966</paraID>
      <start>61</start>
      <end>61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7dc1c0-49b4-4d2f-9e5a-161d9b8138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1533</Words>
  <Characters>1547</Characters>
  <TotalTime>0</TotalTime>
  <ScaleCrop>false</ScaleCrop>
  <LinksUpToDate>false</LinksUpToDate>
  <CharactersWithSpaces>1603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2026-10-15T18:00:00Z</dcterms:created>
  <dc:creator>王晓明</dc:creator>
  <cp:lastModifiedBy>阿豆</cp:lastModifiedBy>
  <dcterms:modified xsi:type="dcterms:W3CDTF">2026-10-15T10:42:24Z</dcterms:modified>
  <dc:title>产品说明书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2026-10-15T18:42:06Z</vt:filetime>
  </property>
  <property fmtid="{D5CDD505-2E9C-101B-9397-08002B2CF9AE}" pid="4" name="KSOTemplateDocerSaveRecord">
    <vt:lpwstr>eyJoZGlkIjoiNzI1MzljODBiNDliMzEyMzFlZWNlN2EzYjU0N2YzMWEiLCJ1c2VySWQiOiI1MTU1Nzc2OTkifQ==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1CFAC2BEE2124AAE9239320DEA7B71EA_12</vt:lpwstr>
  </property>
</Properties>
</file>