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8542F8A">
      <w:pPr>
        <w:spacing w:line="300" w:lineRule="exact"/>
        <w:jc w:val="both"/>
        <w:rPr>
          <w:color w:val="000000" w:themeColor="text1"/>
          <w:highlight w:val="none"/>
          <w14:textFill>
            <w14:solidFill>
              <w14:schemeClr w14:val="tx1"/>
            </w14:solidFill>
          </w14:textFill>
        </w:rPr>
      </w:pPr>
      <w:bookmarkStart w:id="1" w:name="_GoBack"/>
      <w:bookmarkEnd w:id="1"/>
      <w:r>
        <w:rPr>
          <w:rFonts w:hint="eastAsia" w:ascii="黑体" w:eastAsia="黑体" w:cs="黑体"/>
          <w:b/>
          <w:bCs/>
          <w:color w:val="000000" w:themeColor="text1"/>
          <w:highlight w:val="none"/>
          <w14:textFill>
            <w14:solidFill>
              <w14:schemeClr w14:val="tx1"/>
            </w14:solidFill>
          </w14:textFill>
        </w:rPr>
        <w:t>理财产品登记编码:</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Z7002625002265】</w:t>
      </w:r>
    </w:p>
    <w:p w14:paraId="14894ADD">
      <w:pPr>
        <w:spacing w:line="300" w:lineRule="exact"/>
        <w:ind w:right="89" w:rightChars="37"/>
        <w:rPr>
          <w:rFonts w:ascii="黑体" w:hAnsi="黑体" w:eastAsia="黑体"/>
          <w:sz w:val="21"/>
          <w:szCs w:val="21"/>
          <w:highlight w:val="none"/>
        </w:rPr>
      </w:pPr>
      <w:r>
        <w:rPr>
          <w:rFonts w:hint="eastAsia" w:ascii="黑体" w:hAnsi="黑体" w:eastAsia="黑体"/>
          <w:sz w:val="21"/>
          <w:szCs w:val="21"/>
          <w:highlight w:val="none"/>
        </w:rPr>
        <w:t>理财产品登记编码为本产品在全国银行业理财信息登记系统取得的理财产品登记编码，投资者可以依据该理财产品登记编码在金融产品查询平台（www.jrcpcx.cn）或中国理财网（</w:t>
      </w:r>
      <w:r>
        <w:rPr>
          <w:rFonts w:ascii="黑体" w:hAnsi="黑体" w:eastAsia="黑体"/>
          <w:sz w:val="21"/>
          <w:szCs w:val="21"/>
          <w:highlight w:val="none"/>
        </w:rPr>
        <w:t>www.chinawealth.com.cn）上查询本产品相关信息。</w:t>
      </w:r>
    </w:p>
    <w:p w14:paraId="11882F74">
      <w:pPr>
        <w:spacing w:line="300" w:lineRule="exact"/>
        <w:ind w:right="89" w:rightChars="37"/>
        <w:rPr>
          <w:rFonts w:ascii="黑体" w:hAnsi="黑体" w:eastAsia="黑体"/>
          <w:sz w:val="21"/>
          <w:szCs w:val="21"/>
          <w:highlight w:val="none"/>
        </w:rPr>
      </w:pPr>
    </w:p>
    <w:p w14:paraId="60039533">
      <w:pPr>
        <w:spacing w:line="300" w:lineRule="exact"/>
        <w:ind w:right="89" w:rightChars="37"/>
        <w:rPr>
          <w:rFonts w:ascii="黑体" w:hAnsi="黑体" w:eastAsia="黑体"/>
          <w:b/>
          <w:sz w:val="28"/>
          <w:szCs w:val="28"/>
          <w:highlight w:val="none"/>
        </w:rPr>
      </w:pPr>
      <w:r>
        <w:rPr>
          <w:rFonts w:hint="eastAsia" w:ascii="黑体" w:hAnsi="黑体" w:eastAsia="黑体"/>
          <w:b/>
          <w:sz w:val="28"/>
          <w:szCs w:val="28"/>
          <w:highlight w:val="none"/>
        </w:rPr>
        <w:t>郑重提示：理财产品登记编码是全国银行业理财信息登记系统赋予所有银行（及银行理财子公司）理财产品的标识码，每个登记编码具有唯一性，是您判断理财产品是否合法合规、是否真实可靠的重要依据。如您购买的理财产品未公示登记编码，或通过其公示的登记编码无法在金融产品查询平台（www.jrcpcx.cn）或中国理财网（</w:t>
      </w:r>
      <w:r>
        <w:rPr>
          <w:rFonts w:ascii="黑体" w:hAnsi="黑体" w:eastAsia="黑体"/>
          <w:b/>
          <w:sz w:val="28"/>
          <w:szCs w:val="28"/>
          <w:highlight w:val="none"/>
        </w:rPr>
        <w:t>www.chinawealth.com.cn）上查询到产品相关信息，则该产品非信银理财发行产品。</w:t>
      </w:r>
    </w:p>
    <w:p w14:paraId="1EB3AD0B">
      <w:pPr>
        <w:spacing w:line="300" w:lineRule="exact"/>
        <w:ind w:right="-792" w:rightChars="-330"/>
        <w:rPr>
          <w:color w:val="000000" w:themeColor="text1"/>
          <w:highlight w:val="none"/>
          <w14:textFill>
            <w14:solidFill>
              <w14:schemeClr w14:val="tx1"/>
            </w14:solidFill>
          </w14:textFill>
        </w:rPr>
      </w:pPr>
    </w:p>
    <w:p w14:paraId="45560DA2">
      <w:pPr>
        <w:spacing w:line="300" w:lineRule="exact"/>
        <w:ind w:right="-792" w:rightChars="-330"/>
        <w:jc w:val="center"/>
        <w:rPr>
          <w:rFonts w:ascii="黑体" w:eastAsia="黑体" w:cs="黑体"/>
          <w:b/>
          <w:bCs/>
          <w:color w:val="000000" w:themeColor="text1"/>
          <w:sz w:val="28"/>
          <w:szCs w:val="28"/>
          <w:highlight w:val="none"/>
          <w14:textFill>
            <w14:solidFill>
              <w14:schemeClr w14:val="tx1"/>
            </w14:solidFill>
          </w14:textFill>
        </w:rPr>
      </w:pPr>
      <w:r>
        <w:rPr>
          <w:rFonts w:hint="eastAsia" w:ascii="黑体" w:eastAsia="黑体" w:cs="黑体"/>
          <w:b/>
          <w:bCs/>
          <w:color w:val="000000" w:themeColor="text1"/>
          <w:sz w:val="28"/>
          <w:szCs w:val="28"/>
          <w:highlight w:val="none"/>
          <w14:textFill>
            <w14:solidFill>
              <w14:schemeClr w14:val="tx1"/>
            </w14:solidFill>
          </w14:textFill>
        </w:rPr>
        <w:t>信银理财理财产品说明书</w:t>
      </w:r>
    </w:p>
    <w:p w14:paraId="4523801B">
      <w:pPr>
        <w:widowControl w:val="0"/>
        <w:spacing w:line="300" w:lineRule="exact"/>
        <w:ind w:right="-792" w:rightChars="-330"/>
        <w:jc w:val="center"/>
        <w:rPr>
          <w:rFonts w:ascii="黑体" w:hAnsi="Times New Roman" w:eastAsia="黑体" w:cs="黑体"/>
          <w:b/>
          <w:bCs/>
          <w:color w:val="000000" w:themeColor="text1"/>
          <w:sz w:val="28"/>
          <w:szCs w:val="28"/>
          <w:highlight w:val="none"/>
          <w14:textFill>
            <w14:solidFill>
              <w14:schemeClr w14:val="tx1"/>
            </w14:solidFill>
          </w14:textFill>
        </w:rPr>
      </w:pPr>
      <w:r>
        <w:rPr>
          <w:rFonts w:hint="eastAsia" w:ascii="黑体" w:hAnsi="Calibri" w:eastAsia="黑体" w:cs="黑体"/>
          <w:b/>
          <w:bCs/>
          <w:color w:val="000000" w:themeColor="text1"/>
          <w:sz w:val="28"/>
          <w:szCs w:val="28"/>
          <w:highlight w:val="none"/>
          <w14:textFill>
            <w14:solidFill>
              <w14:schemeClr w14:val="tx1"/>
            </w14:solidFill>
          </w14:textFill>
        </w:rPr>
        <w:t>产品</w:t>
      </w:r>
      <w:r>
        <w:rPr>
          <w:rFonts w:hint="eastAsia" w:ascii="黑体" w:hAnsi="Times New Roman" w:eastAsia="黑体" w:cs="黑体"/>
          <w:b/>
          <w:bCs/>
          <w:color w:val="000000" w:themeColor="text1"/>
          <w:sz w:val="28"/>
          <w:szCs w:val="28"/>
          <w:highlight w:val="none"/>
          <w14:textFill>
            <w14:solidFill>
              <w14:schemeClr w14:val="tx1"/>
            </w14:solidFill>
          </w14:textFill>
        </w:rPr>
        <w:t>名称：</w:t>
      </w:r>
      <w:r>
        <w:rPr>
          <w:rFonts w:hint="eastAsia" w:ascii="黑体" w:hAnsi="Calibri" w:eastAsia="黑体" w:cs="黑体"/>
          <w:b/>
          <w:bCs/>
          <w:color w:val="000000" w:themeColor="text1"/>
          <w:sz w:val="28"/>
          <w:szCs w:val="28"/>
          <w:highlight w:val="none"/>
          <w14:textFill>
            <w14:solidFill>
              <w14:schemeClr w14:val="tx1"/>
            </w14:solidFill>
          </w14:textFill>
        </w:rPr>
        <w:t>【</w:t>
      </w:r>
      <w:r>
        <w:rPr>
          <w:rFonts w:ascii="黑体" w:hAnsi="Calibri" w:eastAsia="黑体" w:cs="黑体"/>
          <w:b/>
          <w:bCs/>
          <w:color w:val="000000" w:themeColor="text1"/>
          <w:sz w:val="28"/>
          <w:szCs w:val="28"/>
          <w:highlight w:val="none"/>
          <w14:textFill>
            <w14:solidFill>
              <w14:schemeClr w14:val="tx1"/>
            </w14:solidFill>
          </w14:textFill>
        </w:rPr>
        <w:t>信银理财安盈象固收稳利日开170号理财产品</w:t>
      </w:r>
      <w:r>
        <w:rPr>
          <w:rFonts w:hint="eastAsia" w:ascii="黑体" w:hAnsi="Calibri" w:eastAsia="黑体" w:cs="黑体"/>
          <w:b/>
          <w:bCs/>
          <w:color w:val="000000" w:themeColor="text1"/>
          <w:sz w:val="28"/>
          <w:szCs w:val="28"/>
          <w:highlight w:val="none"/>
          <w14:textFill>
            <w14:solidFill>
              <w14:schemeClr w14:val="tx1"/>
            </w14:solidFill>
          </w14:textFill>
        </w:rPr>
        <w:t>】</w:t>
      </w:r>
      <w:r>
        <w:rPr>
          <w:rFonts w:ascii="黑体" w:hAnsi="Times New Roman" w:eastAsia="黑体" w:cs="黑体"/>
          <w:b/>
          <w:bCs/>
          <w:color w:val="000000" w:themeColor="text1"/>
          <w:sz w:val="28"/>
          <w:szCs w:val="28"/>
          <w:highlight w:val="none"/>
          <w14:textFill>
            <w14:solidFill>
              <w14:schemeClr w14:val="tx1"/>
            </w14:solidFill>
          </w14:textFill>
        </w:rPr>
        <w:t xml:space="preserve">  </w:t>
      </w:r>
    </w:p>
    <w:p w14:paraId="7FF57D92">
      <w:pPr>
        <w:widowControl w:val="0"/>
        <w:spacing w:line="300" w:lineRule="exact"/>
        <w:ind w:right="-792" w:rightChars="-330"/>
        <w:jc w:val="center"/>
        <w:rPr>
          <w:rFonts w:hint="eastAsia" w:ascii="黑体" w:hAnsi="Times New Roman" w:eastAsia="黑体" w:cs="黑体"/>
          <w:b/>
          <w:bCs/>
          <w:color w:val="000000" w:themeColor="text1"/>
          <w:sz w:val="28"/>
          <w:szCs w:val="28"/>
          <w:highlight w:val="none"/>
          <w14:textFill>
            <w14:solidFill>
              <w14:schemeClr w14:val="tx1"/>
            </w14:solidFill>
          </w14:textFill>
        </w:rPr>
      </w:pPr>
      <w:r>
        <w:rPr>
          <w:rFonts w:hint="eastAsia" w:ascii="黑体" w:hAnsi="Times New Roman" w:eastAsia="黑体" w:cs="黑体"/>
          <w:b/>
          <w:bCs/>
          <w:color w:val="000000" w:themeColor="text1"/>
          <w:sz w:val="28"/>
          <w:szCs w:val="28"/>
          <w:highlight w:val="none"/>
          <w14:textFill>
            <w14:solidFill>
              <w14:schemeClr w14:val="tx1"/>
            </w14:solidFill>
          </w14:textFill>
        </w:rPr>
        <w:t>产品代码</w:t>
      </w:r>
      <w:r>
        <w:rPr>
          <w:rFonts w:ascii="黑体" w:hAnsi="Times New Roman" w:eastAsia="黑体" w:cs="黑体"/>
          <w:b/>
          <w:bCs/>
          <w:color w:val="000000" w:themeColor="text1"/>
          <w:sz w:val="28"/>
          <w:szCs w:val="28"/>
          <w:highlight w:val="none"/>
          <w14:textFill>
            <w14:solidFill>
              <w14:schemeClr w14:val="tx1"/>
            </w14:solidFill>
          </w14:textFill>
        </w:rPr>
        <w:t>：【AF251526】</w:t>
      </w:r>
    </w:p>
    <w:p w14:paraId="28D8F3D7">
      <w:pPr>
        <w:widowControl w:val="0"/>
        <w:spacing w:line="300" w:lineRule="exact"/>
        <w:ind w:right="-792" w:rightChars="-330"/>
        <w:jc w:val="center"/>
        <w:rPr>
          <w:rFonts w:hint="eastAsia" w:ascii="黑体" w:hAnsi="Times New Roman" w:eastAsia="黑体" w:cs="黑体"/>
          <w:b/>
          <w:bCs/>
          <w:color w:val="000000" w:themeColor="text1"/>
          <w:sz w:val="20"/>
          <w:szCs w:val="20"/>
          <w:highlight w:val="none"/>
          <w14:textFill>
            <w14:solidFill>
              <w14:schemeClr w14:val="tx1"/>
            </w14:solidFill>
          </w14:textFill>
        </w:rPr>
      </w:pPr>
    </w:p>
    <w:tbl>
      <w:tblPr>
        <w:tblStyle w:val="8"/>
        <w:tblW w:w="9425" w:type="dxa"/>
        <w:tblInd w:w="-514" w:type="dxa"/>
        <w:tblLayout w:type="autofit"/>
        <w:tblCellMar>
          <w:top w:w="0" w:type="dxa"/>
          <w:left w:w="108" w:type="dxa"/>
          <w:bottom w:w="0" w:type="dxa"/>
          <w:right w:w="108" w:type="dxa"/>
        </w:tblCellMar>
      </w:tblPr>
      <w:tblGrid>
        <w:gridCol w:w="2453"/>
        <w:gridCol w:w="6972"/>
      </w:tblGrid>
      <w:tr w14:paraId="14677495">
        <w:trPr>
          <w:trHeight w:val="538" w:hRule="atLeast"/>
        </w:trPr>
        <w:tc>
          <w:tcPr>
            <w:tcW w:w="9425" w:type="dxa"/>
            <w:gridSpan w:val="2"/>
            <w:tcBorders>
              <w:top w:val="single" w:color="000000" w:sz="8" w:space="0"/>
              <w:left w:val="single" w:color="000000" w:sz="8" w:space="0"/>
              <w:bottom w:val="single" w:color="000000" w:sz="4" w:space="0"/>
              <w:right w:val="single" w:color="000000" w:sz="8" w:space="0"/>
            </w:tcBorders>
            <w:vAlign w:val="center"/>
          </w:tcPr>
          <w:p w14:paraId="10A50D56">
            <w:pPr>
              <w:spacing w:line="300" w:lineRule="exact"/>
              <w:ind w:right="89" w:rightChars="37"/>
              <w:jc w:val="center"/>
              <w:rPr>
                <w:rFonts w:hint="eastAsia" w:ascii="方正小标宋简体" w:hAnsi="方正小标宋简体" w:eastAsia="方正小标宋简体" w:cs="方正小标宋简体"/>
                <w:color w:val="000000"/>
                <w:sz w:val="40"/>
                <w:szCs w:val="40"/>
                <w:highlight w:val="none"/>
              </w:rPr>
            </w:pPr>
            <w:r>
              <w:rPr>
                <w:rFonts w:hint="eastAsia" w:ascii="黑体" w:hAnsi="黑体" w:eastAsia="黑体"/>
                <w:b/>
                <w:sz w:val="28"/>
                <w:szCs w:val="28"/>
                <w:highlight w:val="none"/>
              </w:rPr>
              <w:t>理财产品说明书关键要素</w:t>
            </w:r>
          </w:p>
        </w:tc>
      </w:tr>
      <w:tr w14:paraId="024133EC">
        <w:tblPrEx>
          <w:tblCellMar>
            <w:top w:w="0" w:type="dxa"/>
            <w:left w:w="108" w:type="dxa"/>
            <w:bottom w:w="0" w:type="dxa"/>
            <w:right w:w="108" w:type="dxa"/>
          </w:tblCellMar>
        </w:tblPrEx>
        <w:trPr>
          <w:trHeight w:val="747" w:hRule="atLeast"/>
        </w:trPr>
        <w:tc>
          <w:tcPr>
            <w:tcW w:w="9425" w:type="dxa"/>
            <w:gridSpan w:val="2"/>
            <w:tcBorders>
              <w:top w:val="single" w:color="000000" w:sz="4" w:space="0"/>
              <w:left w:val="single" w:color="000000" w:sz="8" w:space="0"/>
              <w:bottom w:val="nil"/>
              <w:right w:val="single" w:color="000000" w:sz="8" w:space="0"/>
            </w:tcBorders>
            <w:vAlign w:val="center"/>
          </w:tcPr>
          <w:p w14:paraId="41F35A44">
            <w:pPr>
              <w:ind w:firstLine="400" w:firstLineChars="200"/>
              <w:jc w:val="center"/>
              <w:rPr>
                <w:rFonts w:hint="eastAsia" w:ascii="仿宋_GB2312" w:hAnsi="等线" w:eastAsia="仿宋_GB2312" w:cs="仿宋_GB2312"/>
                <w:color w:val="000000"/>
                <w:sz w:val="24"/>
                <w:highlight w:val="none"/>
              </w:rPr>
            </w:pPr>
            <w:r>
              <w:rPr>
                <w:rFonts w:hint="eastAsia" w:ascii="楷体_GB2312" w:hAnsi="Arial" w:eastAsia="楷体_GB2312" w:cs="楷体_GB2312"/>
                <w:color w:val="000000" w:themeColor="text1"/>
                <w:sz w:val="20"/>
                <w:szCs w:val="20"/>
                <w:highlight w:val="none"/>
                <w14:textFill>
                  <w14:solidFill>
                    <w14:schemeClr w14:val="tx1"/>
                  </w14:solidFill>
                </w14:textFill>
              </w:rPr>
              <w:t>本表格提供本理财产品的重要信息，是理财产品说明书的一部分。</w:t>
            </w:r>
            <w:r>
              <w:rPr>
                <w:rFonts w:hint="eastAsia" w:ascii="楷体_GB2312" w:hAnsi="Arial" w:eastAsia="楷体_GB2312" w:cs="楷体_GB2312"/>
                <w:color w:val="000000" w:themeColor="text1"/>
                <w:sz w:val="20"/>
                <w:szCs w:val="20"/>
                <w:highlight w:val="none"/>
                <w14:textFill>
                  <w14:solidFill>
                    <w14:schemeClr w14:val="tx1"/>
                  </w14:solidFill>
                </w14:textFill>
              </w:rPr>
              <w:br w:type="textWrapping"/>
            </w:r>
            <w:r>
              <w:rPr>
                <w:rFonts w:hint="eastAsia" w:ascii="楷体_GB2312" w:hAnsi="Arial" w:eastAsia="楷体_GB2312" w:cs="楷体_GB2312"/>
                <w:color w:val="000000" w:themeColor="text1"/>
                <w:sz w:val="20"/>
                <w:szCs w:val="20"/>
                <w:highlight w:val="none"/>
                <w14:textFill>
                  <w14:solidFill>
                    <w14:schemeClr w14:val="tx1"/>
                  </w14:solidFill>
                </w14:textFill>
              </w:rPr>
              <w:t>作出投资决定前，请阅读完整的理财产品说明书等销售文件。</w:t>
            </w:r>
          </w:p>
        </w:tc>
      </w:tr>
      <w:tr w14:paraId="61F9361B">
        <w:tblPrEx>
          <w:tblCellMar>
            <w:top w:w="0" w:type="dxa"/>
            <w:left w:w="108" w:type="dxa"/>
            <w:bottom w:w="0" w:type="dxa"/>
            <w:right w:w="108" w:type="dxa"/>
          </w:tblCellMar>
        </w:tblPrEx>
        <w:trPr>
          <w:trHeight w:val="270" w:hRule="atLeast"/>
        </w:trPr>
        <w:tc>
          <w:tcPr>
            <w:tcW w:w="9425" w:type="dxa"/>
            <w:gridSpan w:val="2"/>
            <w:tcBorders>
              <w:top w:val="single" w:color="000000" w:sz="4" w:space="0"/>
              <w:left w:val="single" w:color="000000" w:sz="8" w:space="0"/>
              <w:bottom w:val="nil"/>
              <w:right w:val="single" w:color="000000" w:sz="8" w:space="0"/>
            </w:tcBorders>
            <w:vAlign w:val="center"/>
          </w:tcPr>
          <w:p w14:paraId="74BE1F12">
            <w:pPr>
              <w:widowControl/>
              <w:spacing w:line="400" w:lineRule="exact"/>
              <w:jc w:val="center"/>
              <w:textAlignment w:val="center"/>
              <w:rPr>
                <w:rFonts w:hint="eastAsia" w:ascii="楷体_GB2312" w:hAnsi="等线" w:eastAsia="楷体_GB2312" w:cs="楷体_GB2312"/>
                <w:b/>
                <w:bCs/>
                <w:color w:val="000000"/>
                <w:sz w:val="24"/>
                <w:highlight w:val="none"/>
              </w:rPr>
            </w:pPr>
            <w:r>
              <w:rPr>
                <w:rFonts w:hint="eastAsia" w:ascii="楷体_GB2312" w:hAnsi="等线" w:eastAsia="楷体_GB2312" w:cs="楷体_GB2312"/>
                <w:b/>
                <w:bCs/>
                <w:color w:val="000000"/>
                <w:kern w:val="0"/>
                <w:sz w:val="24"/>
                <w:highlight w:val="none"/>
                <w:lang w:bidi="ar"/>
              </w:rPr>
              <w:t>（一）理财产品基本信息</w:t>
            </w:r>
          </w:p>
        </w:tc>
      </w:tr>
      <w:tr w14:paraId="4FEC56DB">
        <w:tblPrEx>
          <w:tblCellMar>
            <w:top w:w="0" w:type="dxa"/>
            <w:left w:w="108" w:type="dxa"/>
            <w:bottom w:w="0" w:type="dxa"/>
            <w:right w:w="108" w:type="dxa"/>
          </w:tblCellMar>
        </w:tblPrEx>
        <w:trPr>
          <w:trHeight w:val="810" w:hRule="atLeast"/>
        </w:trPr>
        <w:tc>
          <w:tcPr>
            <w:tcW w:w="2453" w:type="dxa"/>
            <w:tcBorders>
              <w:top w:val="single" w:color="000000" w:sz="4" w:space="0"/>
              <w:left w:val="single" w:color="000000" w:sz="8" w:space="0"/>
              <w:bottom w:val="single" w:color="auto" w:sz="4" w:space="0"/>
              <w:right w:val="single" w:color="auto" w:sz="4" w:space="0"/>
            </w:tcBorders>
            <w:vAlign w:val="center"/>
          </w:tcPr>
          <w:p w14:paraId="31A652BB">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产品登记编码</w:t>
            </w:r>
          </w:p>
        </w:tc>
        <w:tc>
          <w:tcPr>
            <w:tcW w:w="6972" w:type="dxa"/>
            <w:tcBorders>
              <w:top w:val="single" w:color="000000" w:sz="4" w:space="0"/>
              <w:left w:val="single" w:color="auto" w:sz="4" w:space="0"/>
              <w:bottom w:val="single" w:color="auto" w:sz="4" w:space="0"/>
              <w:right w:val="single" w:color="000000" w:sz="8" w:space="0"/>
            </w:tcBorders>
            <w:vAlign w:val="center"/>
          </w:tcPr>
          <w:p w14:paraId="044487A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w:t>
            </w:r>
            <w:r>
              <w:rPr>
                <w:rFonts w:ascii="楷体_GB2312" w:eastAsia="楷体_GB2312"/>
                <w:color w:val="000000" w:themeColor="text1"/>
                <w:sz w:val="20"/>
                <w:szCs w:val="20"/>
                <w:highlight w:val="none"/>
                <w14:textFill>
                  <w14:solidFill>
                    <w14:schemeClr w14:val="tx1"/>
                  </w14:solidFill>
                </w14:textFill>
              </w:rPr>
              <w:t>Z7002625002265】</w:t>
            </w:r>
          </w:p>
          <w:p w14:paraId="591C8E1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（重要提示：可依据该登记编码在中国理财网www.chinawealth.com.cn查询产品信息）</w:t>
            </w:r>
          </w:p>
        </w:tc>
      </w:tr>
      <w:tr w14:paraId="5C32E1ED">
        <w:tblPrEx>
          <w:tblCellMar>
            <w:top w:w="0" w:type="dxa"/>
            <w:left w:w="108" w:type="dxa"/>
            <w:bottom w:w="0" w:type="dxa"/>
            <w:right w:w="108" w:type="dxa"/>
          </w:tblCellMar>
        </w:tblPrEx>
        <w:trPr>
          <w:trHeight w:val="540" w:hRule="atLeast"/>
        </w:trPr>
        <w:tc>
          <w:tcPr>
            <w:tcW w:w="2453" w:type="dxa"/>
            <w:tcBorders>
              <w:top w:val="single" w:color="auto" w:sz="4" w:space="0"/>
              <w:left w:val="single" w:color="000000" w:sz="8" w:space="0"/>
              <w:bottom w:val="single" w:color="auto" w:sz="4" w:space="0"/>
              <w:right w:val="single" w:color="auto" w:sz="4" w:space="0"/>
            </w:tcBorders>
            <w:vAlign w:val="center"/>
          </w:tcPr>
          <w:p w14:paraId="01BA961A">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产品名称</w:t>
            </w:r>
          </w:p>
        </w:tc>
        <w:tc>
          <w:tcPr>
            <w:tcW w:w="6972" w:type="dxa"/>
            <w:tcBorders>
              <w:top w:val="single" w:color="auto" w:sz="4" w:space="0"/>
              <w:left w:val="single" w:color="auto" w:sz="4" w:space="0"/>
              <w:bottom w:val="single" w:color="auto" w:sz="4" w:space="0"/>
              <w:right w:val="single" w:color="000000" w:sz="8" w:space="0"/>
            </w:tcBorders>
            <w:vAlign w:val="center"/>
          </w:tcPr>
          <w:p w14:paraId="69D593C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【信银理财安盈象固收稳利日开170号理财产品】</w:t>
            </w:r>
          </w:p>
        </w:tc>
      </w:tr>
      <w:tr w14:paraId="79BD17EE">
        <w:tblPrEx>
          <w:tblCellMar>
            <w:top w:w="0" w:type="dxa"/>
            <w:left w:w="108" w:type="dxa"/>
            <w:bottom w:w="0" w:type="dxa"/>
            <w:right w:w="108" w:type="dxa"/>
          </w:tblCellMar>
        </w:tblPrEx>
        <w:trPr>
          <w:trHeight w:val="540" w:hRule="atLeast"/>
        </w:trPr>
        <w:tc>
          <w:tcPr>
            <w:tcW w:w="2453" w:type="dxa"/>
            <w:tcBorders>
              <w:top w:val="single" w:color="auto" w:sz="4" w:space="0"/>
              <w:left w:val="single" w:color="000000" w:sz="8" w:space="0"/>
              <w:bottom w:val="single" w:color="auto" w:sz="4" w:space="0"/>
              <w:right w:val="single" w:color="auto" w:sz="4" w:space="0"/>
            </w:tcBorders>
            <w:vAlign w:val="center"/>
          </w:tcPr>
          <w:p w14:paraId="7EC6728B">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份额代码</w:t>
            </w:r>
          </w:p>
        </w:tc>
        <w:tc>
          <w:tcPr>
            <w:tcW w:w="6972" w:type="dxa"/>
            <w:tcBorders>
              <w:top w:val="single" w:color="auto" w:sz="4" w:space="0"/>
              <w:left w:val="single" w:color="auto" w:sz="4" w:space="0"/>
              <w:bottom w:val="single" w:color="auto" w:sz="4" w:space="0"/>
              <w:right w:val="single" w:color="000000" w:sz="8" w:space="0"/>
            </w:tcBorders>
            <w:vAlign w:val="center"/>
          </w:tcPr>
          <w:p w14:paraId="49F1DA47">
            <w:pPr>
              <w:keepNext w:val="0"/>
              <w:keepLines w:val="0"/>
              <w:pageBreakBefore w:val="0"/>
              <w:widowControl/>
              <w:kinsoku/>
              <w:wordWrap/>
              <w:overflowPunct/>
              <w:topLinePunct w:val="0"/>
              <w:autoSpaceDE/>
              <w:autoSpaceDN/>
              <w:bidi w:val="0"/>
              <w:adjustRightInd/>
              <w:snapToGrid/>
              <w:spacing w:line="300" w:lineRule="atLeast"/>
              <w:ind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【B】类份额：份额代码【AF251526B】</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【G】类份额：份额代码【AF251526G】</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【H】类份额：份额代码【AF251526H】</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【M】类份额：份额代码【AF251526M】</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【N】类份额：份额代码【AF251526N】</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【S】类份额：份额代码【AF251526S】</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【Y】类份额：份额代码【AF251526Y】</w:t>
            </w:r>
          </w:p>
          <w:p w14:paraId="10468AA0">
            <w:pPr>
              <w:keepNext w:val="0"/>
              <w:keepLines w:val="0"/>
              <w:pageBreakBefore w:val="0"/>
              <w:widowControl/>
              <w:kinsoku/>
              <w:wordWrap/>
              <w:overflowPunct/>
              <w:topLinePunct w:val="0"/>
              <w:autoSpaceDE/>
              <w:autoSpaceDN/>
              <w:bidi w:val="0"/>
              <w:adjustRightInd/>
              <w:snapToGrid/>
              <w:spacing w:line="300" w:lineRule="atLeas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p>
          <w:p w14:paraId="5DAE8EC0">
            <w:pPr>
              <w:keepNext w:val="0"/>
              <w:keepLines w:val="0"/>
              <w:pageBreakBefore w:val="0"/>
              <w:widowControl/>
              <w:kinsoku/>
              <w:wordWrap/>
              <w:overflowPunct/>
              <w:topLinePunct w:val="0"/>
              <w:autoSpaceDE/>
              <w:autoSpaceDN/>
              <w:bidi w:val="0"/>
              <w:adjustRightInd/>
              <w:snapToGrid/>
              <w:spacing w:line="300" w:lineRule="atLeas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后续理财产品份额类型如有新增、减少和变更，信银理财将按照本说明书约定的方式告知投资者。</w:t>
            </w:r>
          </w:p>
        </w:tc>
      </w:tr>
      <w:tr w14:paraId="007103AD">
        <w:tblPrEx>
          <w:tblCellMar>
            <w:top w:w="0" w:type="dxa"/>
            <w:left w:w="108" w:type="dxa"/>
            <w:bottom w:w="0" w:type="dxa"/>
            <w:right w:w="108" w:type="dxa"/>
          </w:tblCellMar>
        </w:tblPrEx>
        <w:trPr>
          <w:trHeight w:val="540" w:hRule="atLeast"/>
        </w:trPr>
        <w:tc>
          <w:tcPr>
            <w:tcW w:w="2453" w:type="dxa"/>
            <w:tcBorders>
              <w:top w:val="single" w:color="auto" w:sz="4" w:space="0"/>
              <w:left w:val="single" w:color="000000" w:sz="8" w:space="0"/>
              <w:bottom w:val="single" w:color="auto" w:sz="4" w:space="0"/>
              <w:right w:val="single" w:color="auto" w:sz="4" w:space="0"/>
            </w:tcBorders>
            <w:vAlign w:val="center"/>
          </w:tcPr>
          <w:p w14:paraId="6D15E17E">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发行机构名称</w:t>
            </w:r>
          </w:p>
        </w:tc>
        <w:tc>
          <w:tcPr>
            <w:tcW w:w="6972" w:type="dxa"/>
            <w:tcBorders>
              <w:top w:val="single" w:color="auto" w:sz="4" w:space="0"/>
              <w:left w:val="single" w:color="auto" w:sz="4" w:space="0"/>
              <w:bottom w:val="single" w:color="auto" w:sz="4" w:space="0"/>
              <w:right w:val="single" w:color="000000" w:sz="8" w:space="0"/>
            </w:tcBorders>
            <w:vAlign w:val="center"/>
          </w:tcPr>
          <w:p w14:paraId="43FB88A5">
            <w:pPr>
              <w:keepNext w:val="0"/>
              <w:keepLines w:val="0"/>
              <w:pageBreakBefore w:val="0"/>
              <w:widowControl/>
              <w:kinsoku/>
              <w:wordWrap/>
              <w:overflowPunct/>
              <w:topLinePunct w:val="0"/>
              <w:autoSpaceDE/>
              <w:autoSpaceDN/>
              <w:bidi w:val="0"/>
              <w:adjustRightInd/>
              <w:snapToGrid/>
              <w:spacing w:line="300" w:lineRule="atLeast"/>
              <w:ind w:left="-2" w:right="31"/>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企业名称：【信银理财有限责任公司】</w:t>
            </w:r>
          </w:p>
          <w:p w14:paraId="5A3AF4B0">
            <w:pPr>
              <w:keepNext w:val="0"/>
              <w:keepLines w:val="0"/>
              <w:pageBreakBefore w:val="0"/>
              <w:widowControl/>
              <w:kinsoku/>
              <w:wordWrap/>
              <w:overflowPunct/>
              <w:topLinePunct w:val="0"/>
              <w:autoSpaceDE/>
              <w:autoSpaceDN/>
              <w:bidi w:val="0"/>
              <w:adjustRightInd/>
              <w:snapToGrid/>
              <w:spacing w:line="300" w:lineRule="atLeast"/>
              <w:ind w:left="-2" w:right="31"/>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住所：【上海市黄浦区中山东二路600号1幢35层、36层】</w:t>
            </w:r>
          </w:p>
          <w:p w14:paraId="30C6C884">
            <w:pPr>
              <w:keepNext w:val="0"/>
              <w:keepLines w:val="0"/>
              <w:pageBreakBefore w:val="0"/>
              <w:widowControl/>
              <w:kinsoku/>
              <w:wordWrap/>
              <w:overflowPunct/>
              <w:topLinePunct w:val="0"/>
              <w:autoSpaceDE/>
              <w:autoSpaceDN/>
              <w:bidi w:val="0"/>
              <w:adjustRightInd/>
              <w:snapToGrid/>
              <w:spacing w:line="300" w:lineRule="atLeast"/>
              <w:jc w:val="both"/>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客户服务热线：【950950】</w:t>
            </w:r>
          </w:p>
        </w:tc>
      </w:tr>
      <w:tr w14:paraId="5C86F9C0">
        <w:tblPrEx>
          <w:tblCellMar>
            <w:top w:w="0" w:type="dxa"/>
            <w:left w:w="108" w:type="dxa"/>
            <w:bottom w:w="0" w:type="dxa"/>
            <w:right w:w="108" w:type="dxa"/>
          </w:tblCellMar>
        </w:tblPrEx>
        <w:trPr>
          <w:trHeight w:val="540" w:hRule="atLeast"/>
        </w:trPr>
        <w:tc>
          <w:tcPr>
            <w:tcW w:w="2453" w:type="dxa"/>
            <w:tcBorders>
              <w:top w:val="single" w:color="auto" w:sz="4" w:space="0"/>
              <w:left w:val="single" w:color="000000" w:sz="8" w:space="0"/>
              <w:bottom w:val="single" w:color="auto" w:sz="4" w:space="0"/>
              <w:right w:val="single" w:color="auto" w:sz="4" w:space="0"/>
            </w:tcBorders>
            <w:vAlign w:val="center"/>
          </w:tcPr>
          <w:p w14:paraId="473CFACA">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销售机构名称</w:t>
            </w:r>
          </w:p>
        </w:tc>
        <w:tc>
          <w:tcPr>
            <w:tcW w:w="6972" w:type="dxa"/>
            <w:tcBorders>
              <w:top w:val="single" w:color="auto" w:sz="4" w:space="0"/>
              <w:left w:val="single" w:color="auto" w:sz="4" w:space="0"/>
              <w:bottom w:val="single" w:color="auto" w:sz="4" w:space="0"/>
              <w:right w:val="single" w:color="000000" w:sz="8" w:space="0"/>
            </w:tcBorders>
            <w:vAlign w:val="center"/>
          </w:tcPr>
          <w:p w14:paraId="76BE0D0B">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eastAsia"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【B】类份额（份额代码【AF251526B】）合作销售机构信息：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1.企业名称：【南京银行股份有限公司】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住所：【南京市建邺区江山大街88号】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客户服务热线：【025-95302】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2</w:t>
            </w:r>
            <w:r>
              <w:rPr>
                <w:rFonts w:hint="eastAsia" w:ascii="楷体_GB2312" w:eastAsia="楷体_GB2312" w:cs="楷体_GB2312"/>
                <w:color w:val="000000" w:themeColor="text1"/>
                <w:sz w:val="20"/>
                <w:szCs w:val="20"/>
                <w:highlight w:val="none"/>
                <w14:textFill>
                  <w14:solidFill>
                    <w14:schemeClr w14:val="tx1"/>
                  </w14:solidFill>
                </w14:textFill>
              </w:rPr>
              <w:t>.企业名称：【江苏扬州农村商业银行股份有限公司】</w:t>
            </w:r>
          </w:p>
          <w:p w14:paraId="102A48D6">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eastAsia"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住所：【江苏省扬州市同泰路107号】</w:t>
            </w:r>
          </w:p>
          <w:p w14:paraId="62E05B4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eastAsia"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客户服务热线：【96008】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3.企业名称：【江苏涟水农村商业银行股份有限公司】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住所：【淮安市涟水县涟城镇涟州路５号】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客户服务热线：【0517-96008】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4.企业名称：【江苏江南农村商业银行股份有限公司】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住所：【江苏省常州市武进区延政中路9号】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客户服务热线：【0519-96005】</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5.企业名称：【福建海峡银行股份有限公司】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住所：【福建省福州市台江区江滨中大道358号海峡银行大厦】</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客户服务热线：【4008939999】</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6.企业名称：【信银理财有限责任公司】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住所：【上海市黄浦区中山东二路600号1幢35层、36层】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客户服务热线：【950950】</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7.企业名称：【中原银行股份有限公司】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住所：【河南省郑州市郑东新区金融岛外环路9号】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客户服务热线：【95186】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8.企业名称：【江苏银行股份有限公司】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住所：【江苏省南京市中华路26号】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客户服务热线：【95319】</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9.企业名称：【北京银行股份有限公司】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住所：【北京市西城区金融大街甲17号首层】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客户服务热线：【95526】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10.企业名称：【江苏苏州农村商业银行股份有限公司】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住所：【江苏省苏州市吴江区中山南路1777号】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客户服务热线：【956111】</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 xml:space="preserve"> </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【G】类份额（份额代码【AF251526G】）合作销售机构信息：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1.企业名称：【江苏溧水农村商业银行股份有限公司】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住所：【南京市溧水区永阳街道中山路22号】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客户服务热线：【025-96008】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2.企业名称：【江苏高淳农村商业银行股份有限公司】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住所：【江苏省南京市高淳区宝塔路123号】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客户服务热线：【025-96008】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3.企业名称：【苏州银行股份有限公司】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住所：【江苏省苏州工业园区钟园路728号苏州银行大厦】</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客户服务热线：【0512-96067】</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4.企业名称：【江苏如皋农村商业银行股份有限公司】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住所：【江苏省如皋市如城街道海阳南路 999 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客户服务热线：【0513-96008】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5.企业名称：【江苏高邮农村商业银行股份有限公司】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住所：【高邮市文游中路28号】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客户服务热线：【0514-96008】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6.企业名称：【江苏东台农村商业银行股份有限公司】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住所：【东台市东城大道10号】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客户服务热线：【0515-96008】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7.企业名称：【江苏建湖农村商业银行股份有限公司】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住所：【江苏省建湖县湖南中路958号】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客户服务热线：【0515-96008】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8.企业名称：【江苏大丰农村商业银行股份有限公司】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住所：【江苏省盐城市大丰区常新中路9号】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客户服务热线：【0515-96008】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9.企业名称：【江苏阜宁农村商业银行股份有限公司】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住所：【江苏省阜宁县城南新区上海路459号】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客户服务热线：【0515-96008】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10.企业名称：【江苏盐城农村商业银行股份有限公司】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住所：【江苏省盐城市盐南高新区新都西路8号】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客户服务热线：【051588880000】</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11.企业名称：【江苏灌南农村商业银行股份有限公司】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住所：【江苏省连云港市灌南县人民路29号】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客户服务热线：【0518-96008】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12.企业名称：【江苏赣榆农村商业银行股份有限公司】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住所：【连云港市赣榆区黄海东路304号】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客户服务热线：【0518-96008】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13.企业名称：【江苏江南农村商业银行股份有限公司】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住所：【江苏省常州市武进区延政中路9号】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客户服务热线：【0519-96005】</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14.企业名称：【江苏泰兴农村商业银行股份有限公司】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住所：【江苏省泰兴市国庆东路166号】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客户服务热线：【0523-96008】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15.企业名称：【江苏泰州农村商业银行股份有限公司】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住所：【江苏省泰州市海陵区西仓路36号】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客户服务热线：【0523-96008】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16.企业名称：【浙江东阳农村商业银行股份有限公司】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住所：【东阳市双岘路18号】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17.企业名称：【浙江乐清农村商业银行股份有限公司】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住所：【乐清市城南街道伯乐西路99号】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18.企业名称：【宁波余姚农村商业银行股份有限公司】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住所：【余姚市新建路69号】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19.企业名称：【宁波镇海农村商业银行股份有限公司】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住所：【宁波市镇海区骆驼街道镇海大道中段788号】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20.企业名称：【宁波宁海农村商业银行股份有限公司】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住所：【宁海县跃龙街道学勉路1号（金融中心）】</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21.企业名称：【浙江丽水莲都农村商业银行股份有限公司】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住所：【浙江丽水市解放街438号】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22.企业名称：【浙江三门农村商业银行股份有限公司】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住所：【浙江省三门县海游街道上洋路68号】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23.企业名称：【浙江衢州柯城农村商业银行股份有限公司】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住所：【浙江省上街92号】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24.企业名称：【浙江云和农村商业银行股份有限公司】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住所：【浙江省丽水市云和县浮云街道新建路72号】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25.企业名称：【浙江庆元农村商业银行股份有限公司】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住所：【浙江省丽水市庆元县濛洲街道云鹤路3号】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26.企业名称：【浙江景宁农村商业银行股份有限公司】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住所：【浙江省丽水市景宁畲族自治县红星街道人民中路201号】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27.企业名称：【浙江松阳农村商业银行股份有限公司】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住所：【浙江省丽水市松阳县水南街道要津南路71号】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28.企业名称：【浙江缙云农村商业银行股份有限公司】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住所：【浙江省丽水市缙云县五云镇新区仙都路68号】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29.企业名称：【浙江遂昌农村商业银行股份有限公司】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住所：【浙江省丽水市遂昌县妙高街道溪边路100号】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30.企业名称：【浙江龙泉农村商业银行股份有限公司】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住所：【浙江省丽水市龙泉市中山东路101号】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31.企业名称：【浙江义乌农村商业银行股份有限公司】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住所：【浙江省义乌市福田街道城北路677号】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32.企业名称：【浙江仙居农村商业银行股份有限公司】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住所：【浙江省仙居县南峰街道穿城中路21号】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33.企业名称：【浙江兰溪农村商业银行股份有限公司】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住所：【浙江省兰溪市兰江街道丹溪大道18号】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34.企业名称：【浙江临海农村商业银行股份有限公司】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住所：【浙江省台州市临海市大洋街道河阳路299号】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35.企业名称：【浙江台州椒江农村商业银行股份有限公司】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住所：【浙江省台州市椒江区工人东路322号】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36.企业名称：【浙江温岭农村商业银行股份有限公司】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住所：【浙江省台州市温岭市城东街道下保路100号】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37.企业名称：【浙江台州路桥农村商业银行股份有限公司】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住所：【浙江省台州市路桥区西路桥大道328号】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38.企业名称：【浙江台州黄岩农村商业银行股份有限公司】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住所：【浙江省台州市黄岩区洞天路88号】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39.企业名称：【浙江嘉善农村商业银行股份有限公司】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住所：【浙江省嘉兴市嘉善县罗星街道车站南路999号】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40.企业名称：【浙江桐乡农村商业银行股份有限公司】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住所：【浙江省嘉兴市桐乡市梧桐街道校场东路59号】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41.企业名称：【浙江禾城农村商业银行股份有限公司】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住所：【浙江省嘉兴市经济技术开发区文昌路1229号】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42.企业名称：【浙江天台农村商业银行股份有限公司】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住所：【浙江省天台县赤城街道飞鹤路358号】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43.企业名称：【宁波北仑农村商业银行股份有限公司】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住所：【浙江省宁波市北仑区新碶宝山路69号（凤凰国际商务广场）1幢69号、63号（凤凰国际商务广场）1幢（2-26层）】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44.企业名称：【宁波奉化农村商业银行股份有限公司】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住所：【浙江省宁波市奉化区锦屏街道中山路27号】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45.企业名称：【宁波甬城农村商业银行股份有限公司】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住所：【浙江省宁波市江北区育才路15、17号】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46.企业名称：【浙江嵊州农村商业银行股份有限公司】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住所：【浙江省嵊州市剡湖街道官河路398号】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47.企业名称：【浙江嵊泗农村商业银行股份有限公司】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住所：【浙江省嵊泗县菜园镇沙河路110号】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48.企业名称：【浙江平湖农村商业银行股份有限公司】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住所：【浙江省平湖市当湖街道胜利路518号】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49.企业名称：【浙江平阳农村商业银行股份有限公司】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住所：【浙江省平阳县鳌江镇车站大道999号】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50.企业名称：【浙江建德农村商业银行股份有限公司】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住所：【浙江省建德市新安江街道江滨中路176号】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51.企业名称：【浙江德清农村商业银行股份有限公司】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住所：【浙江省德清县武康街道沈长圩街50号】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52.企业名称：【宁波慈溪农村商业银行股份有限公司】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住所：【浙江省慈溪市浒山街道南城路 25 号、59 号 5-6 楼】</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53.企业名称：【浙江新昌农村商业银行股份有限公司】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住所：【浙江省新昌县七星街道七星路18号】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54.企业名称：【杭州联合农村商业银行股份有限公司】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住所：【浙江省杭州市上城区建国中路99号】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55.企业名称：【浙江临安农村商业银行股份有限公司】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住所：【浙江省杭州市临安区锦城街道城中街442号】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56.企业名称：【浙江杭州余杭农村商业银行股份有限公司】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住所：【浙江省杭州市临平区南苑街道南大街72号】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57.企业名称：【浙江富阳农村商业银行股份有限公司】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住所：【浙江省杭州市富阳区鹿山街道依江路501号第1幢】</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58.企业名称：【浙江桐庐农村商业银行股份有限公司】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住所：【浙江省杭州市桐庐县城迎春南路278号】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59.企业名称：【浙江淳安农村商业银行股份有限公司】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住所：【浙江省杭州市淳安县千岛湖镇环湖北路369号】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60.企业名称：【浙江萧山农村商业银行股份有限公司】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住所：【浙江省杭州市萧山区人民路258号】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61.企业名称：【浙江武义农村商业银行股份有限公司】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住所：【浙江省武义县城武阳中路37号】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62.企业名称：【浙江江山农村商业银行股份有限公司】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住所：【浙江省江山市双塔街道江滨路188号】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63.企业名称：【浙江浦江农村商业银行股份有限公司】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住所：【浙江省浦江县人民东路90号】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64.企业名称：【浙江海宁农村商业银行股份有限公司】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住所：【浙江省海宁市海洲街道钱江西路278号】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65.企业名称：【浙江海盐农村商业银行股份有限公司】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住所：【浙江省海盐县武原街道枣园西路176号】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66.企业名称：【浙江文成农村商业银行股份有限公司】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住所：【浙江省温州市文成县大峃镇伯温路6号】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67.企业名称：【浙江永嘉农村商业银行股份有限公司】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住所：【浙江省温州市永嘉县瓯北街道阳光大道3918号101室、201室、301室、401室、501室、1101室、1801室、2201室】</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68.企业名称：【浙江泰顺农村商业银行股份有限公司】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住所：【浙江省温州市泰顺县罗阳镇新城区文祥大道181号】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69.企业名称：【浙江温州瓯海农村商业银行股份有限公司】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住所：【浙江省温州市瓯海区瓯海大道989号】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70.企业名称：【浙江温州鹿城农村商业银行股份有限公司】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住所：【浙江省温州市鹿城区会展路1500号富银大厦】</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71.企业名称：【浙江温州龙湾农村商业银行股份有限公司】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住所：【浙江省温州市龙湾区永中街道永宁西路555号】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72.企业名称：【湖州吴兴农村商业银行股份有限公司】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住所：【浙江省湖州市东街55号】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73.企业名称：【浙江南浔农村商业银行股份有限公司】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住所：【浙江省湖州市南浔区南浔镇人瑞路1188号】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74.企业名称：【浙江安吉农村商业银行股份有限公司】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住所：【浙江省湖州市安吉县昌硕街道昌硕东路1号(自主申报)】</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75.企业名称：【浙江长兴农村商业银行股份有限公司】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住所：【浙江省湖州市长兴县太湖街道明珠路1298号】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76.企业名称：【浙江玉环农村商业银行股份有限公司】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住所：【浙江省玉环市玉城街道珠港大道26号】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77.企业名称：【浙江上虞农村商业银行股份有限公司】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住所：【浙江省百官街道德盛路55号】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78.企业名称：【浙江绍兴恒信农村商业银行股份有限公司】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住所：【浙江省绍兴市中兴中路159号】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79.企业名称：【浙江绍兴瑞丰农村商业银行股份有限公司】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住所：【浙江省绍兴市柯桥区柯桥笛扬路1363号】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80.企业名称：【浙江舟山定海海洋农村商业银行股份有限公司】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住所：【浙江省舟山市定海区环城东路81号】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81.企业名称：【浙江岱山农村商业银行股份有限公司】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住所：【浙江省舟山市岱山县高亭镇衢山大道1009号(自主申报)】</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82.企业名称：【浙江舟山普陀农村商业银行股份有限公司】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住所：【浙江省舟山市普陀区东港街道麒麟街225号（自贸试验区内）】</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83.企业名称：【浙江苍南农村商业银行股份有限公司】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住所：【浙江省苍南县灵溪镇人民大道425号】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84.企业名称：【浙江常山农村商业银行股份有限公司】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住所：【浙江省衢州市常山县天马街道人民路125号】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85.企业名称：【浙江开化农村商业银行股份有限公司】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住所：【浙江省衢州市开化县华埠镇永吉二路8号】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86.企业名称：【浙江衢州衢江农村商业银行股份有限公司】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住所：【浙江省衢州市衢江区樟潭街道信安东路37号】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87.企业名称：【浙江龙游农村商业银行股份有限公司】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住所：【浙江省衢州市龙游县龙洲街道荣昌大道683、685、687号】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88.企业名称：【浙江诸暨农村商业银行股份有限公司】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住所：【浙江省诸暨市暨阳街道大桥东路2号】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89.企业名称：【浙江金华成泰农村商业银行股份有限公司】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住所：【浙江省金华市八一南街123号】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90.企业名称：【浙江永康农村商业银行股份有限公司】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住所：【浙江省金华市永康市九铃东路3259号】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91.企业名称：【浙江青田农村商业银行股份有限公司】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住所：【浙江省青田县鹤城街道鹤城东路180号】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92.企业名称：【浙江瑞安农村商业银行股份有限公司】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住所：【瑞安市安阳街道万松东路148号】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93.企业名称：【内蒙古银行股份有限公司】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住所：【内蒙古自治区呼和浩特市赛罕区腾飞南路33号】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客户服务热线：【40005-96019】</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94.企业名称：【徽商银行股份有限公司】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住所：【安徽省合肥市云谷路1699号徽银大厦】</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客户服务热线：【40088-96588】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95.企业名称：【信银理财有限责任公司】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住所：【上海市黄浦区中山东二路600号1幢35层、36层】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客户服务热线：【950950】</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96.企业名称：【台州银行股份有限公司】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住所：【浙江省台州市路桥区南官大道92号】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客户服务热线：【95371】</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97.企业名称：【宁波银行股份有限公司】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住所：【浙江省宁波市鄞州区宁东路345号】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客户服务热线：【95574】</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98.企业名称：【上海银行股份有限公司】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住所：【上海市黄浦区中山南路688号】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客户服务热线：【95594】</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99.企业名称：【江苏紫金农村商业银行股份有限公司】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住所：【南京市建邺区江东中路381号】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100.企业名称：【徐州农村商业银行股份有限公司】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住所：【徐州市铜山区北京南路26号】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101.企业名称：【江苏宜兴农村商业银行股份有限公司】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住所：【江苏省宜兴市宜城街道解放东路579号】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102.企业名称：【江苏淮安农村商业银行股份有限公司】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住所：【江苏省淮安市清江浦区水渡口大道20号金融中心B1号楼】</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103.企业名称：【江苏靖江农村商业银行股份有限公司】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住所：【江苏省靖江市南环西路12号】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104.企业名称：【江苏姜堰农村商业银行股份有限公司】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住所：【泰州市姜堰区姜堰大道128号】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105.企业名称：【江苏兴化农村商业银行股份有限公司】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住所：【江苏省兴化市长安南路999号】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客户服务热线：【96028】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106.企业名称：【广发银行股份有限公司】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住所：【广州市越秀区东风东路713号】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客户服务热线：【400-830-8003】</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关联关系情况：【广发银行股份有限公司】系信银理财实际控制人施加重大影响的法人，与信银理财具有关联关系。信银理财委托【广发银行股份有限公司】销售本理财产品，存在关联交易风险，请投资者仔细阅读理财产品说明书中相应风险揭示部分。</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 xml:space="preserve"> </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【H】类份额（份额代码【AF251526H】）合作销售机构信息：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1.企业名称：【江苏扬中农村商业银行股份有限公司】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住所：【扬中市扬子西路79号】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客户服务热线：【0511-96008】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2.企业名称：【江苏句容农村商业银行股份有限公司】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住所：【江苏省句容市福地东路66号】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客户服务热线：【0511-96008】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3.企业名称：【江苏如东农村商业银行股份有限公司】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住所：【江苏省如东县掘港镇钟山路66号】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客户服务热线：【0513-96008】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4.企业名称：【江苏仪征农村商业银行股份有限公司】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住所：【江苏省仪征市真州镇解放东路 818 号金融集聚区 1 座 801811，901-911，1001-1011，2 座 101】</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客户服务热线：【0514-96008】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5.企业名称：【江苏宝应农村商业银行股份有限公司】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住所：【江苏省宝应县文津路1号】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客户服务热线：【0514-96008】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6.企业名称：【江苏射阳农村商业银行股份有限公司】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住所：【江苏省盐城市射阳县合德镇解放路385号】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客户服务热线：【0515-69966666】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7.企业名称：【江苏滨海农村商业银行股份有限公司】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住所：【滨海县城迎宾中路1号】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客户服务热线：【0515-96008】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8.企业名称：【江苏泗阳农村商业银行股份有限公司】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住所：【宿迁市泗阳县众兴镇北京中路21号】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客户服务热线：【0527-96008】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9.企业名称：【江苏泗洪农村商业银行股份有限公司】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住所：【江苏省宿迁市泗洪县长江东路17号】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客户服务热线：【0527-96008】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10.企业名称：【浙江东阳农村商业银行股份有限公司】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住所：【东阳市双岘路18号】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11.企业名称：【浙江乐清农村商业银行股份有限公司】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住所：【乐清市城南街道伯乐西路99号】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12.企业名称：【宁波余姚农村商业银行股份有限公司】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住所：【余姚市新建路69号】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13.企业名称：【宁波镇海农村商业银行股份有限公司】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住所：【宁波市镇海区骆驼街道镇海大道中段788号】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14.企业名称：【宁波宁海农村商业银行股份有限公司】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住所：【宁海县跃龙街道学勉路1号（金融中心）】</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15.企业名称：【浙江丽水莲都农村商业银行股份有限公司】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住所：【浙江丽水市解放街438号】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16.企业名称：【浙江三门农村商业银行股份有限公司】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住所：【浙江省三门县海游街道上洋路68号】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17.企业名称：【浙江衢州柯城农村商业银行股份有限公司】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住所：【浙江省上街92号】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18.企业名称：【浙江云和农村商业银行股份有限公司】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住所：【浙江省丽水市云和县浮云街道新建路72号】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19.企业名称：【浙江庆元农村商业银行股份有限公司】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住所：【浙江省丽水市庆元县濛洲街道云鹤路3号】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20.企业名称：【浙江景宁农村商业银行股份有限公司】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住所：【浙江省丽水市景宁畲族自治县红星街道人民中路201号】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21.企业名称：【浙江松阳农村商业银行股份有限公司】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住所：【浙江省丽水市松阳县水南街道要津南路71号】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22.企业名称：【浙江缙云农村商业银行股份有限公司】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住所：【浙江省丽水市缙云县五云镇新区仙都路68号】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23.企业名称：【浙江遂昌农村商业银行股份有限公司】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住所：【浙江省丽水市遂昌县妙高街道溪边路100号】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24.企业名称：【浙江龙泉农村商业银行股份有限公司】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住所：【浙江省丽水市龙泉市中山东路101号】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25.企业名称：【浙江义乌农村商业银行股份有限公司】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住所：【浙江省义乌市福田街道城北路677号】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26.企业名称：【浙江仙居农村商业银行股份有限公司】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住所：【浙江省仙居县南峰街道穿城中路21号】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27.企业名称：【浙江兰溪农村商业银行股份有限公司】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住所：【浙江省兰溪市兰江街道丹溪大道18号】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28.企业名称：【浙江临海农村商业银行股份有限公司】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住所：【浙江省台州市临海市大洋街道河阳路299号】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29.企业名称：【浙江台州椒江农村商业银行股份有限公司】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住所：【浙江省台州市椒江区工人东路322号】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30.企业名称：【浙江温岭农村商业银行股份有限公司】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住所：【浙江省台州市温岭市城东街道下保路100号】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31.企业名称：【浙江台州路桥农村商业银行股份有限公司】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住所：【浙江省台州市路桥区西路桥大道328号】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32.企业名称：【浙江台州黄岩农村商业银行股份有限公司】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住所：【浙江省台州市黄岩区洞天路88号】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33.企业名称：【浙江嘉善农村商业银行股份有限公司】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住所：【浙江省嘉兴市嘉善县罗星街道车站南路999号】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34.企业名称：【浙江桐乡农村商业银行股份有限公司】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住所：【浙江省嘉兴市桐乡市梧桐街道校场东路59号】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35.企业名称：【浙江禾城农村商业银行股份有限公司】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住所：【浙江省嘉兴市经济技术开发区文昌路1229号】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36.企业名称：【浙江天台农村商业银行股份有限公司】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住所：【浙江省天台县赤城街道飞鹤路358号】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37.企业名称：【宁波北仑农村商业银行股份有限公司】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住所：【浙江省宁波市北仑区新碶宝山路69号（凤凰国际商务广场）1幢69号、63号（凤凰国际商务广场）1幢（2-26层）】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38.企业名称：【宁波奉化农村商业银行股份有限公司】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住所：【浙江省宁波市奉化区锦屏街道中山路27号】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39.企业名称：【宁波甬城农村商业银行股份有限公司】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住所：【浙江省宁波市江北区育才路15、17号】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40.企业名称：【浙江嵊州农村商业银行股份有限公司】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住所：【浙江省嵊州市剡湖街道官河路398号】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41.企业名称：【浙江嵊泗农村商业银行股份有限公司】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住所：【浙江省嵊泗县菜园镇沙河路110号】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42.企业名称：【浙江平湖农村商业银行股份有限公司】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住所：【浙江省平湖市当湖街道胜利路518号】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43.企业名称：【浙江平阳农村商业银行股份有限公司】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住所：【浙江省平阳县鳌江镇车站大道999号】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44.企业名称：【浙江建德农村商业银行股份有限公司】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住所：【浙江省建德市新安江街道江滨中路176号】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45.企业名称：【浙江德清农村商业银行股份有限公司】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住所：【浙江省德清县武康街道沈长圩街50号】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46.企业名称：【宁波慈溪农村商业银行股份有限公司】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住所：【浙江省慈溪市浒山街道南城路 25 号、59 号 5-6 楼】</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47.企业名称：【浙江新昌农村商业银行股份有限公司】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住所：【浙江省新昌县七星街道七星路18号】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48.企业名称：【杭州联合农村商业银行股份有限公司】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住所：【浙江省杭州市上城区建国中路99号】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49.企业名称：【浙江临安农村商业银行股份有限公司】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住所：【浙江省杭州市临安区锦城街道城中街442号】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50.企业名称：【浙江杭州余杭农村商业银行股份有限公司】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住所：【浙江省杭州市临平区南苑街道南大街72号】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51.企业名称：【浙江富阳农村商业银行股份有限公司】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住所：【浙江省杭州市富阳区鹿山街道依江路501号第1幢】</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52.企业名称：【浙江桐庐农村商业银行股份有限公司】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住所：【浙江省杭州市桐庐县城迎春南路278号】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53.企业名称：【浙江淳安农村商业银行股份有限公司】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住所：【浙江省杭州市淳安县千岛湖镇环湖北路369号】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54.企业名称：【浙江萧山农村商业银行股份有限公司】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住所：【浙江省杭州市萧山区人民路258号】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55.企业名称：【浙江武义农村商业银行股份有限公司】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住所：【浙江省武义县城武阳中路37号】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56.企业名称：【浙江江山农村商业银行股份有限公司】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住所：【浙江省江山市双塔街道江滨路188号】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57.企业名称：【浙江浦江农村商业银行股份有限公司】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住所：【浙江省浦江县人民东路90号】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58.企业名称：【浙江海宁农村商业银行股份有限公司】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住所：【浙江省海宁市海洲街道钱江西路278号】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59.企业名称：【浙江海盐农村商业银行股份有限公司】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住所：【浙江省海盐县武原街道枣园西路176号】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60.企业名称：【浙江文成农村商业银行股份有限公司】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住所：【浙江省温州市文成县大峃镇伯温路6号】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61.企业名称：【浙江永嘉农村商业银行股份有限公司】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住所：【浙江省温州市永嘉县瓯北街道阳光大道3918号101室、201室、301室、401室、501室、1101室、1801室、2201室】</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62.企业名称：【浙江泰顺农村商业银行股份有限公司】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住所：【浙江省温州市泰顺县罗阳镇新城区文祥大道181号】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63.企业名称：【浙江温州瓯海农村商业银行股份有限公司】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住所：【浙江省温州市瓯海区瓯海大道989号】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64.企业名称：【浙江温州鹿城农村商业银行股份有限公司】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住所：【浙江省温州市鹿城区会展路1500号富银大厦】</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65.企业名称：【浙江温州龙湾农村商业银行股份有限公司】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住所：【浙江省温州市龙湾区永中街道永宁西路555号】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66.企业名称：【湖州吴兴农村商业银行股份有限公司】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住所：【浙江省湖州市东街55号】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67.企业名称：【浙江南浔农村商业银行股份有限公司】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住所：【浙江省湖州市南浔区南浔镇人瑞路1188号】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68.企业名称：【浙江安吉农村商业银行股份有限公司】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住所：【浙江省湖州市安吉县昌硕街道昌硕东路1号(自主申报)】</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69.企业名称：【浙江长兴农村商业银行股份有限公司】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住所：【浙江省湖州市长兴县太湖街道明珠路1298号】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70.企业名称：【浙江玉环农村商业银行股份有限公司】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住所：【浙江省玉环市玉城街道珠港大道26号】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71.企业名称：【浙江上虞农村商业银行股份有限公司】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住所：【浙江省百官街道德盛路55号】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72.企业名称：【浙江绍兴恒信农村商业银行股份有限公司】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住所：【浙江省绍兴市中兴中路159号】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73.企业名称：【浙江绍兴瑞丰农村商业银行股份有限公司】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住所：【浙江省绍兴市柯桥区柯桥笛扬路1363号】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74.企业名称：【浙江舟山定海海洋农村商业银行股份有限公司】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住所：【浙江省舟山市定海区环城东路81号】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75.企业名称：【浙江岱山农村商业银行股份有限公司】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住所：【浙江省舟山市岱山县高亭镇衢山大道1009号(自主申报)】</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76.企业名称：【浙江舟山普陀农村商业银行股份有限公司】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住所：【浙江省舟山市普陀区东港街道麒麟街225号（自贸试验区内）】</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77.企业名称：【浙江苍南农村商业银行股份有限公司】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住所：【浙江省苍南县灵溪镇人民大道425号】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78.企业名称：【浙江常山农村商业银行股份有限公司】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住所：【浙江省衢州市常山县天马街道人民路125号】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79.企业名称：【浙江开化农村商业银行股份有限公司】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住所：【浙江省衢州市开化县华埠镇永吉二路8号】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80.企业名称：【浙江衢州衢江农村商业银行股份有限公司】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住所：【浙江省衢州市衢江区樟潭街道信安东路37号】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81.企业名称：【浙江龙游农村商业银行股份有限公司】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住所：【浙江省衢州市龙游县龙洲街道荣昌大道683、685、687号】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82.企业名称：【浙江诸暨农村商业银行股份有限公司】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住所：【浙江省诸暨市暨阳街道大桥东路2号】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83.企业名称：【浙江金华成泰农村商业银行股份有限公司】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住所：【浙江省金华市八一南街123号】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84.企业名称：【浙江永康农村商业银行股份有限公司】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住所：【浙江省金华市永康市九铃东路3259号】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85.企业名称：【浙江青田农村商业银行股份有限公司】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住所：【浙江省青田县鹤城街道鹤城东路180号】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86.企业名称：【浙江瑞安农村商业银行股份有限公司】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住所：【瑞安市安阳街道万松东路148号】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87.企业名称：【青海银行股份有限公司】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住所：【青海省西宁市城西区西关大街130号2号楼】</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客户服务热线：【0971-96399】</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88.企业名称：【信银理财有限责任公司】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住所：【上海市黄浦区中山东二路600号1幢35层、36层】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客户服务热线：【950950】</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89.企业名称：【上海浦东发展银行股份有限公司】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住所：【上海市黄浦区中山东一路12号】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客户服务热线：【95528】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90.企业名称：【江苏江都农村商业银行股份有限公司】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住所：【扬州市江都区龙城路21号】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91.企业名称：【江苏民丰农村商业银行股份有限公司】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住所：【江苏省宿迁市宿城区高宝湖路1号】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92.企业名称：【江苏响水农村商业银行股份有限公司】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住所：【江苏省盐城市响水县双园路84号】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 xml:space="preserve"> </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【M】类份额（份额代码【AF251526M】）合作销售机构信息：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1.企业名称：【广州银行股份有限公司】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住所：【广州市天河区珠江东路30号】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客户服务热线：【400-83-96699】</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2.企业名称：【信银理财有限责任公司】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住所：【上海市黄浦区中山东二路600号1幢35层、36层】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客户服务热线：【950950】</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3.企业名称：【杭州银行股份有限公司】</w:t>
            </w: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销售简称：安盈象固收稳利日开170号M（幸福金桂）</w:t>
            </w: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住所：【浙江省杭州市上城区解放东路168号】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客户服务热线：【95398】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4.企业名称：【渤海银行股份有限公司】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住所：【天津市河东区海河东路 218 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客户服务热线：【95541】</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5.企业名称：【兴业银行股份有限公司】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住所：【福建省福州市台江区江滨中大道398号兴业银行大厦】</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客户服务热线：【95561】</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 xml:space="preserve"> </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【N】类份额（份额代码【AF251526N】）合作销售机构信息：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1.企业名称：【三原县农村信用合作联社】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住所：【陕西省咸阳市三原县宴友思大街中段】</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2.企业名称：【乾县农村信用合作联社】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住所：【陕西省咸阳市乾县西兰大街中段】</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3.企业名称：【兴平市农村信用合作联社】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住所：【陕西省咸阳市兴平市金城路】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4.企业名称：【陕西彬州农村商业银行股份有限公司】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住所：【陕西省咸阳市彬州市城关镇西大街】</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5.企业名称：【旬邑县农村信用合作联社】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住所：【陕西省咸阳市旬邑县南大街】</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6.企业名称：【武功县农村信用合作联社】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住所：【陕西省咸阳市武功县普集镇后稷路】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7.企业名称：【永寿县农村信用合作联社】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住所：【陕西省咸阳市永寿县监军镇西兰路中段】</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8.企业名称：【泾阳县农村信用合作联社】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住所：【陕西省咸阳市泾阳县泾干大街19号】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9.企业名称：【淳化县农村信用合作联社】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住所：【陕西省咸阳市淳化县南新街】</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10.企业名称：【礼泉县农村信用合作联社】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住所：【陕西省咸阳市礼泉县建设路南段】</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11.企业名称：【陕西咸阳农村商业银行股份有限公司】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住所：【陕西省咸阳市秦都区文兴路智汇原8号商业楼1单元1层4号、5号、6号】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12.企业名称：【陕西长武农村商业银行股份有限公司】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住所：【陕西省咸阳市长武县城西门什字北街002号】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13.企业名称：【陕西丹凤农村商业银行股份有限公司】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住所：【陕西省商洛市丹凤县龙驹寨街道办事处县城新凤街】</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14.企业名称：【陕西商南农村商业银行股份有限公司】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住所：【陕西省商洛市商南县滨河西路中段】</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15.企业名称：【陕西山阳农村商业银行股份有限公司】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住所：【陕西省商洛市山阳县南大街73号】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16.企业名称：【陕西宁陕农村商业银行股份有限公司】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住所：【陕西省安康市宁陕县城关镇迎宾大道15号】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17.企业名称：【陕西岚皋农村商业银行股份有限公司】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住所：【陕西省安康市岚皋县城关镇河滨大道87号】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18.企业名称：【陕西旬阳农村商业银行股份有限公司】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住所：【陕西省安康市旬阳市城区祝尔慷大道19号】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19.企业名称：【陕西安康农村商业银行股份有限公司】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住所：【陕西省安康市汉滨区大桥南路2号】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20.企业名称：【陕西汉阴农村商业银行股份有限公司】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住所：【陕西省安康市汉阴县城关镇北城街65号】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21.企业名称：【陕西白河农村商业银行股份有限公司】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住所：【陕西省安康市白河县城关镇狮子山社区滨河大道】</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22.企业名称：【陕西石泉农村商业银行股份有限公司】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住所：【陕西省安康市石泉县城关镇向阳大道东段2号】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23.企业名称：【陕西紫阳农村商业银行股份有限公司】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住所：【陕西省安康市紫阳县城关镇紫府路7号】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24.企业名称：【陕西镇坪农村商业银行股份有限公司】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住所：【陕西省安康市镇坪县城关镇上新街32号】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25.企业名称：【陕西凤县农村商业银行股份有限公司】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住所：【陕西省宝鸡市凤县双石铺镇新建路】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26.企业名称：【陕西千阳农村商业银行股份有限公司】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住所：【陕西省宝鸡市千阳县城关镇西大街9号】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27.企业名称：【陕西太白农村商业银行股份有限公司】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住所：【陕西省宝鸡市太白县南大街30号】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28.企业名称：【陕西岐山农村商业银行股份有限公司】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住所：【陕西省宝鸡市岐山县凤鸣镇凤鸣西路凤鸣印象商城一层】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29.企业名称：【陕西宝鸡渭滨农村商业银行股份有限公司】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住所：【陕西省宝鸡市渭滨区经二路东段151号】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30.企业名称：【陕西眉县农村商业银行股份有限公司】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住所：【陕西省宝鸡市眉县首善镇平阳街334号】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31.企业名称：【陕西宝鸡金台农村商业银行股份有限公司】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住所：【陕西省宝鸡市金台区大庆路86号】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32.企业名称：【陕西陇县农村商业银行股份有限公司】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住所：【陕西省宝鸡市陇县南岸新城陇州大道】</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33.企业名称：【陕西麟游农村商业银行股份有限公司】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住所：【陕西省宝鸡市麟游县东大街49号】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34.企业名称：【陕西平利农村商业银行股份有限公司】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住所：【陕西省平利县城关镇新正街177号】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35.企业名称：【陕西吴起农村合作银行】</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住所：【陕西省延安市吴起县北苑东路26号】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36.企业名称：【陕西子长农村商业银行股份有限公司】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住所：【陕西省延安市子长市长兴街】</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37.企业名称：【陕西安塞农村商业银行股份有限公司】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住所：【陕西省延安市安塞区富民街22号】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38.企业名称：【宜川县农村信用合作联社】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住所：【陕西省延安市宜川县城党湾街】</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39.企业名称：【延安农村商业银行股份有限公司】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住所：【陕西省延安市宝塔区永兴路信合大厦】</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40.企业名称：【陕西富县农村合作银行】</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住所：【陕西省延安市富县富城镇正街8号】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41.企业名称：【延川县农村信用合作联社】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住所：【陕西省延安市延川县北大街百货公司家属楼下】</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42.企业名称：【延长县农村信用合作联社】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住所：【陕西省延安市延长县七里村镇城区中街】</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43.企业名称：【志丹县农村信用合作联社】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住所：【陕西省延安市志丹县保安街134号】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44.企业名称：【陕西洛川农村商业银行股份有限公司】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住所：【陕西省延安市洛川县中心街】</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45.企业名称：【陕西甘泉农村商业银行股份有限公司】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住所：【陕西省延安市甘泉县中心街019号】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46.企业名称：【黄陵县农村信用合作联社】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住所：【陕西省延安市黄陵县中心广场桥山大厦】</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47.企业名称：【黄龙县农村信用合作联社】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住所：【陕西省延安市黄龙县石堡镇广场大街40号】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48.企业名称：【陕西杨凌农村商业银行股份有限公司】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住所：【陕西省杨凌示范区康乐路43号】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49.企业名称：【陕西定边农村商业银行股份有限公司】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住所：【陕西省榆林市定边县西环路体育中心对面】</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50.企业名称：【陕西府谷农村商业银行股份有限公司】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住所：【陕西省榆林市府谷县新区营盘中路】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51.企业名称：【陕西榆林农村商业银行股份有限公司】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住所：【陕西省榆林市榆阳区长城中路2号】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52.企业名称：【陕西清涧农村商业银行股份有限公司】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住所：【陕西省榆林市清涧县西城区】</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53.企业名称：【陕西神木农村商业银行股份有限公司】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住所：【陕西省榆林市神木市神木镇东兴街中段】</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54.企业名称：【陕西米脂农村商业银行股份有限公司】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住所：【陕西省榆林市米脂县迎宾大道南侧园艺路东侧】</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55.企业名称：【陕西绥德农村商业银行股份有限公司】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住所：【陕西省榆林市绥德县北门街26号】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56.企业名称：【陕西佛坪农村商业银行股份有限公司】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住所：【陕西省汉中市佛坪县河堤街40号】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57.企业名称：【陕西勉县农村商业银行股份有限公司】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住所：【陕西省汉中市勉县勉阳街道办和平路东】</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58.企业名称：【城固县农村信用合作联社】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住所：【陕西省汉中市城固县博望街道桔园路中段】</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59.企业名称：【宁强县农村信用合作联社】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住所：【陕西省汉中市宁强县汉源街道办事处羌州路中段】</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60.企业名称：【陕西汉中农村商业银行股份有限公司】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住所：【陕西省汉中市汉台区民主街1号】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61.企业名称：【洋县农村信用合作联社】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住所：【陕西省汉中市洋县洋州街道办事处北环路以北洋县医院以西】</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62.企业名称：【留坝县农村信用合作联社】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住所：【陕西省汉中市留坝县紫柏街道办事处紫柏路150号】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63.企业名称：【略阳县农村信用合作联社】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住所：【陕西省汉中市略阳县电厂路油库坪】</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64.企业名称：【陕西西乡农村商业银行股份有限公司】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住所：【陕西省汉中市西乡县东一路和鹿龄路交汇处】</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65.企业名称：【陕西镇巴农村商业银行股份有限公司】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住所：【陕西省汉中市镇巴县泾洋镇新街4号】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66.企业名称：【大荔县农村信用合作联社】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住所：【陕西省渭南市大荔县城关镇花城路24号】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67.企业名称：【富平县农村信用合作联社】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住所：【陕西省渭南市富平县频阳大街23号】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68.企业名称：【铜川市印台区农村信用合作联社】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住所：【陕西省铜川市印台区同官路】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69.企业名称：【宜君县农村信用合作联社】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住所：【陕西省铜川市宜君县宜阳南街3号】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70.企业名称：【铜川市王益区农村信用合作联社】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住所：【陕西省铜川市王益区红旗街86号】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71.企业名称：【铜川市耀州区农村信用合作联社】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住所：【陕西省铜川市耀州区华原路塔坡什字】</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72.企业名称：【陕西镇安农村商业银行股份有限公司】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住所：【陕西省镇安县南新街38号】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73.企业名称：【信银理财有限责任公司】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住所：【上海市黄浦区中山东二路600号1幢35层、36层】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客户服务热线：【950950】</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74.企业名称：【上海浦东发展银行股份有限公司】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住所：【上海市黄浦区中山东一路12号】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客户服务热线：【95528】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 xml:space="preserve"> </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【S】类份额（份额代码【AF251526S】）合作销售机构信息：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1.企业名称：【苏州银行股份有限公司】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住所：【江苏省苏州工业园区钟园路728号苏州银行大厦】</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客户服务热线：【0512-96067】</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2.企业名称：【信银理财有限责任公司】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住所：【上海市黄浦区中山东二路600号1幢35层、36层】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客户服务热线：【950950】</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3.企业名称：【交通银行股份有限公司】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住所：【上海市浦东新区银城中路188号】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客户服务热线：【95559】</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 xml:space="preserve"> </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【Y】类份额（份额代码【AF251526Y】）合作销售机构信息：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1.企业名称：【信银理财有限责任公司】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住所：【上海市黄浦区中山东二路600号1幢35层、36层】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客户服务热线：【950950】</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2.企业名称：【中信银行股份有限公司】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住所：【北京市朝阳区光华路10号中信大厦】</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客户服务热线：【95558】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 xml:space="preserve"> </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后续合作销售机构如有新增、减少和变更，信银理财将按照本说明书约定的方式告知投资者。</w:t>
            </w:r>
          </w:p>
        </w:tc>
      </w:tr>
      <w:tr w14:paraId="434625CF">
        <w:tblPrEx>
          <w:tblCellMar>
            <w:top w:w="0" w:type="dxa"/>
            <w:left w:w="108" w:type="dxa"/>
            <w:bottom w:w="0" w:type="dxa"/>
            <w:right w:w="108" w:type="dxa"/>
          </w:tblCellMar>
        </w:tblPrEx>
        <w:trPr>
          <w:trHeight w:val="600" w:hRule="atLeast"/>
        </w:trPr>
        <w:tc>
          <w:tcPr>
            <w:tcW w:w="2453" w:type="dxa"/>
            <w:tcBorders>
              <w:top w:val="single" w:color="auto" w:sz="4" w:space="0"/>
              <w:left w:val="single" w:color="000000" w:sz="8" w:space="0"/>
              <w:bottom w:val="single" w:color="auto" w:sz="4" w:space="0"/>
              <w:right w:val="single" w:color="auto" w:sz="4" w:space="0"/>
            </w:tcBorders>
            <w:vAlign w:val="center"/>
          </w:tcPr>
          <w:p w14:paraId="01136109">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境内托管机构名称</w:t>
            </w:r>
          </w:p>
        </w:tc>
        <w:tc>
          <w:tcPr>
            <w:tcW w:w="6972" w:type="dxa"/>
            <w:tcBorders>
              <w:top w:val="single" w:color="auto" w:sz="4" w:space="0"/>
              <w:left w:val="single" w:color="auto" w:sz="4" w:space="0"/>
              <w:bottom w:val="single" w:color="auto" w:sz="4" w:space="0"/>
              <w:right w:val="single" w:color="000000" w:sz="8" w:space="0"/>
            </w:tcBorders>
            <w:vAlign w:val="center"/>
          </w:tcPr>
          <w:p w14:paraId="257F53CC">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eastAsia" w:ascii="楷体_GB2312" w:eastAsia="楷体_GB2312" w:cs="楷体_GB2312"/>
                <w:sz w:val="20"/>
                <w:szCs w:val="20"/>
                <w:highlight w:val="none"/>
              </w:rPr>
            </w:pPr>
            <w:r>
              <w:rPr>
                <w:rFonts w:hint="eastAsia" w:ascii="楷体_GB2312" w:eastAsia="楷体_GB2312" w:cs="楷体_GB2312"/>
                <w:sz w:val="20"/>
                <w:szCs w:val="20"/>
                <w:highlight w:val="none"/>
              </w:rPr>
              <w:t>企业名称：【宁波银行股份有限公司】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住所：【浙江省宁波市鄞州区宁东路345号】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客户服务热线：【95574】</w:t>
            </w:r>
          </w:p>
        </w:tc>
      </w:tr>
      <w:tr w14:paraId="5CE919D7">
        <w:tblPrEx>
          <w:tblCellMar>
            <w:top w:w="0" w:type="dxa"/>
            <w:left w:w="108" w:type="dxa"/>
            <w:bottom w:w="0" w:type="dxa"/>
            <w:right w:w="108" w:type="dxa"/>
          </w:tblCellMar>
        </w:tblPrEx>
        <w:trPr>
          <w:trHeight w:val="540" w:hRule="atLeast"/>
        </w:trPr>
        <w:tc>
          <w:tcPr>
            <w:tcW w:w="2453" w:type="dxa"/>
            <w:tcBorders>
              <w:top w:val="single" w:color="auto" w:sz="4" w:space="0"/>
              <w:left w:val="single" w:color="000000" w:sz="8" w:space="0"/>
              <w:bottom w:val="nil"/>
              <w:right w:val="single" w:color="auto" w:sz="4" w:space="0"/>
            </w:tcBorders>
            <w:vAlign w:val="center"/>
          </w:tcPr>
          <w:p w14:paraId="60116D50">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销售对象</w:t>
            </w:r>
          </w:p>
        </w:tc>
        <w:tc>
          <w:tcPr>
            <w:tcW w:w="6972" w:type="dxa"/>
            <w:tcBorders>
              <w:top w:val="single" w:color="auto" w:sz="4" w:space="0"/>
              <w:left w:val="single" w:color="auto" w:sz="4" w:space="0"/>
              <w:bottom w:val="nil"/>
              <w:right w:val="single" w:color="000000" w:sz="8" w:space="0"/>
            </w:tcBorders>
            <w:shd w:val="clear" w:color="auto" w:fill="auto"/>
            <w:vAlign w:val="center"/>
          </w:tcPr>
          <w:p w14:paraId="366F7530">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eastAsia"/>
                <w:highlight w:val="none"/>
                <w:lang w:val="en-US" w:eastAsia="zh-CN"/>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【个人/机构】客户，适合【稳健型】、【平衡型】、【进取型】、【激进型】投资者。代销机构对产品的发行对象与信银理财不一致的，以代销机构为准，但不得超出上述发行对象范围。</w:t>
            </w:r>
          </w:p>
        </w:tc>
      </w:tr>
      <w:tr w14:paraId="2356698B">
        <w:tblPrEx>
          <w:tblCellMar>
            <w:top w:w="0" w:type="dxa"/>
            <w:left w:w="108" w:type="dxa"/>
            <w:bottom w:w="0" w:type="dxa"/>
            <w:right w:w="108" w:type="dxa"/>
          </w:tblCellMar>
        </w:tblPrEx>
        <w:trPr>
          <w:trHeight w:val="380" w:hRule="atLeast"/>
        </w:trPr>
        <w:tc>
          <w:tcPr>
            <w:tcW w:w="9425" w:type="dxa"/>
            <w:gridSpan w:val="2"/>
            <w:tcBorders>
              <w:top w:val="single" w:color="000000" w:sz="4" w:space="0"/>
              <w:left w:val="single" w:color="000000" w:sz="8" w:space="0"/>
              <w:bottom w:val="single" w:color="000000" w:sz="4" w:space="0"/>
              <w:right w:val="single" w:color="000000" w:sz="4" w:space="0"/>
            </w:tcBorders>
            <w:vAlign w:val="center"/>
          </w:tcPr>
          <w:p w14:paraId="45060C0E">
            <w:pPr>
              <w:widowControl/>
              <w:spacing w:line="400" w:lineRule="exact"/>
              <w:jc w:val="center"/>
              <w:textAlignment w:val="center"/>
              <w:rPr>
                <w:rFonts w:hint="eastAsia" w:ascii="楷体_GB2312" w:hAnsi="等线" w:eastAsia="楷体_GB2312" w:cs="楷体_GB2312"/>
                <w:b/>
                <w:bCs/>
                <w:color w:val="000000" w:themeColor="text1"/>
                <w:sz w:val="24"/>
                <w:highlight w:val="none"/>
                <w14:textFill>
                  <w14:solidFill>
                    <w14:schemeClr w14:val="tx1"/>
                  </w14:solidFill>
                </w14:textFill>
              </w:rPr>
            </w:pPr>
            <w:r>
              <w:rPr>
                <w:rFonts w:hint="eastAsia" w:ascii="楷体_GB2312" w:hAnsi="等线" w:eastAsia="楷体_GB2312" w:cs="楷体_GB2312"/>
                <w:b/>
                <w:bCs/>
                <w:color w:val="000000" w:themeColor="text1"/>
                <w:kern w:val="0"/>
                <w:sz w:val="24"/>
                <w:highlight w:val="none"/>
                <w:lang w:bidi="ar"/>
                <w14:textFill>
                  <w14:solidFill>
                    <w14:schemeClr w14:val="tx1"/>
                  </w14:solidFill>
                </w14:textFill>
              </w:rPr>
              <w:t>（二）交易规则</w:t>
            </w:r>
          </w:p>
        </w:tc>
      </w:tr>
      <w:tr w14:paraId="4E8D30F7">
        <w:tblPrEx>
          <w:tblCellMar>
            <w:top w:w="0" w:type="dxa"/>
            <w:left w:w="108" w:type="dxa"/>
            <w:bottom w:w="0" w:type="dxa"/>
            <w:right w:w="108" w:type="dxa"/>
          </w:tblCellMar>
        </w:tblPrEx>
        <w:trPr>
          <w:trHeight w:val="540" w:hRule="atLeast"/>
        </w:trPr>
        <w:tc>
          <w:tcPr>
            <w:tcW w:w="2453" w:type="dxa"/>
            <w:tcBorders>
              <w:top w:val="nil"/>
              <w:left w:val="single" w:color="000000" w:sz="8" w:space="0"/>
              <w:bottom w:val="single" w:color="auto" w:sz="4" w:space="0"/>
              <w:right w:val="single" w:color="auto" w:sz="4" w:space="0"/>
            </w:tcBorders>
            <w:vAlign w:val="center"/>
          </w:tcPr>
          <w:p w14:paraId="2DDEA6CB">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募集币种</w:t>
            </w:r>
          </w:p>
        </w:tc>
        <w:tc>
          <w:tcPr>
            <w:tcW w:w="6972" w:type="dxa"/>
            <w:tcBorders>
              <w:top w:val="nil"/>
              <w:left w:val="single" w:color="auto" w:sz="4" w:space="0"/>
              <w:bottom w:val="single" w:color="auto" w:sz="4" w:space="0"/>
              <w:right w:val="single" w:color="000000" w:sz="8" w:space="0"/>
            </w:tcBorders>
            <w:vAlign w:val="center"/>
          </w:tcPr>
          <w:p w14:paraId="5EE4B86B">
            <w:pPr>
              <w:keepNext w:val="0"/>
              <w:keepLines w:val="0"/>
              <w:pageBreakBefore w:val="0"/>
              <w:widowControl/>
              <w:kinsoku/>
              <w:wordWrap/>
              <w:overflowPunct/>
              <w:topLinePunct w:val="0"/>
              <w:autoSpaceDE/>
              <w:autoSpaceDN/>
              <w:bidi w:val="0"/>
              <w:adjustRightInd/>
              <w:snapToGrid/>
              <w:spacing w:line="300" w:lineRule="atLeast"/>
              <w:jc w:val="center"/>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本产品投资与收益币种为【人民币</w:t>
            </w:r>
            <w:r>
              <w:rPr>
                <w:rFonts w:ascii="楷体_GB2312" w:eastAsia="楷体_GB2312" w:cs="楷体_GB2312"/>
                <w:color w:val="000000" w:themeColor="text1"/>
                <w:sz w:val="20"/>
                <w:szCs w:val="20"/>
                <w:highlight w:val="none"/>
                <w14:textFill>
                  <w14:solidFill>
                    <w14:schemeClr w14:val="tx1"/>
                  </w14:solidFill>
                </w14:textFill>
              </w:rPr>
              <w:t>】</w:t>
            </w:r>
          </w:p>
        </w:tc>
      </w:tr>
      <w:tr w14:paraId="7499EA69">
        <w:tblPrEx>
          <w:tblCellMar>
            <w:top w:w="0" w:type="dxa"/>
            <w:left w:w="108" w:type="dxa"/>
            <w:bottom w:w="0" w:type="dxa"/>
            <w:right w:w="108" w:type="dxa"/>
          </w:tblCellMar>
        </w:tblPrEx>
        <w:trPr>
          <w:trHeight w:val="540" w:hRule="atLeast"/>
        </w:trPr>
        <w:tc>
          <w:tcPr>
            <w:tcW w:w="2453" w:type="dxa"/>
            <w:tcBorders>
              <w:top w:val="single" w:color="auto" w:sz="4" w:space="0"/>
              <w:left w:val="single" w:color="000000" w:sz="8" w:space="0"/>
              <w:bottom w:val="single" w:color="auto" w:sz="4" w:space="0"/>
              <w:right w:val="single" w:color="auto" w:sz="4" w:space="0"/>
            </w:tcBorders>
            <w:vAlign w:val="center"/>
          </w:tcPr>
          <w:p w14:paraId="067D398A">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起点销售金额</w:t>
            </w:r>
          </w:p>
        </w:tc>
        <w:tc>
          <w:tcPr>
            <w:tcW w:w="6972" w:type="dxa"/>
            <w:tcBorders>
              <w:top w:val="single" w:color="auto" w:sz="4" w:space="0"/>
              <w:left w:val="single" w:color="auto" w:sz="4" w:space="0"/>
              <w:bottom w:val="single" w:color="auto" w:sz="4" w:space="0"/>
              <w:right w:val="single" w:color="000000" w:sz="8" w:space="0"/>
            </w:tcBorders>
            <w:vAlign w:val="center"/>
          </w:tcPr>
          <w:p w14:paraId="565D4DCF">
            <w:pPr>
              <w:keepNext w:val="0"/>
              <w:keepLines w:val="0"/>
              <w:pageBreakBefore w:val="0"/>
              <w:widowControl/>
              <w:kinsoku/>
              <w:wordWrap/>
              <w:overflowPunct/>
              <w:topLinePunct w:val="0"/>
              <w:autoSpaceDE/>
              <w:autoSpaceDN/>
              <w:bidi w:val="0"/>
              <w:adjustRightInd/>
              <w:snapToGrid/>
              <w:spacing w:line="300" w:lineRule="atLeast"/>
              <w:ind w:right="36" w:rightChars="15"/>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B】类份额：初始认购金额不低于【人民币】【1】元，首次申购金额不低于【人民币】【1】元，以【人民币】【0.01】元的整数倍增加。追加认购/申购金额不低于【人民币】【0.01】元，以【人民币】【0.01】元的整数倍增加。</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G】类份额：初始认购金额不低于【人民币】【1】元，首次申购金额不低于【人民币】【1】元，以【人民币】【0.01】元的整数倍增加。追加认购/申购金额不低于【人民币】【0.01】元，以【人民币】【0.01】元的整数倍增加。</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H】类份额：初始认购金额不低于【人民币】【1】元，首次申购金额不低于【人民币】【1】元，以【人民币】【0.01】元的整数倍增加。追加认购/申购金额不低于【人民币】【0.01】元，以【人民币】【0.01】元的整数倍增加。</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M】类份额：初始认购金额不低于【人民币】【1】元，首次申购金额不低于【人民币】【1】元，以【人民币】【0.01】元的整数倍增加。追加认购/申购金额不低于【人民币】【0.01】元，以【人民币】【0.01】元的整数倍增加。</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N】类份额：初始认购金额不低于【人民币】【1】元，首次申购金额不低于【人民币】【1】元，以【人民币】【0.01】元的整数倍增加。追加认购/申购金额不低于【人民币】【0.01】元，以【人民币】【0.01】元的整数倍增加。</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S】类份额：初始认购金额不低于【人民币】【1】元，首次申购金额不低于【人民币】【1】元，以【人民币】【0.01】元的整数倍增加。追加认购/申购金额不低于【人民币】【0.01】元，以【人民币】【0.01】元的整数倍增加。</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Y】类份额：初始认购金额不低于【人民币】【1】元，首次申购金额不低于【人民币】【1】元，以【人民币】【0.01】元的整数倍增加。追加认购/申购金额不低于【人民币】【0.01】元，以【人民币】【0.01】元的整数倍增加。</w:t>
            </w:r>
            <w:r>
              <w:rPr>
                <w:rFonts w:hint="eastAsia" w:ascii="楷体_GB2312" w:eastAsia="楷体_GB2312" w:cs="楷体_GB2312"/>
                <w:color w:val="000000" w:themeColor="text1"/>
                <w:sz w:val="20"/>
                <w:szCs w:val="20"/>
                <w:highlight w:val="none"/>
                <w14:textFill>
                  <w14:solidFill>
                    <w14:schemeClr w14:val="tx1"/>
                  </w14:solidFill>
                </w14:textFill>
              </w:rPr>
              <w:t xml:space="preserve"> </w:t>
            </w:r>
          </w:p>
          <w:p w14:paraId="3C74DFEB">
            <w:pPr>
              <w:keepNext w:val="0"/>
              <w:keepLines w:val="0"/>
              <w:pageBreakBefore w:val="0"/>
              <w:widowControl/>
              <w:kinsoku/>
              <w:wordWrap/>
              <w:overflowPunct/>
              <w:topLinePunct w:val="0"/>
              <w:autoSpaceDE/>
              <w:autoSpaceDN/>
              <w:bidi w:val="0"/>
              <w:adjustRightInd/>
              <w:snapToGrid/>
              <w:spacing w:line="300" w:lineRule="atLeas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p>
          <w:p w14:paraId="16079F10">
            <w:pPr>
              <w:keepNext w:val="0"/>
              <w:keepLines w:val="0"/>
              <w:pageBreakBefore w:val="0"/>
              <w:widowControl/>
              <w:kinsoku/>
              <w:wordWrap/>
              <w:overflowPunct/>
              <w:topLinePunct w:val="0"/>
              <w:autoSpaceDE/>
              <w:autoSpaceDN/>
              <w:bidi w:val="0"/>
              <w:adjustRightInd/>
              <w:snapToGrid/>
              <w:spacing w:line="300" w:lineRule="atLeast"/>
              <w:ind w:left="-2" w:leftChars="-1" w:right="36" w:rightChars="15"/>
              <w:jc w:val="left"/>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代销机构对产品的认/申购起点及追加认/申购金额的要求与信银理财不一致的，以代销机构为准，但不得低于上述对应金额。</w:t>
            </w:r>
          </w:p>
          <w:p w14:paraId="6DE72564">
            <w:pPr>
              <w:keepNext w:val="0"/>
              <w:keepLines w:val="0"/>
              <w:pageBreakBefore w:val="0"/>
              <w:widowControl/>
              <w:kinsoku/>
              <w:wordWrap/>
              <w:overflowPunct/>
              <w:topLinePunct w:val="0"/>
              <w:autoSpaceDE/>
              <w:autoSpaceDN/>
              <w:bidi w:val="0"/>
              <w:adjustRightInd/>
              <w:snapToGrid/>
              <w:spacing w:line="300" w:lineRule="atLeas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客户持有理财产品份额时进行申购，不视为首次申购，按追加申购处理。客户全额赎回不再持有理财产品份额后再次申购，视同首次申购处理。</w:t>
            </w:r>
          </w:p>
        </w:tc>
      </w:tr>
      <w:tr w14:paraId="0708A064">
        <w:tblPrEx>
          <w:tblCellMar>
            <w:top w:w="0" w:type="dxa"/>
            <w:left w:w="108" w:type="dxa"/>
            <w:bottom w:w="0" w:type="dxa"/>
            <w:right w:w="108" w:type="dxa"/>
          </w:tblCellMar>
        </w:tblPrEx>
        <w:trPr>
          <w:trHeight w:val="540" w:hRule="atLeast"/>
        </w:trPr>
        <w:tc>
          <w:tcPr>
            <w:tcW w:w="2453" w:type="dxa"/>
            <w:tcBorders>
              <w:top w:val="single" w:color="auto" w:sz="4" w:space="0"/>
              <w:left w:val="single" w:color="000000" w:sz="8" w:space="0"/>
              <w:bottom w:val="single" w:color="auto" w:sz="4" w:space="0"/>
              <w:right w:val="single" w:color="auto" w:sz="4" w:space="0"/>
            </w:tcBorders>
            <w:vAlign w:val="center"/>
          </w:tcPr>
          <w:p w14:paraId="5FDD8E0D">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计划募集金额上限</w:t>
            </w:r>
          </w:p>
        </w:tc>
        <w:tc>
          <w:tcPr>
            <w:tcW w:w="6972" w:type="dxa"/>
            <w:tcBorders>
              <w:top w:val="single" w:color="auto" w:sz="4" w:space="0"/>
              <w:left w:val="single" w:color="auto" w:sz="4" w:space="0"/>
              <w:bottom w:val="single" w:color="auto" w:sz="4" w:space="0"/>
              <w:right w:val="single" w:color="000000" w:sz="8" w:space="0"/>
            </w:tcBorders>
            <w:vAlign w:val="center"/>
          </w:tcPr>
          <w:p w14:paraId="6496FBAE">
            <w:pPr>
              <w:keepNext w:val="0"/>
              <w:keepLines w:val="0"/>
              <w:pageBreakBefore w:val="0"/>
              <w:widowControl/>
              <w:kinsoku/>
              <w:wordWrap/>
              <w:overflowPunct/>
              <w:topLinePunct w:val="0"/>
              <w:autoSpaceDE/>
              <w:autoSpaceDN/>
              <w:bidi w:val="0"/>
              <w:adjustRightInd/>
              <w:snapToGrid/>
              <w:spacing w:line="300" w:lineRule="exact"/>
              <w:ind w:right="36" w:rightChars="15"/>
              <w:textAlignment w:val="auto"/>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无。</w:t>
            </w:r>
          </w:p>
        </w:tc>
      </w:tr>
      <w:tr w14:paraId="58DF02F4">
        <w:tblPrEx>
          <w:tblCellMar>
            <w:top w:w="0" w:type="dxa"/>
            <w:left w:w="108" w:type="dxa"/>
            <w:bottom w:w="0" w:type="dxa"/>
            <w:right w:w="108" w:type="dxa"/>
          </w:tblCellMar>
        </w:tblPrEx>
        <w:trPr>
          <w:trHeight w:val="540" w:hRule="atLeast"/>
        </w:trPr>
        <w:tc>
          <w:tcPr>
            <w:tcW w:w="2453" w:type="dxa"/>
            <w:tcBorders>
              <w:top w:val="single" w:color="auto" w:sz="4" w:space="0"/>
              <w:left w:val="single" w:color="000000" w:sz="8" w:space="0"/>
              <w:bottom w:val="single" w:color="auto" w:sz="4" w:space="0"/>
              <w:right w:val="single" w:color="auto" w:sz="4" w:space="0"/>
            </w:tcBorders>
            <w:shd w:val="clear" w:color="auto" w:fill="auto"/>
            <w:vAlign w:val="center"/>
          </w:tcPr>
          <w:p w14:paraId="0ADCD26F">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计划募集金额下限</w:t>
            </w:r>
          </w:p>
        </w:tc>
        <w:tc>
          <w:tcPr>
            <w:tcW w:w="6972" w:type="dxa"/>
            <w:tcBorders>
              <w:top w:val="single" w:color="auto" w:sz="4" w:space="0"/>
              <w:left w:val="single" w:color="auto" w:sz="4" w:space="0"/>
              <w:bottom w:val="single" w:color="auto" w:sz="4" w:space="0"/>
              <w:right w:val="single" w:color="000000" w:sz="8" w:space="0"/>
            </w:tcBorders>
            <w:vAlign w:val="center"/>
          </w:tcPr>
          <w:p w14:paraId="3F5FF4C7">
            <w:pPr>
              <w:keepNext w:val="0"/>
              <w:keepLines w:val="0"/>
              <w:pageBreakBefore w:val="0"/>
              <w:widowControl/>
              <w:kinsoku/>
              <w:wordWrap/>
              <w:overflowPunct/>
              <w:topLinePunct w:val="0"/>
              <w:autoSpaceDE/>
              <w:autoSpaceDN/>
              <w:bidi w:val="0"/>
              <w:adjustRightInd/>
              <w:snapToGrid/>
              <w:spacing w:line="300" w:lineRule="exact"/>
              <w:ind w:left="-2" w:leftChars="-1" w:right="36" w:rightChars="15"/>
              <w:textAlignment w:val="auto"/>
              <w:rPr>
                <w:rFonts w:hint="eastAsia" w:ascii="仿宋" w:hAnsi="仿宋" w:eastAsia="仿宋" w:cs="宋体"/>
                <w:bCs/>
                <w:color w:val="000000" w:themeColor="text1"/>
                <w:kern w:val="0"/>
                <w:sz w:val="24"/>
                <w:highlight w:val="none"/>
                <w:lang w:bidi="ar"/>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本产品的计划募集金额下限为【人民币】【0】元。信银理财有权根据实际需要对此金额下限进行调整。如果募集期内未达到计划募集金额下限，信银理财有权决定产品不成立，并在宣告产品不成立后【2】个工作日内返还投资者资金，同时信银理财保留延长本产品募集期的权利。届时信银理财将按照本说明书约定的方式告知投资者。</w:t>
            </w:r>
          </w:p>
        </w:tc>
      </w:tr>
      <w:tr w14:paraId="6DABCFB2">
        <w:tblPrEx>
          <w:tblCellMar>
            <w:top w:w="0" w:type="dxa"/>
            <w:left w:w="108" w:type="dxa"/>
            <w:bottom w:w="0" w:type="dxa"/>
            <w:right w:w="108" w:type="dxa"/>
          </w:tblCellMar>
        </w:tblPrEx>
        <w:trPr>
          <w:trHeight w:val="540" w:hRule="atLeast"/>
        </w:trPr>
        <w:tc>
          <w:tcPr>
            <w:tcW w:w="2453" w:type="dxa"/>
            <w:tcBorders>
              <w:top w:val="single" w:color="auto" w:sz="4" w:space="0"/>
              <w:left w:val="single" w:color="000000" w:sz="8" w:space="0"/>
              <w:bottom w:val="single" w:color="auto" w:sz="4" w:space="0"/>
              <w:right w:val="single" w:color="auto" w:sz="4" w:space="0"/>
            </w:tcBorders>
            <w:shd w:val="clear" w:color="auto" w:fill="auto"/>
            <w:vAlign w:val="center"/>
          </w:tcPr>
          <w:p w14:paraId="05EAEEC2">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认购、申购、赎回安排</w:t>
            </w:r>
          </w:p>
        </w:tc>
        <w:tc>
          <w:tcPr>
            <w:tcW w:w="6972" w:type="dxa"/>
            <w:tcBorders>
              <w:top w:val="single" w:color="auto" w:sz="4" w:space="0"/>
              <w:left w:val="single" w:color="auto" w:sz="4" w:space="0"/>
              <w:bottom w:val="single" w:color="auto" w:sz="4" w:space="0"/>
              <w:right w:val="single" w:color="000000" w:sz="8" w:space="0"/>
            </w:tcBorders>
            <w:vAlign w:val="center"/>
          </w:tcPr>
          <w:p w14:paraId="08B89395">
            <w:pPr>
              <w:keepNext w:val="0"/>
              <w:keepLines w:val="0"/>
              <w:pageBreakBefore w:val="0"/>
              <w:widowControl/>
              <w:kinsoku/>
              <w:wordWrap/>
              <w:overflowPunct/>
              <w:topLinePunct w:val="0"/>
              <w:autoSpaceDE/>
              <w:autoSpaceDN/>
              <w:bidi w:val="0"/>
              <w:adjustRightInd/>
              <w:snapToGrid/>
              <w:spacing w:line="300" w:lineRule="atLeast"/>
              <w:ind w:right="96" w:rightChars="40"/>
              <w:textAlignment w:val="auto"/>
              <w:rPr>
                <w:rFonts w:ascii="Times New Roman" w:hAnsi="Times New Roman" w:eastAsia="楷体_GB2312" w:cs="Times New Roman"/>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1.本产品募集期为</w:t>
            </w:r>
            <w:r>
              <w:rPr>
                <w:rFonts w:hint="eastAsia" w:ascii="楷体_GB2312" w:eastAsia="楷体_GB2312" w:cs="楷体_GB2312"/>
                <w:color w:val="000000" w:themeColor="text1"/>
                <w:sz w:val="20"/>
                <w:szCs w:val="20"/>
                <w:highlight w:val="none"/>
                <w14:textFill>
                  <w14:solidFill>
                    <w14:schemeClr w14:val="tx1"/>
                  </w14:solidFill>
                </w14:textFill>
              </w:rPr>
              <w:t>【2025】年【12】月【26】日至【2025】年【12】月【29】日，</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信银理财有权提前结束募集期并提前成立产品或者延长募集期。</w:t>
            </w:r>
          </w:p>
          <w:p w14:paraId="3E0875A0">
            <w:pPr>
              <w:keepNext w:val="0"/>
              <w:keepLines w:val="0"/>
              <w:pageBreakBefore w:val="0"/>
              <w:widowControl/>
              <w:kinsoku/>
              <w:wordWrap/>
              <w:overflowPunct/>
              <w:topLinePunct w:val="0"/>
              <w:autoSpaceDE/>
              <w:autoSpaceDN/>
              <w:bidi w:val="0"/>
              <w:adjustRightInd/>
              <w:snapToGrid/>
              <w:spacing w:line="300" w:lineRule="atLeast"/>
              <w:ind w:left="-2" w:leftChars="-1" w:right="96" w:rightChars="40"/>
              <w:textAlignment w:val="auto"/>
              <w:rPr>
                <w:rFonts w:ascii="楷体_GB2312" w:eastAsia="楷体_GB2312" w:cs="楷体_GB2312"/>
                <w:sz w:val="20"/>
                <w:szCs w:val="20"/>
                <w:highlight w:val="none"/>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2</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本产品首个申购开放日为【2025】年【12】月【31】日</w:t>
            </w:r>
            <w:r>
              <w:rPr>
                <w:rFonts w:ascii="楷体_GB2312" w:eastAsia="楷体_GB2312" w:cs="楷体_GB2312"/>
                <w:sz w:val="20"/>
                <w:szCs w:val="20"/>
                <w:highlight w:val="none"/>
              </w:rPr>
              <w:t>，之后</w:t>
            </w:r>
            <w:r>
              <w:rPr>
                <w:rFonts w:hint="eastAsia" w:ascii="楷体_GB2312" w:eastAsia="楷体_GB2312" w:cs="楷体_GB2312"/>
                <w:sz w:val="20"/>
                <w:szCs w:val="20"/>
                <w:highlight w:val="none"/>
              </w:rPr>
              <w:t>按【日】为周期进行开放，开放日为【每个工作日】（如遇非工作日则顺延至下一工作日）</w:t>
            </w:r>
            <w:r>
              <w:rPr>
                <w:rFonts w:ascii="楷体_GB2312" w:eastAsia="楷体_GB2312" w:cs="楷体_GB2312"/>
                <w:sz w:val="20"/>
                <w:szCs w:val="20"/>
                <w:highlight w:val="none"/>
              </w:rPr>
              <w:t>。</w:t>
            </w:r>
          </w:p>
          <w:p w14:paraId="0A7C4B35">
            <w:pPr>
              <w:keepNext w:val="0"/>
              <w:keepLines w:val="0"/>
              <w:pageBreakBefore w:val="0"/>
              <w:widowControl/>
              <w:kinsoku/>
              <w:wordWrap/>
              <w:overflowPunct/>
              <w:topLinePunct w:val="0"/>
              <w:autoSpaceDE/>
              <w:autoSpaceDN/>
              <w:bidi w:val="0"/>
              <w:adjustRightInd/>
              <w:snapToGrid/>
              <w:spacing w:line="300" w:lineRule="atLeast"/>
              <w:ind w:right="96" w:rightChars="40"/>
              <w:textAlignment w:val="auto"/>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sz w:val="20"/>
                <w:szCs w:val="20"/>
                <w:highlight w:val="none"/>
                <w:lang w:val="en-US" w:eastAsia="zh-CN"/>
              </w:rPr>
              <w:t>3</w:t>
            </w:r>
            <w:r>
              <w:rPr>
                <w:rFonts w:ascii="楷体_GB2312" w:eastAsia="楷体_GB2312" w:cs="楷体_GB2312"/>
                <w:sz w:val="20"/>
                <w:szCs w:val="20"/>
                <w:highlight w:val="none"/>
              </w:rPr>
              <w:t>.本产品</w:t>
            </w:r>
            <w:r>
              <w:rPr>
                <w:rFonts w:hint="eastAsia" w:ascii="楷体_GB2312" w:eastAsia="楷体_GB2312" w:cs="楷体_GB2312"/>
                <w:sz w:val="20"/>
                <w:szCs w:val="20"/>
                <w:highlight w:val="none"/>
              </w:rPr>
              <w:t>首个赎回</w:t>
            </w:r>
            <w:r>
              <w:rPr>
                <w:rFonts w:ascii="楷体_GB2312" w:eastAsia="楷体_GB2312" w:cs="楷体_GB2312"/>
                <w:sz w:val="20"/>
                <w:szCs w:val="20"/>
                <w:highlight w:val="none"/>
              </w:rPr>
              <w:t>开放</w:t>
            </w:r>
            <w:r>
              <w:rPr>
                <w:rFonts w:hint="eastAsia" w:ascii="楷体_GB2312" w:eastAsia="楷体_GB2312" w:cs="楷体_GB2312"/>
                <w:sz w:val="20"/>
                <w:szCs w:val="20"/>
                <w:highlight w:val="none"/>
              </w:rPr>
              <w:t>日为</w:t>
            </w:r>
            <w:r>
              <w:rPr>
                <w:rFonts w:hint="eastAsia" w:ascii="楷体_GB2312" w:eastAsia="楷体_GB2312" w:cs="楷体_GB2312"/>
                <w:color w:val="000000" w:themeColor="text1"/>
                <w:sz w:val="20"/>
                <w:szCs w:val="20"/>
                <w:highlight w:val="none"/>
                <w14:textFill>
                  <w14:solidFill>
                    <w14:schemeClr w14:val="tx1"/>
                  </w14:solidFill>
                </w14:textFill>
              </w:rPr>
              <w:t>【2025】年【12】月【31】日</w:t>
            </w:r>
            <w:r>
              <w:rPr>
                <w:rFonts w:ascii="楷体_GB2312" w:eastAsia="楷体_GB2312" w:cs="楷体_GB2312"/>
                <w:sz w:val="20"/>
                <w:szCs w:val="20"/>
                <w:highlight w:val="none"/>
              </w:rPr>
              <w:t>，之后</w:t>
            </w:r>
            <w:r>
              <w:rPr>
                <w:rFonts w:hint="eastAsia" w:ascii="楷体_GB2312" w:eastAsia="楷体_GB2312" w:cs="楷体_GB2312"/>
                <w:sz w:val="20"/>
                <w:szCs w:val="20"/>
                <w:highlight w:val="none"/>
              </w:rPr>
              <w:t>按【日】为周期进行开放，开放日为【每个工作日】（如遇非工作日则顺延至下一工作日）</w:t>
            </w:r>
            <w:r>
              <w:rPr>
                <w:rFonts w:ascii="楷体_GB2312" w:eastAsia="楷体_GB2312" w:cs="楷体_GB2312"/>
                <w:sz w:val="20"/>
                <w:szCs w:val="20"/>
                <w:highlight w:val="none"/>
              </w:rPr>
              <w:t>。</w:t>
            </w:r>
          </w:p>
        </w:tc>
      </w:tr>
      <w:tr w14:paraId="2DE3C213">
        <w:tblPrEx>
          <w:tblCellMar>
            <w:top w:w="0" w:type="dxa"/>
            <w:left w:w="108" w:type="dxa"/>
            <w:bottom w:w="0" w:type="dxa"/>
            <w:right w:w="108" w:type="dxa"/>
          </w:tblCellMar>
        </w:tblPrEx>
        <w:trPr>
          <w:trHeight w:val="540" w:hRule="atLeast"/>
        </w:trPr>
        <w:tc>
          <w:tcPr>
            <w:tcW w:w="2453" w:type="dxa"/>
            <w:tcBorders>
              <w:top w:val="single" w:color="auto" w:sz="4" w:space="0"/>
              <w:left w:val="single" w:color="000000" w:sz="8" w:space="0"/>
              <w:bottom w:val="single" w:color="auto" w:sz="4" w:space="0"/>
              <w:right w:val="single" w:color="auto" w:sz="4" w:space="0"/>
            </w:tcBorders>
            <w:shd w:val="clear" w:color="auto" w:fill="auto"/>
            <w:vAlign w:val="center"/>
          </w:tcPr>
          <w:p w14:paraId="380D7EC1">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巨额赎回</w:t>
            </w:r>
          </w:p>
        </w:tc>
        <w:tc>
          <w:tcPr>
            <w:tcW w:w="6972" w:type="dxa"/>
            <w:tcBorders>
              <w:top w:val="single" w:color="auto" w:sz="4" w:space="0"/>
              <w:left w:val="single" w:color="auto" w:sz="4" w:space="0"/>
              <w:bottom w:val="single" w:color="auto" w:sz="4" w:space="0"/>
              <w:right w:val="single" w:color="000000" w:sz="8" w:space="0"/>
            </w:tcBorders>
            <w:vAlign w:val="center"/>
          </w:tcPr>
          <w:p w14:paraId="59A643A5">
            <w:pPr>
              <w:keepNext w:val="0"/>
              <w:keepLines w:val="0"/>
              <w:pageBreakBefore w:val="0"/>
              <w:widowControl/>
              <w:kinsoku/>
              <w:wordWrap/>
              <w:overflowPunct/>
              <w:topLinePunct w:val="0"/>
              <w:autoSpaceDE/>
              <w:autoSpaceDN/>
              <w:bidi w:val="0"/>
              <w:adjustRightInd/>
              <w:snapToGrid/>
              <w:spacing w:line="300" w:lineRule="exact"/>
              <w:ind w:left="-2" w:leftChars="-1" w:right="36" w:rightChars="15"/>
              <w:textAlignment w:val="auto"/>
              <w:rPr>
                <w:rFonts w:hint="eastAsia"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如某开放日投资者净赎回份额超过本产品上一日终存续总份额的【</w:t>
            </w:r>
            <w:r>
              <w:rPr>
                <w:rFonts w:ascii="楷体_GB2312" w:eastAsia="楷体_GB2312" w:cs="楷体_GB2312"/>
                <w:color w:val="000000" w:themeColor="text1"/>
                <w:sz w:val="20"/>
                <w:szCs w:val="20"/>
                <w:highlight w:val="none"/>
                <w14:textFill>
                  <w14:solidFill>
                    <w14:schemeClr w14:val="tx1"/>
                  </w14:solidFill>
                </w14:textFill>
              </w:rPr>
              <w:t>10%</w:t>
            </w:r>
            <w:r>
              <w:rPr>
                <w:rFonts w:hint="eastAsia" w:ascii="楷体_GB2312" w:eastAsia="楷体_GB2312" w:cs="楷体_GB2312"/>
                <w:color w:val="000000" w:themeColor="text1"/>
                <w:sz w:val="20"/>
                <w:szCs w:val="20"/>
                <w:highlight w:val="none"/>
                <w14:textFill>
                  <w14:solidFill>
                    <w14:schemeClr w14:val="tx1"/>
                  </w14:solidFill>
                </w14:textFill>
              </w:rPr>
              <w:t>】，则被视为巨额赎回，在巨额赎回的情况下，管理人可以按照法律、行政法规和理财产品销售文件约定，综合运用设置赎回上限、延期办理巨额赎回申请、暂停接受赎回申请、收取短期赎回费、暂停理财产品估值、摆动定价等方式，作为本理财产品流动性风险管理的辅助措施。</w:t>
            </w:r>
          </w:p>
          <w:p w14:paraId="65747175">
            <w:pPr>
              <w:keepNext w:val="0"/>
              <w:keepLines w:val="0"/>
              <w:pageBreakBefore w:val="0"/>
              <w:widowControl/>
              <w:kinsoku/>
              <w:wordWrap/>
              <w:overflowPunct/>
              <w:topLinePunct w:val="0"/>
              <w:autoSpaceDE/>
              <w:autoSpaceDN/>
              <w:bidi w:val="0"/>
              <w:adjustRightInd/>
              <w:snapToGrid/>
              <w:spacing w:line="300" w:lineRule="exact"/>
              <w:ind w:left="-2" w:leftChars="-1" w:right="36" w:rightChars="15"/>
              <w:textAlignment w:val="auto"/>
              <w:rPr>
                <w:rFonts w:ascii="楷体_GB2312" w:eastAsia="楷体_GB2312" w:cs="楷体_GB2312"/>
                <w:color w:val="000000" w:themeColor="text1"/>
                <w:sz w:val="20"/>
                <w:szCs w:val="20"/>
                <w:highlight w:val="none"/>
                <w14:textFill>
                  <w14:solidFill>
                    <w14:schemeClr w14:val="tx1"/>
                  </w14:solidFill>
                </w14:textFill>
              </w:rPr>
            </w:pPr>
            <w:r>
              <w:rPr>
                <w:rFonts w:hint="default" w:ascii="楷体_GB2312" w:hAnsi="宋体" w:eastAsia="楷体_GB2312" w:cs="楷体_GB2312"/>
                <w:bCs w:val="0"/>
                <w:color w:val="000000" w:themeColor="text1"/>
                <w:kern w:val="0"/>
                <w:sz w:val="20"/>
                <w:szCs w:val="20"/>
                <w:highlight w:val="none"/>
                <w:lang w:val="en-US" w:eastAsia="zh-CN" w:bidi="ar"/>
                <w14:textFill>
                  <w14:solidFill>
                    <w14:schemeClr w14:val="tx1"/>
                  </w14:solidFill>
                </w14:textFill>
              </w:rPr>
              <w:t>详见《产品说明书》之“理财产品的巨额赎回”</w:t>
            </w:r>
            <w:r>
              <w:rPr>
                <w:rFonts w:hint="eastAsia" w:ascii="楷体_GB2312" w:eastAsia="楷体_GB2312" w:cs="楷体_GB2312"/>
                <w:bCs w:val="0"/>
                <w:color w:val="000000" w:themeColor="text1"/>
                <w:kern w:val="0"/>
                <w:sz w:val="20"/>
                <w:szCs w:val="20"/>
                <w:highlight w:val="none"/>
                <w:lang w:val="en-US" w:eastAsia="zh-CN" w:bidi="ar"/>
                <w14:textFill>
                  <w14:solidFill>
                    <w14:schemeClr w14:val="tx1"/>
                  </w14:solidFill>
                </w14:textFill>
              </w:rPr>
              <w:t>。</w:t>
            </w:r>
          </w:p>
        </w:tc>
      </w:tr>
      <w:tr w14:paraId="4A75653F">
        <w:tblPrEx>
          <w:tblCellMar>
            <w:top w:w="0" w:type="dxa"/>
            <w:left w:w="108" w:type="dxa"/>
            <w:bottom w:w="0" w:type="dxa"/>
            <w:right w:w="108" w:type="dxa"/>
          </w:tblCellMar>
        </w:tblPrEx>
        <w:trPr>
          <w:trHeight w:val="540" w:hRule="atLeast"/>
        </w:trPr>
        <w:tc>
          <w:tcPr>
            <w:tcW w:w="2453" w:type="dxa"/>
            <w:tcBorders>
              <w:top w:val="single" w:color="auto" w:sz="4" w:space="0"/>
              <w:left w:val="single" w:color="000000" w:sz="8" w:space="0"/>
              <w:bottom w:val="nil"/>
              <w:right w:val="single" w:color="auto" w:sz="4" w:space="0"/>
            </w:tcBorders>
            <w:shd w:val="clear" w:color="auto" w:fill="auto"/>
            <w:vAlign w:val="center"/>
          </w:tcPr>
          <w:p w14:paraId="2C9F2C61">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收益分配方式</w:t>
            </w:r>
          </w:p>
        </w:tc>
        <w:tc>
          <w:tcPr>
            <w:tcW w:w="6972" w:type="dxa"/>
            <w:tcBorders>
              <w:top w:val="single" w:color="auto" w:sz="4" w:space="0"/>
              <w:left w:val="single" w:color="auto" w:sz="4" w:space="0"/>
              <w:bottom w:val="nil"/>
              <w:right w:val="single" w:color="000000" w:sz="8" w:space="0"/>
            </w:tcBorders>
            <w:vAlign w:val="center"/>
          </w:tcPr>
          <w:p w14:paraId="5A8C129A">
            <w:pPr>
              <w:pStyle w:val="19"/>
              <w:keepNext w:val="0"/>
              <w:keepLines w:val="0"/>
              <w:pageBreakBefore w:val="0"/>
              <w:widowControl/>
              <w:numPr>
                <w:ilvl w:val="0"/>
                <w:numId w:val="0"/>
              </w:numPr>
              <w:kinsoku/>
              <w:wordWrap/>
              <w:overflowPunct/>
              <w:topLinePunct w:val="0"/>
              <w:autoSpaceDE/>
              <w:autoSpaceDN/>
              <w:bidi w:val="0"/>
              <w:adjustRightInd/>
              <w:snapToGrid/>
              <w:spacing w:line="300" w:lineRule="exact"/>
              <w:ind w:right="96" w:rightChars="40" w:firstLine="0" w:firstLineChars="0"/>
              <w:textAlignment w:val="auto"/>
              <w:rPr>
                <w:rFonts w:ascii="黑体" w:eastAsia="黑体" w:cs="黑体"/>
                <w:color w:val="000000" w:themeColor="text1"/>
                <w:sz w:val="20"/>
                <w:szCs w:val="20"/>
                <w:highlight w:val="none"/>
                <w14:textFill>
                  <w14:solidFill>
                    <w14:schemeClr w14:val="tx1"/>
                  </w14:solidFill>
                </w14:textFill>
              </w:rPr>
            </w:pPr>
            <w:r>
              <w:rPr>
                <w:rFonts w:hint="eastAsia" w:ascii="黑体" w:eastAsia="黑体" w:cs="黑体"/>
                <w:color w:val="000000" w:themeColor="text1"/>
                <w:sz w:val="20"/>
                <w:szCs w:val="20"/>
                <w:highlight w:val="none"/>
                <w:lang w:eastAsia="zh-CN"/>
                <w14:textFill>
                  <w14:solidFill>
                    <w14:schemeClr w14:val="tx1"/>
                  </w14:solidFill>
                </w14:textFill>
              </w:rPr>
              <w:t>（一）</w:t>
            </w:r>
            <w:r>
              <w:rPr>
                <w:rFonts w:hint="eastAsia" w:ascii="黑体" w:eastAsia="黑体" w:cs="黑体"/>
                <w:color w:val="000000" w:themeColor="text1"/>
                <w:sz w:val="20"/>
                <w:szCs w:val="20"/>
                <w:highlight w:val="none"/>
                <w14:textFill>
                  <w14:solidFill>
                    <w14:schemeClr w14:val="tx1"/>
                  </w14:solidFill>
                </w14:textFill>
              </w:rPr>
              <w:t>期间</w:t>
            </w:r>
            <w:r>
              <w:rPr>
                <w:rFonts w:ascii="黑体" w:eastAsia="黑体" w:cs="黑体"/>
                <w:color w:val="000000" w:themeColor="text1"/>
                <w:sz w:val="20"/>
                <w:szCs w:val="20"/>
                <w:highlight w:val="none"/>
                <w14:textFill>
                  <w14:solidFill>
                    <w14:schemeClr w14:val="tx1"/>
                  </w14:solidFill>
                </w14:textFill>
              </w:rPr>
              <w:t>分配</w:t>
            </w:r>
          </w:p>
          <w:p w14:paraId="525ADC91">
            <w:pPr>
              <w:keepNext w:val="0"/>
              <w:keepLines w:val="0"/>
              <w:pageBreakBefore w:val="0"/>
              <w:widowControl/>
              <w:kinsoku/>
              <w:wordWrap/>
              <w:overflowPunct/>
              <w:topLinePunct w:val="0"/>
              <w:autoSpaceDE/>
              <w:autoSpaceDN/>
              <w:bidi w:val="0"/>
              <w:adjustRightInd/>
              <w:snapToGrid/>
              <w:spacing w:line="300" w:lineRule="exact"/>
              <w:ind w:right="96" w:rightChars="40"/>
              <w:textAlignment w:val="auto"/>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b/>
                <w:bCs/>
                <w:color w:val="000000" w:themeColor="text1"/>
                <w:sz w:val="20"/>
                <w:szCs w:val="20"/>
                <w:highlight w:val="none"/>
                <w14:textFill>
                  <w14:solidFill>
                    <w14:schemeClr w14:val="tx1"/>
                  </w14:solidFill>
                </w14:textFill>
              </w:rPr>
              <w:t>无。</w:t>
            </w:r>
          </w:p>
          <w:p w14:paraId="0E2DCE1C">
            <w:pPr>
              <w:pStyle w:val="19"/>
              <w:keepNext w:val="0"/>
              <w:keepLines w:val="0"/>
              <w:pageBreakBefore w:val="0"/>
              <w:widowControl/>
              <w:numPr>
                <w:ilvl w:val="0"/>
                <w:numId w:val="0"/>
              </w:numPr>
              <w:kinsoku/>
              <w:wordWrap/>
              <w:overflowPunct/>
              <w:topLinePunct w:val="0"/>
              <w:autoSpaceDE/>
              <w:autoSpaceDN/>
              <w:bidi w:val="0"/>
              <w:adjustRightInd/>
              <w:snapToGrid/>
              <w:spacing w:line="300" w:lineRule="exact"/>
              <w:ind w:right="96" w:rightChars="40" w:firstLine="0" w:firstLineChars="0"/>
              <w:textAlignment w:val="auto"/>
              <w:rPr>
                <w:rFonts w:hint="eastAsia" w:ascii="黑体" w:eastAsia="黑体" w:cs="黑体"/>
                <w:color w:val="000000" w:themeColor="text1"/>
                <w:sz w:val="20"/>
                <w:szCs w:val="20"/>
                <w:highlight w:val="none"/>
                <w:lang w:eastAsia="zh-CN"/>
                <w14:textFill>
                  <w14:solidFill>
                    <w14:schemeClr w14:val="tx1"/>
                  </w14:solidFill>
                </w14:textFill>
              </w:rPr>
            </w:pPr>
            <w:r>
              <w:rPr>
                <w:rFonts w:hint="eastAsia" w:ascii="黑体" w:eastAsia="黑体" w:cs="黑体"/>
                <w:color w:val="000000" w:themeColor="text1"/>
                <w:sz w:val="20"/>
                <w:szCs w:val="20"/>
                <w:highlight w:val="none"/>
                <w:lang w:eastAsia="zh-CN"/>
                <w14:textFill>
                  <w14:solidFill>
                    <w14:schemeClr w14:val="tx1"/>
                  </w14:solidFill>
                </w14:textFill>
              </w:rPr>
              <w:t>（二）终止分配</w:t>
            </w:r>
          </w:p>
          <w:p w14:paraId="23681F6F">
            <w:pPr>
              <w:keepNext w:val="0"/>
              <w:keepLines w:val="0"/>
              <w:pageBreakBefore w:val="0"/>
              <w:widowControl/>
              <w:kinsoku/>
              <w:wordWrap/>
              <w:overflowPunct/>
              <w:topLinePunct w:val="0"/>
              <w:autoSpaceDE/>
              <w:autoSpaceDN/>
              <w:bidi w:val="0"/>
              <w:adjustRightInd/>
              <w:snapToGrid/>
              <w:spacing w:line="300" w:lineRule="exact"/>
              <w:ind w:right="0" w:rightChars="0" w:firstLine="0" w:firstLineChars="0"/>
              <w:textAlignment w:val="auto"/>
              <w:rPr>
                <w:rFonts w:ascii="楷体_GB2312" w:eastAsia="楷体_GB2312" w:cs="楷体_GB2312"/>
                <w:color w:val="000000" w:themeColor="text1"/>
                <w:sz w:val="20"/>
                <w:szCs w:val="20"/>
                <w:highlight w:val="none"/>
                <w14:textFill>
                  <w14:solidFill>
                    <w14:schemeClr w14:val="tx1"/>
                  </w14:solidFill>
                </w14:textFill>
              </w:rPr>
            </w:pPr>
            <w:r>
              <w:rPr>
                <w:rFonts w:hint="default" w:ascii="楷体_GB2312" w:eastAsia="楷体_GB2312" w:cs="楷体_GB2312"/>
                <w:color w:val="000000" w:themeColor="text1"/>
                <w:sz w:val="20"/>
                <w:szCs w:val="20"/>
                <w:highlight w:val="none"/>
                <w14:textFill>
                  <w14:solidFill>
                    <w14:schemeClr w14:val="tx1"/>
                  </w14:solidFill>
                </w14:textFill>
              </w:rPr>
              <w:t>本产品在扣除信银理财</w:t>
            </w:r>
            <w:r>
              <w:rPr>
                <w:rFonts w:ascii="楷体_GB2312" w:eastAsia="楷体_GB2312" w:cs="楷体_GB2312"/>
                <w:color w:val="000000" w:themeColor="text1"/>
                <w:sz w:val="20"/>
                <w:szCs w:val="20"/>
                <w:highlight w:val="none"/>
                <w14:textFill>
                  <w14:solidFill>
                    <w14:schemeClr w14:val="tx1"/>
                  </w14:solidFill>
                </w14:textFill>
              </w:rPr>
              <w:t>应收取费用</w:t>
            </w:r>
            <w:r>
              <w:rPr>
                <w:rFonts w:hint="default" w:ascii="楷体_GB2312" w:eastAsia="楷体_GB2312" w:cs="楷体_GB2312"/>
                <w:color w:val="000000" w:themeColor="text1"/>
                <w:sz w:val="20"/>
                <w:szCs w:val="20"/>
                <w:highlight w:val="none"/>
                <w14:textFill>
                  <w14:solidFill>
                    <w14:schemeClr w14:val="tx1"/>
                  </w14:solidFill>
                </w14:textFill>
              </w:rPr>
              <w:t>及其他应由产品承担的税费后的投资损益全部归属投资者。</w:t>
            </w:r>
            <w:r>
              <w:rPr>
                <w:rFonts w:hint="eastAsia" w:ascii="楷体_GB2312" w:eastAsia="楷体_GB2312" w:cs="楷体_GB2312"/>
                <w:color w:val="000000" w:themeColor="text1"/>
                <w:sz w:val="20"/>
                <w:szCs w:val="20"/>
                <w:highlight w:val="none"/>
                <w14:textFill>
                  <w14:solidFill>
                    <w14:schemeClr w14:val="tx1"/>
                  </w14:solidFill>
                </w14:textFill>
              </w:rPr>
              <w:t>投资者到期日应得资金计算公式如下：</w:t>
            </w:r>
          </w:p>
          <w:p w14:paraId="72B8DFB7">
            <w:pPr>
              <w:keepNext w:val="0"/>
              <w:keepLines w:val="0"/>
              <w:pageBreakBefore w:val="0"/>
              <w:widowControl/>
              <w:kinsoku/>
              <w:wordWrap/>
              <w:overflowPunct/>
              <w:topLinePunct w:val="0"/>
              <w:autoSpaceDE/>
              <w:autoSpaceDN/>
              <w:bidi w:val="0"/>
              <w:adjustRightInd/>
              <w:snapToGrid/>
              <w:spacing w:line="300" w:lineRule="exact"/>
              <w:ind w:right="0" w:rightChars="0" w:firstLine="0" w:firstLineChars="0"/>
              <w:textAlignment w:val="auto"/>
              <w:rPr>
                <w:rFonts w:hint="eastAsia" w:ascii="楷体_GB2312" w:eastAsia="楷体_GB2312" w:cs="楷体_GB2312"/>
                <w:color w:val="000000" w:themeColor="text1"/>
                <w:sz w:val="20"/>
                <w:szCs w:val="20"/>
                <w:highlight w:val="none"/>
                <w:lang w:eastAsia="zh-CN"/>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投资者应得资金</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到期日产品可分配的总金额</w:t>
            </w:r>
            <w:r>
              <w:rPr>
                <w:rFonts w:ascii="楷体_GB2312" w:eastAsia="楷体_GB2312" w:cs="楷体_GB2312"/>
                <w:color w:val="000000" w:themeColor="text1"/>
                <w:sz w:val="20"/>
                <w:szCs w:val="20"/>
                <w:highlight w:val="none"/>
                <w14:textFill>
                  <w14:solidFill>
                    <w14:schemeClr w14:val="tx1"/>
                  </w14:solidFill>
                </w14:textFill>
              </w:rPr>
              <w:t>/产品的总份额*投资者的持有份额</w:t>
            </w:r>
            <w:r>
              <w:rPr>
                <w:rFonts w:hint="eastAsia" w:ascii="楷体_GB2312" w:eastAsia="楷体_GB2312" w:cs="楷体_GB2312"/>
                <w:color w:val="000000" w:themeColor="text1"/>
                <w:sz w:val="20"/>
                <w:szCs w:val="20"/>
                <w:highlight w:val="none"/>
                <w14:textFill>
                  <w14:solidFill>
                    <w14:schemeClr w14:val="tx1"/>
                  </w14:solidFill>
                </w14:textFill>
              </w:rPr>
              <w:t>-应付浮动</w:t>
            </w:r>
            <w:r>
              <w:rPr>
                <w:rFonts w:ascii="楷体_GB2312" w:eastAsia="楷体_GB2312" w:cs="楷体_GB2312"/>
                <w:color w:val="000000" w:themeColor="text1"/>
                <w:sz w:val="20"/>
                <w:szCs w:val="20"/>
                <w:highlight w:val="none"/>
                <w14:textFill>
                  <w14:solidFill>
                    <w14:schemeClr w14:val="tx1"/>
                  </w14:solidFill>
                </w14:textFill>
              </w:rPr>
              <w:t>管理费（</w:t>
            </w:r>
            <w:r>
              <w:rPr>
                <w:rFonts w:hint="eastAsia" w:ascii="楷体_GB2312" w:eastAsia="楷体_GB2312" w:cs="楷体_GB2312"/>
                <w:color w:val="000000" w:themeColor="text1"/>
                <w:sz w:val="20"/>
                <w:szCs w:val="20"/>
                <w:highlight w:val="none"/>
                <w14:textFill>
                  <w14:solidFill>
                    <w14:schemeClr w14:val="tx1"/>
                  </w14:solidFill>
                </w14:textFill>
              </w:rPr>
              <w:t>如有</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lang w:eastAsia="zh-CN"/>
                <w14:textFill>
                  <w14:solidFill>
                    <w14:schemeClr w14:val="tx1"/>
                  </w14:solidFill>
                </w14:textFill>
              </w:rPr>
              <w:t>。</w:t>
            </w:r>
          </w:p>
          <w:p w14:paraId="158FABA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ascii="楷体_GB2312" w:eastAsia="楷体_GB2312" w:cs="楷体_GB2312"/>
                <w:color w:val="000000" w:themeColor="text1"/>
                <w:sz w:val="20"/>
                <w:szCs w:val="20"/>
                <w:highlight w:val="none"/>
                <w14:textFill>
                  <w14:solidFill>
                    <w14:schemeClr w14:val="tx1"/>
                  </w14:solidFill>
                </w14:textFill>
              </w:rPr>
            </w:pPr>
            <w:r>
              <w:rPr>
                <w:rFonts w:hint="default" w:ascii="楷体_GB2312" w:hAnsi="宋体" w:eastAsia="楷体_GB2312" w:cs="楷体_GB2312"/>
                <w:bCs w:val="0"/>
                <w:color w:val="000000" w:themeColor="text1"/>
                <w:kern w:val="0"/>
                <w:sz w:val="20"/>
                <w:szCs w:val="20"/>
                <w:highlight w:val="none"/>
                <w:lang w:val="en-US" w:eastAsia="zh-CN" w:bidi="ar"/>
                <w14:textFill>
                  <w14:solidFill>
                    <w14:schemeClr w14:val="tx1"/>
                  </w14:solidFill>
                </w14:textFill>
              </w:rPr>
              <w:t>详见《产品说明书》之“理财资金分配”</w:t>
            </w:r>
            <w:r>
              <w:rPr>
                <w:rFonts w:hint="eastAsia" w:ascii="楷体_GB2312" w:eastAsia="楷体_GB2312" w:cs="楷体_GB2312"/>
                <w:bCs w:val="0"/>
                <w:color w:val="000000" w:themeColor="text1"/>
                <w:kern w:val="0"/>
                <w:sz w:val="20"/>
                <w:szCs w:val="20"/>
                <w:highlight w:val="none"/>
                <w:lang w:val="en-US" w:eastAsia="zh-CN" w:bidi="ar"/>
                <w14:textFill>
                  <w14:solidFill>
                    <w14:schemeClr w14:val="tx1"/>
                  </w14:solidFill>
                </w14:textFill>
              </w:rPr>
              <w:t>。</w:t>
            </w:r>
          </w:p>
        </w:tc>
      </w:tr>
      <w:tr w14:paraId="42203598">
        <w:tblPrEx>
          <w:tblCellMar>
            <w:top w:w="0" w:type="dxa"/>
            <w:left w:w="108" w:type="dxa"/>
            <w:bottom w:w="0" w:type="dxa"/>
            <w:right w:w="108" w:type="dxa"/>
          </w:tblCellMar>
        </w:tblPrEx>
        <w:trPr>
          <w:trHeight w:val="270" w:hRule="atLeast"/>
        </w:trPr>
        <w:tc>
          <w:tcPr>
            <w:tcW w:w="9425" w:type="dxa"/>
            <w:gridSpan w:val="2"/>
            <w:tcBorders>
              <w:top w:val="single" w:color="000000" w:sz="4" w:space="0"/>
              <w:left w:val="single" w:color="000000" w:sz="8" w:space="0"/>
              <w:bottom w:val="nil"/>
              <w:right w:val="single" w:color="000000" w:sz="8" w:space="0"/>
            </w:tcBorders>
            <w:vAlign w:val="center"/>
          </w:tcPr>
          <w:p w14:paraId="4D6E3F73">
            <w:pPr>
              <w:widowControl/>
              <w:spacing w:line="400" w:lineRule="exact"/>
              <w:jc w:val="center"/>
              <w:textAlignment w:val="center"/>
              <w:rPr>
                <w:rFonts w:hint="eastAsia" w:ascii="楷体_GB2312" w:hAnsi="等线" w:eastAsia="楷体_GB2312" w:cs="楷体_GB2312"/>
                <w:b/>
                <w:bCs/>
                <w:color w:val="000000" w:themeColor="text1"/>
                <w:sz w:val="24"/>
                <w:highlight w:val="none"/>
                <w14:textFill>
                  <w14:solidFill>
                    <w14:schemeClr w14:val="tx1"/>
                  </w14:solidFill>
                </w14:textFill>
              </w:rPr>
            </w:pPr>
            <w:r>
              <w:rPr>
                <w:rFonts w:hint="eastAsia" w:ascii="楷体_GB2312" w:hAnsi="等线" w:eastAsia="楷体_GB2312" w:cs="楷体_GB2312"/>
                <w:b/>
                <w:bCs/>
                <w:color w:val="000000" w:themeColor="text1"/>
                <w:kern w:val="0"/>
                <w:sz w:val="24"/>
                <w:highlight w:val="none"/>
                <w:lang w:bidi="ar"/>
                <w14:textFill>
                  <w14:solidFill>
                    <w14:schemeClr w14:val="tx1"/>
                  </w14:solidFill>
                </w14:textFill>
              </w:rPr>
              <w:t>（三）产品性质与类型</w:t>
            </w:r>
          </w:p>
        </w:tc>
      </w:tr>
      <w:tr w14:paraId="2929A64A">
        <w:tblPrEx>
          <w:tblCellMar>
            <w:top w:w="0" w:type="dxa"/>
            <w:left w:w="108" w:type="dxa"/>
            <w:bottom w:w="0" w:type="dxa"/>
            <w:right w:w="108" w:type="dxa"/>
          </w:tblCellMar>
        </w:tblPrEx>
        <w:trPr>
          <w:trHeight w:val="540" w:hRule="atLeast"/>
        </w:trPr>
        <w:tc>
          <w:tcPr>
            <w:tcW w:w="2453" w:type="dxa"/>
            <w:tcBorders>
              <w:top w:val="single" w:color="000000" w:sz="4" w:space="0"/>
              <w:left w:val="single" w:color="000000" w:sz="8" w:space="0"/>
              <w:bottom w:val="single" w:color="auto" w:sz="4" w:space="0"/>
              <w:right w:val="single" w:color="auto" w:sz="4" w:space="0"/>
            </w:tcBorders>
            <w:vAlign w:val="center"/>
          </w:tcPr>
          <w:p w14:paraId="7D6B5290">
            <w:pPr>
              <w:widowControl/>
              <w:spacing w:line="400" w:lineRule="exact"/>
              <w:jc w:val="center"/>
              <w:textAlignment w:val="center"/>
              <w:rPr>
                <w:rFonts w:hint="eastAsia" w:ascii="仿宋_GB2312" w:hAnsi="等线" w:eastAsia="仿宋_GB2312" w:cs="仿宋_GB2312"/>
                <w:color w:val="000000" w:themeColor="text1"/>
                <w:sz w:val="24"/>
                <w:highlight w:val="none"/>
                <w:lang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募集方式、投资性质、运作模式</w:t>
            </w:r>
          </w:p>
        </w:tc>
        <w:tc>
          <w:tcPr>
            <w:tcW w:w="6972" w:type="dxa"/>
            <w:tcBorders>
              <w:top w:val="single" w:color="000000" w:sz="4" w:space="0"/>
              <w:left w:val="single" w:color="auto" w:sz="4" w:space="0"/>
              <w:bottom w:val="single" w:color="auto" w:sz="4" w:space="0"/>
              <w:right w:val="single" w:color="000000" w:sz="8" w:space="0"/>
            </w:tcBorders>
            <w:vAlign w:val="center"/>
          </w:tcPr>
          <w:p w14:paraId="2F44795B">
            <w:pPr>
              <w:widowControl/>
              <w:spacing w:line="400" w:lineRule="exact"/>
              <w:jc w:val="center"/>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公募、【固定收益类】、开放式</w:t>
            </w:r>
          </w:p>
        </w:tc>
      </w:tr>
      <w:tr w14:paraId="387A520C">
        <w:tblPrEx>
          <w:tblCellMar>
            <w:top w:w="0" w:type="dxa"/>
            <w:left w:w="108" w:type="dxa"/>
            <w:bottom w:w="0" w:type="dxa"/>
            <w:right w:w="108" w:type="dxa"/>
          </w:tblCellMar>
        </w:tblPrEx>
        <w:trPr>
          <w:trHeight w:val="540" w:hRule="atLeast"/>
        </w:trPr>
        <w:tc>
          <w:tcPr>
            <w:tcW w:w="2453" w:type="dxa"/>
            <w:tcBorders>
              <w:top w:val="single" w:color="auto" w:sz="4" w:space="0"/>
              <w:left w:val="single" w:color="000000" w:sz="8" w:space="0"/>
              <w:bottom w:val="single" w:color="auto" w:sz="4" w:space="0"/>
              <w:right w:val="single" w:color="auto" w:sz="4" w:space="0"/>
            </w:tcBorders>
            <w:vAlign w:val="center"/>
          </w:tcPr>
          <w:p w14:paraId="6839A63C">
            <w:pPr>
              <w:widowControl/>
              <w:spacing w:line="400" w:lineRule="exact"/>
              <w:jc w:val="center"/>
              <w:textAlignment w:val="center"/>
              <w:rPr>
                <w:rFonts w:hint="eastAsia"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运作模式（二级）</w:t>
            </w:r>
          </w:p>
        </w:tc>
        <w:tc>
          <w:tcPr>
            <w:tcW w:w="6972" w:type="dxa"/>
            <w:tcBorders>
              <w:top w:val="single" w:color="auto" w:sz="4" w:space="0"/>
              <w:left w:val="single" w:color="auto" w:sz="4" w:space="0"/>
              <w:bottom w:val="single" w:color="auto" w:sz="4" w:space="0"/>
              <w:right w:val="single" w:color="000000" w:sz="8" w:space="0"/>
            </w:tcBorders>
            <w:shd w:val="clear" w:color="auto" w:fill="auto"/>
            <w:vAlign w:val="center"/>
          </w:tcPr>
          <w:p w14:paraId="53713D16">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日开型产品</w:t>
            </w:r>
          </w:p>
        </w:tc>
      </w:tr>
      <w:tr w14:paraId="3DC30393">
        <w:tblPrEx>
          <w:tblCellMar>
            <w:top w:w="0" w:type="dxa"/>
            <w:left w:w="108" w:type="dxa"/>
            <w:bottom w:w="0" w:type="dxa"/>
            <w:right w:w="108" w:type="dxa"/>
          </w:tblCellMar>
        </w:tblPrEx>
        <w:trPr>
          <w:trHeight w:val="810" w:hRule="atLeast"/>
        </w:trPr>
        <w:tc>
          <w:tcPr>
            <w:tcW w:w="2453" w:type="dxa"/>
            <w:tcBorders>
              <w:top w:val="single" w:color="auto" w:sz="4" w:space="0"/>
              <w:left w:val="single" w:color="000000" w:sz="8" w:space="0"/>
              <w:bottom w:val="single" w:color="auto" w:sz="4" w:space="0"/>
              <w:right w:val="single" w:color="auto" w:sz="4" w:space="0"/>
            </w:tcBorders>
            <w:vAlign w:val="center"/>
          </w:tcPr>
          <w:p w14:paraId="4E23E7E0">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风险等级</w:t>
            </w:r>
          </w:p>
        </w:tc>
        <w:tc>
          <w:tcPr>
            <w:tcW w:w="6972" w:type="dxa"/>
            <w:tcBorders>
              <w:top w:val="single" w:color="auto" w:sz="4" w:space="0"/>
              <w:left w:val="single" w:color="auto" w:sz="4" w:space="0"/>
              <w:bottom w:val="single" w:color="auto" w:sz="4" w:space="0"/>
              <w:right w:val="single" w:color="000000" w:sz="8" w:space="0"/>
            </w:tcBorders>
            <w:vAlign w:val="center"/>
          </w:tcPr>
          <w:p w14:paraId="4C81A4DF">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sz w:val="20"/>
                <w:szCs w:val="20"/>
                <w:highlight w:val="none"/>
              </w:rPr>
              <w:t>PR</w:t>
            </w:r>
            <w:r>
              <w:rPr>
                <w:rFonts w:hint="eastAsia" w:ascii="楷体_GB2312" w:eastAsia="楷体_GB2312" w:cs="楷体_GB2312"/>
                <w:sz w:val="20"/>
                <w:szCs w:val="20"/>
                <w:highlight w:val="none"/>
              </w:rPr>
              <w:t>【2】级（【稳健】</w:t>
            </w:r>
            <w:r>
              <w:rPr>
                <w:rFonts w:ascii="楷体_GB2312" w:eastAsia="楷体_GB2312" w:cs="楷体_GB2312"/>
                <w:sz w:val="20"/>
                <w:szCs w:val="20"/>
                <w:highlight w:val="none"/>
              </w:rPr>
              <w:t>型</w:t>
            </w:r>
            <w:r>
              <w:rPr>
                <w:rFonts w:hint="eastAsia" w:ascii="楷体_GB2312" w:eastAsia="楷体_GB2312" w:cs="楷体_GB2312"/>
                <w:sz w:val="20"/>
                <w:szCs w:val="20"/>
                <w:highlight w:val="none"/>
              </w:rPr>
              <w:t>）</w:t>
            </w:r>
            <w:r>
              <w:rPr>
                <w:rFonts w:hint="eastAsia" w:ascii="楷体_GB2312" w:eastAsia="楷体_GB2312" w:cs="楷体_GB2312"/>
                <w:color w:val="000000" w:themeColor="text1"/>
                <w:sz w:val="20"/>
                <w:szCs w:val="20"/>
                <w:highlight w:val="none"/>
                <w14:textFill>
                  <w14:solidFill>
                    <w14:schemeClr w14:val="tx1"/>
                  </w14:solidFill>
                </w14:textFill>
              </w:rPr>
              <w:t>。本风险分级为信银理财自行评定，仅供参考。</w:t>
            </w:r>
          </w:p>
          <w:p w14:paraId="635E5D9B">
            <w:pPr>
              <w:spacing w:line="300" w:lineRule="exact"/>
              <w:ind w:left="-2" w:leftChars="-1" w:right="36" w:rightChars="15"/>
              <w:rPr>
                <w:rFonts w:hint="default"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信银理财有权根据市场变化对产品风险等级进行调整，</w:t>
            </w:r>
            <w:r>
              <w:rPr>
                <w:rFonts w:ascii="楷体_GB2312" w:eastAsia="楷体_GB2312" w:cs="楷体_GB2312"/>
                <w:color w:val="000000" w:themeColor="text1"/>
                <w:sz w:val="20"/>
                <w:szCs w:val="20"/>
                <w:highlight w:val="none"/>
                <w14:textFill>
                  <w14:solidFill>
                    <w14:schemeClr w14:val="tx1"/>
                  </w14:solidFill>
                </w14:textFill>
              </w:rPr>
              <w:t>并最迟于调整生效前</w:t>
            </w:r>
            <w:r>
              <w:rPr>
                <w:rFonts w:hint="eastAsia" w:ascii="楷体_GB2312" w:eastAsia="楷体_GB2312" w:cs="楷体_GB2312"/>
                <w:color w:val="000000" w:themeColor="text1"/>
                <w:sz w:val="20"/>
                <w:szCs w:val="20"/>
                <w:highlight w:val="none"/>
                <w14:textFill>
                  <w14:solidFill>
                    <w14:schemeClr w14:val="tx1"/>
                  </w14:solidFill>
                </w14:textFill>
              </w:rPr>
              <w:t>【2</w:t>
            </w:r>
            <w:r>
              <w:rPr>
                <w:rFonts w:ascii="楷体_GB2312" w:eastAsia="楷体_GB2312" w:cs="楷体_GB2312"/>
                <w:color w:val="000000" w:themeColor="text1"/>
                <w:sz w:val="20"/>
                <w:szCs w:val="20"/>
                <w:highlight w:val="none"/>
                <w14:textFill>
                  <w14:solidFill>
                    <w14:schemeClr w14:val="tx1"/>
                  </w14:solidFill>
                </w14:textFill>
              </w:rPr>
              <w:t>】个工作日</w:t>
            </w:r>
            <w:r>
              <w:rPr>
                <w:rFonts w:hint="eastAsia" w:ascii="楷体_GB2312" w:eastAsia="楷体_GB2312" w:cs="楷体_GB2312"/>
                <w:color w:val="000000" w:themeColor="text1"/>
                <w:sz w:val="20"/>
                <w:szCs w:val="20"/>
                <w:highlight w:val="none"/>
                <w14:textFill>
                  <w14:solidFill>
                    <w14:schemeClr w14:val="tx1"/>
                  </w14:solidFill>
                </w14:textFill>
              </w:rPr>
              <w:t>以</w:t>
            </w:r>
            <w:r>
              <w:rPr>
                <w:rFonts w:ascii="楷体_GB2312" w:eastAsia="楷体_GB2312" w:cs="楷体_GB2312"/>
                <w:color w:val="000000" w:themeColor="text1"/>
                <w:sz w:val="20"/>
                <w:szCs w:val="20"/>
                <w:highlight w:val="none"/>
                <w14:textFill>
                  <w14:solidFill>
                    <w14:schemeClr w14:val="tx1"/>
                  </w14:solidFill>
                </w14:textFill>
              </w:rPr>
              <w:t>本说明书约定的方式</w:t>
            </w:r>
            <w:r>
              <w:rPr>
                <w:rFonts w:hint="eastAsia" w:ascii="楷体_GB2312" w:eastAsia="楷体_GB2312" w:cs="楷体_GB2312"/>
                <w:color w:val="000000" w:themeColor="text1"/>
                <w:sz w:val="20"/>
                <w:szCs w:val="20"/>
                <w:highlight w:val="none"/>
                <w14:textFill>
                  <w14:solidFill>
                    <w14:schemeClr w14:val="tx1"/>
                  </w14:solidFill>
                </w14:textFill>
              </w:rPr>
              <w:t>向投资者发布相关信息</w:t>
            </w:r>
            <w:r>
              <w:rPr>
                <w:rFonts w:ascii="楷体_GB2312" w:eastAsia="楷体_GB2312" w:cs="楷体_GB2312"/>
                <w:color w:val="000000" w:themeColor="text1"/>
                <w:sz w:val="20"/>
                <w:szCs w:val="20"/>
                <w:highlight w:val="none"/>
                <w14:textFill>
                  <w14:solidFill>
                    <w14:schemeClr w14:val="tx1"/>
                  </w14:solidFill>
                </w14:textFill>
              </w:rPr>
              <w:t>。</w:t>
            </w:r>
          </w:p>
          <w:p w14:paraId="3E2B3B2D">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理财</w:t>
            </w:r>
            <w:r>
              <w:rPr>
                <w:rFonts w:ascii="楷体_GB2312" w:eastAsia="楷体_GB2312" w:cs="楷体_GB2312"/>
                <w:color w:val="000000" w:themeColor="text1"/>
                <w:sz w:val="20"/>
                <w:szCs w:val="20"/>
                <w:highlight w:val="none"/>
                <w14:textFill>
                  <w14:solidFill>
                    <w14:schemeClr w14:val="tx1"/>
                  </w14:solidFill>
                </w14:textFill>
              </w:rPr>
              <w:t>产品通过代销机构销售的，代销机构将</w:t>
            </w:r>
            <w:r>
              <w:rPr>
                <w:rFonts w:hint="eastAsia" w:ascii="楷体_GB2312" w:eastAsia="楷体_GB2312" w:cs="楷体_GB2312"/>
                <w:color w:val="000000" w:themeColor="text1"/>
                <w:sz w:val="20"/>
                <w:szCs w:val="20"/>
                <w:highlight w:val="none"/>
                <w14:textFill>
                  <w14:solidFill>
                    <w14:schemeClr w14:val="tx1"/>
                  </w14:solidFill>
                </w14:textFill>
              </w:rPr>
              <w:t>对</w:t>
            </w:r>
            <w:r>
              <w:rPr>
                <w:rFonts w:ascii="楷体_GB2312" w:eastAsia="楷体_GB2312" w:cs="楷体_GB2312"/>
                <w:color w:val="000000" w:themeColor="text1"/>
                <w:sz w:val="20"/>
                <w:szCs w:val="20"/>
                <w:highlight w:val="none"/>
                <w14:textFill>
                  <w14:solidFill>
                    <w14:schemeClr w14:val="tx1"/>
                  </w14:solidFill>
                </w14:textFill>
              </w:rPr>
              <w:t>理财产品进行风险评级</w:t>
            </w:r>
            <w:r>
              <w:rPr>
                <w:rFonts w:hint="eastAsia" w:ascii="楷体_GB2312" w:eastAsia="楷体_GB2312" w:cs="楷体_GB2312"/>
                <w:color w:val="000000" w:themeColor="text1"/>
                <w:sz w:val="20"/>
                <w:szCs w:val="20"/>
                <w:highlight w:val="none"/>
                <w14:textFill>
                  <w14:solidFill>
                    <w14:schemeClr w14:val="tx1"/>
                  </w14:solidFill>
                </w14:textFill>
              </w:rPr>
              <w:t>并</w:t>
            </w:r>
            <w:r>
              <w:rPr>
                <w:rFonts w:ascii="楷体_GB2312" w:eastAsia="楷体_GB2312" w:cs="楷体_GB2312"/>
                <w:color w:val="000000" w:themeColor="text1"/>
                <w:sz w:val="20"/>
                <w:szCs w:val="20"/>
                <w:highlight w:val="none"/>
                <w14:textFill>
                  <w14:solidFill>
                    <w14:schemeClr w14:val="tx1"/>
                  </w14:solidFill>
                </w14:textFill>
              </w:rPr>
              <w:t>对投资者进行风险</w:t>
            </w:r>
            <w:r>
              <w:rPr>
                <w:rFonts w:hint="eastAsia" w:ascii="楷体_GB2312" w:eastAsia="楷体_GB2312" w:cs="楷体_GB2312"/>
                <w:color w:val="000000" w:themeColor="text1"/>
                <w:sz w:val="20"/>
                <w:szCs w:val="20"/>
                <w:highlight w:val="none"/>
                <w14:textFill>
                  <w14:solidFill>
                    <w14:schemeClr w14:val="tx1"/>
                  </w14:solidFill>
                </w14:textFill>
              </w:rPr>
              <w:t>承受能力</w:t>
            </w:r>
            <w:r>
              <w:rPr>
                <w:rFonts w:ascii="楷体_GB2312" w:eastAsia="楷体_GB2312" w:cs="楷体_GB2312"/>
                <w:color w:val="000000" w:themeColor="text1"/>
                <w:sz w:val="20"/>
                <w:szCs w:val="20"/>
                <w:highlight w:val="none"/>
                <w14:textFill>
                  <w14:solidFill>
                    <w14:schemeClr w14:val="tx1"/>
                  </w14:solidFill>
                </w14:textFill>
              </w:rPr>
              <w:t>测评</w:t>
            </w:r>
            <w:r>
              <w:rPr>
                <w:rFonts w:hint="eastAsia"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b/>
                <w:bCs/>
                <w:color w:val="000000" w:themeColor="text1"/>
                <w:sz w:val="20"/>
                <w:szCs w:val="20"/>
                <w:highlight w:val="none"/>
                <w14:textFill>
                  <w14:solidFill>
                    <w14:schemeClr w14:val="tx1"/>
                  </w14:solidFill>
                </w14:textFill>
              </w:rPr>
              <w:t>理财产品评级应当以代销机构最终披露的评级结果为准</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代销</w:t>
            </w:r>
            <w:r>
              <w:rPr>
                <w:rFonts w:ascii="楷体_GB2312" w:eastAsia="楷体_GB2312" w:cs="楷体_GB2312"/>
                <w:color w:val="000000" w:themeColor="text1"/>
                <w:sz w:val="20"/>
                <w:szCs w:val="20"/>
                <w:highlight w:val="none"/>
                <w14:textFill>
                  <w14:solidFill>
                    <w14:schemeClr w14:val="tx1"/>
                  </w14:solidFill>
                </w14:textFill>
              </w:rPr>
              <w:t>机构对</w:t>
            </w:r>
            <w:r>
              <w:rPr>
                <w:rFonts w:hint="eastAsia" w:ascii="楷体_GB2312" w:eastAsia="楷体_GB2312" w:cs="楷体_GB2312"/>
                <w:color w:val="000000" w:themeColor="text1"/>
                <w:sz w:val="20"/>
                <w:szCs w:val="20"/>
                <w:highlight w:val="none"/>
                <w14:textFill>
                  <w14:solidFill>
                    <w14:schemeClr w14:val="tx1"/>
                  </w14:solidFill>
                </w14:textFill>
              </w:rPr>
              <w:t>产品的</w:t>
            </w:r>
            <w:r>
              <w:rPr>
                <w:rFonts w:ascii="楷体_GB2312" w:eastAsia="楷体_GB2312" w:cs="楷体_GB2312"/>
                <w:color w:val="000000" w:themeColor="text1"/>
                <w:sz w:val="20"/>
                <w:szCs w:val="20"/>
                <w:highlight w:val="none"/>
                <w14:textFill>
                  <w14:solidFill>
                    <w14:schemeClr w14:val="tx1"/>
                  </w14:solidFill>
                </w14:textFill>
              </w:rPr>
              <w:t>风险</w:t>
            </w:r>
            <w:r>
              <w:rPr>
                <w:rFonts w:hint="eastAsia" w:ascii="楷体_GB2312" w:eastAsia="楷体_GB2312" w:cs="楷体_GB2312"/>
                <w:color w:val="000000" w:themeColor="text1"/>
                <w:sz w:val="20"/>
                <w:szCs w:val="20"/>
                <w:highlight w:val="none"/>
                <w14:textFill>
                  <w14:solidFill>
                    <w14:schemeClr w14:val="tx1"/>
                  </w14:solidFill>
                </w14:textFill>
              </w:rPr>
              <w:t>评级</w:t>
            </w:r>
            <w:r>
              <w:rPr>
                <w:rFonts w:ascii="楷体_GB2312" w:eastAsia="楷体_GB2312" w:cs="楷体_GB2312"/>
                <w:color w:val="000000" w:themeColor="text1"/>
                <w:sz w:val="20"/>
                <w:szCs w:val="20"/>
                <w:highlight w:val="none"/>
                <w14:textFill>
                  <w14:solidFill>
                    <w14:schemeClr w14:val="tx1"/>
                  </w14:solidFill>
                </w14:textFill>
              </w:rPr>
              <w:t>结果与信银理财不一致的，将采用对应较高风险</w:t>
            </w:r>
            <w:r>
              <w:rPr>
                <w:rFonts w:hint="eastAsia" w:ascii="楷体_GB2312" w:eastAsia="楷体_GB2312" w:cs="楷体_GB2312"/>
                <w:color w:val="000000" w:themeColor="text1"/>
                <w:sz w:val="20"/>
                <w:szCs w:val="20"/>
                <w:highlight w:val="none"/>
                <w14:textFill>
                  <w14:solidFill>
                    <w14:schemeClr w14:val="tx1"/>
                  </w14:solidFill>
                </w14:textFill>
              </w:rPr>
              <w:t>等级</w:t>
            </w:r>
            <w:r>
              <w:rPr>
                <w:rFonts w:ascii="楷体_GB2312" w:eastAsia="楷体_GB2312" w:cs="楷体_GB2312"/>
                <w:color w:val="000000" w:themeColor="text1"/>
                <w:sz w:val="20"/>
                <w:szCs w:val="20"/>
                <w:highlight w:val="none"/>
                <w14:textFill>
                  <w14:solidFill>
                    <w14:schemeClr w14:val="tx1"/>
                  </w14:solidFill>
                </w14:textFill>
              </w:rPr>
              <w:t>的评级结果。</w:t>
            </w:r>
            <w:r>
              <w:rPr>
                <w:rFonts w:hint="eastAsia" w:ascii="仿宋_GB2312" w:hAnsi="等线" w:eastAsia="仿宋_GB2312" w:cs="仿宋_GB2312"/>
                <w:bCs/>
                <w:color w:val="000000" w:themeColor="text1"/>
                <w:kern w:val="0"/>
                <w:sz w:val="24"/>
                <w:highlight w:val="none"/>
                <w:lang w:bidi="ar"/>
                <w14:textFill>
                  <w14:solidFill>
                    <w14:schemeClr w14:val="tx1"/>
                  </w14:solidFill>
                </w14:textFill>
              </w:rPr>
              <w:br w:type="textWrapping"/>
            </w:r>
            <w:r>
              <w:rPr>
                <w:rFonts w:hint="eastAsia" w:ascii="楷体_GB2312" w:eastAsia="楷体_GB2312" w:cs="楷体_GB2312"/>
                <w:b/>
                <w:bCs/>
                <w:color w:val="000000" w:themeColor="text1"/>
                <w:sz w:val="20"/>
                <w:szCs w:val="20"/>
                <w:highlight w:val="none"/>
                <w14:textFill>
                  <w14:solidFill>
                    <w14:schemeClr w14:val="tx1"/>
                  </w14:solidFill>
                </w14:textFill>
              </w:rPr>
              <w:t>（重要提示：该等级为理财产品发行机构评定结果，该产品通过代理销售机构渠道销售的，理财产品评级应当以代理销售机构最终披露的评级结果为准。）</w:t>
            </w:r>
          </w:p>
        </w:tc>
      </w:tr>
      <w:tr w14:paraId="708E7F6B">
        <w:tblPrEx>
          <w:tblCellMar>
            <w:top w:w="0" w:type="dxa"/>
            <w:left w:w="108" w:type="dxa"/>
            <w:bottom w:w="0" w:type="dxa"/>
            <w:right w:w="108" w:type="dxa"/>
          </w:tblCellMar>
        </w:tblPrEx>
        <w:trPr>
          <w:trHeight w:val="810" w:hRule="atLeast"/>
        </w:trPr>
        <w:tc>
          <w:tcPr>
            <w:tcW w:w="2453" w:type="dxa"/>
            <w:tcBorders>
              <w:top w:val="single" w:color="auto" w:sz="4" w:space="0"/>
              <w:left w:val="single" w:color="auto" w:sz="4" w:space="0"/>
              <w:bottom w:val="nil"/>
              <w:right w:val="single" w:color="auto" w:sz="4" w:space="0"/>
            </w:tcBorders>
            <w:vAlign w:val="center"/>
          </w:tcPr>
          <w:p w14:paraId="2C8437E5">
            <w:pPr>
              <w:widowControl/>
              <w:spacing w:line="400" w:lineRule="exact"/>
              <w:jc w:val="center"/>
              <w:textAlignment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是否为现金管理类产品</w:t>
            </w:r>
          </w:p>
        </w:tc>
        <w:tc>
          <w:tcPr>
            <w:tcW w:w="6972" w:type="dxa"/>
            <w:tcBorders>
              <w:top w:val="single" w:color="auto" w:sz="4" w:space="0"/>
              <w:left w:val="single" w:color="auto" w:sz="4" w:space="0"/>
              <w:bottom w:val="nil"/>
              <w:right w:val="single" w:color="auto" w:sz="4" w:space="0"/>
            </w:tcBorders>
            <w:shd w:val="clear" w:color="auto" w:fill="auto"/>
            <w:vAlign w:val="center"/>
          </w:tcPr>
          <w:p w14:paraId="236E28E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lang w:val="en-US" w:eastAsia="zh-CN" w:bidi="ar-SA"/>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否</w:t>
            </w:r>
          </w:p>
        </w:tc>
      </w:tr>
      <w:tr w14:paraId="709DAF32">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617976BF">
            <w:pPr>
              <w:widowControl/>
              <w:spacing w:line="400" w:lineRule="exact"/>
              <w:jc w:val="center"/>
              <w:textAlignment w:val="center"/>
              <w:rPr>
                <w:rFonts w:hint="eastAsia" w:ascii="楷体_GB2312" w:hAnsi="等线" w:eastAsia="楷体_GB2312" w:cs="楷体_GB2312"/>
                <w:bCs/>
                <w:color w:val="000000" w:themeColor="text1"/>
                <w:sz w:val="24"/>
                <w:highlight w:val="none"/>
                <w14:textFill>
                  <w14:solidFill>
                    <w14:schemeClr w14:val="tx1"/>
                  </w14:solidFill>
                </w14:textFill>
              </w:rPr>
            </w:pPr>
            <w:r>
              <w:rPr>
                <w:rFonts w:hint="eastAsia" w:ascii="楷体_GB2312" w:hAnsi="等线" w:eastAsia="楷体_GB2312" w:cs="楷体_GB2312"/>
                <w:b/>
                <w:color w:val="000000" w:themeColor="text1"/>
                <w:kern w:val="0"/>
                <w:sz w:val="24"/>
                <w:highlight w:val="none"/>
                <w:lang w:bidi="ar"/>
                <w14:textFill>
                  <w14:solidFill>
                    <w14:schemeClr w14:val="tx1"/>
                  </w14:solidFill>
                </w14:textFill>
              </w:rPr>
              <w:t>（四）产品期限</w:t>
            </w:r>
          </w:p>
        </w:tc>
      </w:tr>
      <w:tr w14:paraId="2CA3B67A">
        <w:tblPrEx>
          <w:tblCellMar>
            <w:top w:w="0" w:type="dxa"/>
            <w:left w:w="108" w:type="dxa"/>
            <w:bottom w:w="0" w:type="dxa"/>
            <w:right w:w="108" w:type="dxa"/>
          </w:tblCellMar>
        </w:tblPrEx>
        <w:trPr>
          <w:trHeight w:val="540" w:hRule="atLeast"/>
        </w:trPr>
        <w:tc>
          <w:tcPr>
            <w:tcW w:w="2453" w:type="dxa"/>
            <w:tcBorders>
              <w:top w:val="nil"/>
              <w:left w:val="single" w:color="000000" w:sz="8" w:space="0"/>
              <w:bottom w:val="single" w:color="auto" w:sz="4" w:space="0"/>
              <w:right w:val="single" w:color="auto" w:sz="4" w:space="0"/>
            </w:tcBorders>
            <w:vAlign w:val="center"/>
          </w:tcPr>
          <w:p w14:paraId="44E5C255">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募集</w:t>
            </w: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期</w:t>
            </w:r>
          </w:p>
        </w:tc>
        <w:tc>
          <w:tcPr>
            <w:tcW w:w="6972" w:type="dxa"/>
            <w:tcBorders>
              <w:top w:val="nil"/>
              <w:left w:val="single" w:color="auto" w:sz="4" w:space="0"/>
              <w:bottom w:val="single" w:color="auto" w:sz="4" w:space="0"/>
              <w:right w:val="single" w:color="000000" w:sz="8" w:space="0"/>
            </w:tcBorders>
            <w:vAlign w:val="center"/>
          </w:tcPr>
          <w:p w14:paraId="60014280">
            <w:pPr>
              <w:widowControl/>
              <w:spacing w:line="400" w:lineRule="exact"/>
              <w:jc w:val="center"/>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【2025】年【12】月【26】日至【2025】年【12】月【29】日</w:t>
            </w:r>
          </w:p>
        </w:tc>
      </w:tr>
      <w:tr w14:paraId="0E717140">
        <w:tblPrEx>
          <w:tblCellMar>
            <w:top w:w="0" w:type="dxa"/>
            <w:left w:w="108" w:type="dxa"/>
            <w:bottom w:w="0" w:type="dxa"/>
            <w:right w:w="108" w:type="dxa"/>
          </w:tblCellMar>
        </w:tblPrEx>
        <w:trPr>
          <w:trHeight w:val="540" w:hRule="atLeast"/>
        </w:trPr>
        <w:tc>
          <w:tcPr>
            <w:tcW w:w="2453" w:type="dxa"/>
            <w:tcBorders>
              <w:top w:val="single" w:color="auto" w:sz="4" w:space="0"/>
              <w:left w:val="single" w:color="000000" w:sz="8" w:space="0"/>
              <w:bottom w:val="single" w:color="auto" w:sz="4" w:space="0"/>
              <w:right w:val="single" w:color="auto" w:sz="4" w:space="0"/>
            </w:tcBorders>
            <w:vAlign w:val="center"/>
          </w:tcPr>
          <w:p w14:paraId="633C7DEA">
            <w:pPr>
              <w:widowControl/>
              <w:spacing w:line="400" w:lineRule="exact"/>
              <w:jc w:val="center"/>
              <w:textAlignment w:val="center"/>
              <w:rPr>
                <w:rFonts w:hint="eastAsia"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产品成立日期</w:t>
            </w:r>
          </w:p>
        </w:tc>
        <w:tc>
          <w:tcPr>
            <w:tcW w:w="6972" w:type="dxa"/>
            <w:tcBorders>
              <w:top w:val="single" w:color="auto" w:sz="4" w:space="0"/>
              <w:left w:val="single" w:color="auto" w:sz="4" w:space="0"/>
              <w:bottom w:val="single" w:color="auto" w:sz="4" w:space="0"/>
              <w:right w:val="single" w:color="000000" w:sz="8" w:space="0"/>
            </w:tcBorders>
            <w:vAlign w:val="center"/>
          </w:tcPr>
          <w:p w14:paraId="2E9B23C2">
            <w:pPr>
              <w:widowControl/>
              <w:spacing w:line="400" w:lineRule="exact"/>
              <w:jc w:val="center"/>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【2025】年【12】月【30】日</w:t>
            </w:r>
          </w:p>
        </w:tc>
      </w:tr>
      <w:tr w14:paraId="547D5C6E">
        <w:tblPrEx>
          <w:tblCellMar>
            <w:top w:w="0" w:type="dxa"/>
            <w:left w:w="108" w:type="dxa"/>
            <w:bottom w:w="0" w:type="dxa"/>
            <w:right w:w="108" w:type="dxa"/>
          </w:tblCellMar>
        </w:tblPrEx>
        <w:trPr>
          <w:trHeight w:val="540" w:hRule="atLeast"/>
        </w:trPr>
        <w:tc>
          <w:tcPr>
            <w:tcW w:w="2453" w:type="dxa"/>
            <w:tcBorders>
              <w:top w:val="single" w:color="auto" w:sz="4" w:space="0"/>
              <w:left w:val="single" w:color="000000" w:sz="8" w:space="0"/>
              <w:bottom w:val="single" w:color="auto" w:sz="4" w:space="0"/>
              <w:right w:val="single" w:color="auto" w:sz="4" w:space="0"/>
            </w:tcBorders>
            <w:vAlign w:val="center"/>
          </w:tcPr>
          <w:p w14:paraId="12B20FAD">
            <w:pPr>
              <w:widowControl/>
              <w:spacing w:line="400" w:lineRule="exact"/>
              <w:jc w:val="center"/>
              <w:textAlignment w:val="center"/>
              <w:rPr>
                <w:rFonts w:hint="default"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产品到期日期</w:t>
            </w: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/产品终止日期</w:t>
            </w:r>
          </w:p>
        </w:tc>
        <w:tc>
          <w:tcPr>
            <w:tcW w:w="6972" w:type="dxa"/>
            <w:tcBorders>
              <w:top w:val="single" w:color="auto" w:sz="4" w:space="0"/>
              <w:left w:val="single" w:color="auto" w:sz="4" w:space="0"/>
              <w:bottom w:val="single" w:color="auto" w:sz="4" w:space="0"/>
              <w:right w:val="single" w:color="000000" w:sz="8" w:space="0"/>
            </w:tcBorders>
            <w:vAlign w:val="center"/>
          </w:tcPr>
          <w:p w14:paraId="1ED69A2D">
            <w:pPr>
              <w:widowControl/>
              <w:spacing w:line="400" w:lineRule="exact"/>
              <w:jc w:val="center"/>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无固定期限</w:t>
            </w:r>
          </w:p>
        </w:tc>
      </w:tr>
      <w:tr w14:paraId="12D9F341">
        <w:tblPrEx>
          <w:tblCellMar>
            <w:top w:w="0" w:type="dxa"/>
            <w:left w:w="108" w:type="dxa"/>
            <w:bottom w:w="0" w:type="dxa"/>
            <w:right w:w="108" w:type="dxa"/>
          </w:tblCellMar>
        </w:tblPrEx>
        <w:trPr>
          <w:trHeight w:val="623" w:hRule="atLeast"/>
        </w:trPr>
        <w:tc>
          <w:tcPr>
            <w:tcW w:w="2453" w:type="dxa"/>
            <w:tcBorders>
              <w:top w:val="single" w:color="auto" w:sz="4" w:space="0"/>
              <w:left w:val="single" w:color="000000" w:sz="8" w:space="0"/>
              <w:bottom w:val="single" w:color="auto" w:sz="4" w:space="0"/>
              <w:right w:val="single" w:color="auto" w:sz="4" w:space="0"/>
            </w:tcBorders>
            <w:vAlign w:val="center"/>
          </w:tcPr>
          <w:p w14:paraId="17EF01BD">
            <w:pPr>
              <w:widowControl/>
              <w:spacing w:line="400" w:lineRule="exact"/>
              <w:jc w:val="center"/>
              <w:textAlignment w:val="center"/>
              <w:rPr>
                <w:rFonts w:hint="eastAsia"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资金到账日</w:t>
            </w:r>
          </w:p>
        </w:tc>
        <w:tc>
          <w:tcPr>
            <w:tcW w:w="6972" w:type="dxa"/>
            <w:tcBorders>
              <w:top w:val="single" w:color="auto" w:sz="4" w:space="0"/>
              <w:left w:val="single" w:color="auto" w:sz="4" w:space="0"/>
              <w:bottom w:val="single" w:color="auto" w:sz="4" w:space="0"/>
              <w:right w:val="single" w:color="000000" w:sz="8" w:space="0"/>
            </w:tcBorders>
            <w:vAlign w:val="center"/>
          </w:tcPr>
          <w:p w14:paraId="6DF1F4DA">
            <w:pPr>
              <w:widowControl/>
              <w:spacing w:line="400" w:lineRule="exact"/>
              <w:jc w:val="center"/>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开放日</w:t>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/到期日</w:t>
            </w:r>
            <w:r>
              <w:rPr>
                <w:rFonts w:hint="eastAsia" w:ascii="楷体_GB2312" w:eastAsia="楷体_GB2312" w:cs="楷体_GB2312"/>
                <w:color w:val="000000" w:themeColor="text1"/>
                <w:sz w:val="20"/>
                <w:szCs w:val="20"/>
                <w:highlight w:val="none"/>
                <w14:textFill>
                  <w14:solidFill>
                    <w14:schemeClr w14:val="tx1"/>
                  </w14:solidFill>
                </w14:textFill>
              </w:rPr>
              <w:t>后【5】个工作日内</w:t>
            </w:r>
          </w:p>
        </w:tc>
      </w:tr>
      <w:tr w14:paraId="2F3C44F2">
        <w:tblPrEx>
          <w:tblCellMar>
            <w:top w:w="0" w:type="dxa"/>
            <w:left w:w="108" w:type="dxa"/>
            <w:bottom w:w="0" w:type="dxa"/>
            <w:right w:w="108" w:type="dxa"/>
          </w:tblCellMar>
        </w:tblPrEx>
        <w:trPr>
          <w:trHeight w:val="569" w:hRule="atLeast"/>
        </w:trPr>
        <w:tc>
          <w:tcPr>
            <w:tcW w:w="2453" w:type="dxa"/>
            <w:tcBorders>
              <w:top w:val="single" w:color="auto" w:sz="4" w:space="0"/>
              <w:left w:val="single" w:color="000000" w:sz="8" w:space="0"/>
              <w:bottom w:val="single" w:color="auto" w:sz="4" w:space="0"/>
              <w:right w:val="single" w:color="auto" w:sz="4" w:space="0"/>
            </w:tcBorders>
            <w:vAlign w:val="center"/>
          </w:tcPr>
          <w:p w14:paraId="670A9A86">
            <w:pPr>
              <w:widowControl/>
              <w:spacing w:line="400" w:lineRule="exact"/>
              <w:jc w:val="center"/>
              <w:textAlignment w:val="center"/>
              <w:rPr>
                <w:rFonts w:hint="eastAsia"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定期开放周期</w:t>
            </w:r>
          </w:p>
        </w:tc>
        <w:tc>
          <w:tcPr>
            <w:tcW w:w="6972" w:type="dxa"/>
            <w:tcBorders>
              <w:top w:val="single" w:color="auto" w:sz="4" w:space="0"/>
              <w:left w:val="single" w:color="auto" w:sz="4" w:space="0"/>
              <w:bottom w:val="single" w:color="auto" w:sz="4" w:space="0"/>
              <w:right w:val="single" w:color="000000" w:sz="8" w:space="0"/>
            </w:tcBorders>
            <w:vAlign w:val="center"/>
          </w:tcPr>
          <w:p w14:paraId="709B7A03">
            <w:pPr>
              <w:widowControl/>
              <w:spacing w:line="400" w:lineRule="exact"/>
              <w:jc w:val="center"/>
              <w:textAlignment w:val="center"/>
              <w:rPr>
                <w:rFonts w:hint="eastAsia" w:ascii="楷体_GB2312" w:eastAsia="楷体_GB2312" w:cs="楷体_GB2312"/>
                <w:color w:val="000000" w:themeColor="text1"/>
                <w:sz w:val="20"/>
                <w:szCs w:val="20"/>
                <w:highlight w:val="none"/>
                <w14:textFill>
                  <w14:solidFill>
                    <w14:schemeClr w14:val="tx1"/>
                  </w14:solidFill>
                </w14:textFill>
              </w:rPr>
            </w:pPr>
            <w:r>
              <w:rPr>
                <w:rFonts w:hint="eastAsia" w:ascii="Times New Roman" w:hAnsi="宋体" w:eastAsia="楷体_GB2312" w:cs="楷体_GB2312"/>
                <w:bCs w:val="0"/>
                <w:color w:val="000000" w:themeColor="text1"/>
                <w:sz w:val="20"/>
                <w:szCs w:val="20"/>
                <w:highlight w:val="none"/>
                <w:lang w:val="en-US" w:eastAsia="zh-CN"/>
                <w14:textFill>
                  <w14:solidFill>
                    <w14:schemeClr w14:val="tx1"/>
                  </w14:solidFill>
                </w14:textFill>
              </w:rPr>
              <w:t>每天</w:t>
            </w:r>
            <w:r>
              <w:rPr>
                <w:rFonts w:hint="eastAsia" w:ascii="楷体_GB2312" w:eastAsia="楷体_GB2312" w:cs="楷体_GB2312"/>
                <w:sz w:val="20"/>
                <w:szCs w:val="20"/>
                <w:highlight w:val="none"/>
              </w:rPr>
              <w:t>（如遇非工作日则顺延至下一工作日）</w:t>
            </w:r>
          </w:p>
        </w:tc>
      </w:tr>
      <w:tr w14:paraId="5E5C57E9">
        <w:tblPrEx>
          <w:tblCellMar>
            <w:top w:w="0" w:type="dxa"/>
            <w:left w:w="108" w:type="dxa"/>
            <w:bottom w:w="0" w:type="dxa"/>
            <w:right w:w="108" w:type="dxa"/>
          </w:tblCellMar>
        </w:tblPrEx>
        <w:trPr>
          <w:trHeight w:val="540" w:hRule="atLeast"/>
        </w:trPr>
        <w:tc>
          <w:tcPr>
            <w:tcW w:w="2453" w:type="dxa"/>
            <w:tcBorders>
              <w:top w:val="single" w:color="auto" w:sz="4" w:space="0"/>
              <w:left w:val="single" w:color="000000" w:sz="8" w:space="0"/>
              <w:bottom w:val="nil"/>
              <w:right w:val="single" w:color="auto" w:sz="4" w:space="0"/>
            </w:tcBorders>
            <w:vAlign w:val="center"/>
          </w:tcPr>
          <w:p w14:paraId="30A35C84">
            <w:pPr>
              <w:widowControl/>
              <w:spacing w:line="400" w:lineRule="exact"/>
              <w:jc w:val="center"/>
              <w:textAlignment w:val="center"/>
              <w:rPr>
                <w:rFonts w:hint="eastAsia"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投资周期</w:t>
            </w:r>
          </w:p>
        </w:tc>
        <w:tc>
          <w:tcPr>
            <w:tcW w:w="6972" w:type="dxa"/>
            <w:tcBorders>
              <w:top w:val="single" w:color="auto" w:sz="4" w:space="0"/>
              <w:left w:val="single" w:color="auto" w:sz="4" w:space="0"/>
              <w:bottom w:val="nil"/>
              <w:right w:val="single" w:color="000000" w:sz="8" w:space="0"/>
            </w:tcBorders>
            <w:vAlign w:val="center"/>
          </w:tcPr>
          <w:p w14:paraId="4326A8F0">
            <w:pPr>
              <w:keepNext w:val="0"/>
              <w:keepLines w:val="0"/>
              <w:widowControl/>
              <w:suppressLineNumbers w:val="0"/>
              <w:jc w:val="center"/>
              <w:textAlignment w:val="center"/>
              <w:rPr>
                <w:rFonts w:hint="default" w:ascii="仿宋_GB2312" w:hAnsi="等线" w:eastAsia="楷体_GB2312" w:cs="仿宋_GB2312"/>
                <w:bCs/>
                <w:color w:val="000000" w:themeColor="text1"/>
                <w:sz w:val="24"/>
                <w:highlight w:val="none"/>
                <w:lang w:val="en-US" w:eastAsia="zh-CN"/>
                <w14:textFill>
                  <w14:solidFill>
                    <w14:schemeClr w14:val="tx1"/>
                  </w14:solidFill>
                </w14:textFill>
              </w:rPr>
            </w:pPr>
            <w:r>
              <w:rPr>
                <w:rFonts w:hint="eastAsia" w:ascii="Times New Roman" w:hAnsi="宋体" w:eastAsia="楷体_GB2312" w:cs="楷体_GB2312"/>
                <w:bCs w:val="0"/>
                <w:color w:val="000000" w:themeColor="text1"/>
                <w:sz w:val="20"/>
                <w:szCs w:val="20"/>
                <w:highlight w:val="none"/>
                <w:lang w:val="en-US" w:eastAsia="zh-CN"/>
                <w14:textFill>
                  <w14:solidFill>
                    <w14:schemeClr w14:val="tx1"/>
                  </w14:solidFill>
                </w14:textFill>
              </w:rPr>
              <w:t>每天</w:t>
            </w:r>
            <w:r>
              <w:rPr>
                <w:rFonts w:hint="eastAsia" w:ascii="楷体_GB2312" w:eastAsia="楷体_GB2312" w:cs="楷体_GB2312"/>
                <w:sz w:val="20"/>
                <w:szCs w:val="20"/>
                <w:highlight w:val="none"/>
              </w:rPr>
              <w:t>（如遇非工作日则顺延至下一工作日）</w:t>
            </w:r>
          </w:p>
        </w:tc>
      </w:tr>
      <w:tr w14:paraId="58C001FB">
        <w:tblPrEx>
          <w:tblCellMar>
            <w:top w:w="0" w:type="dxa"/>
            <w:left w:w="108" w:type="dxa"/>
            <w:bottom w:w="0" w:type="dxa"/>
            <w:right w:w="108" w:type="dxa"/>
          </w:tblCellMar>
        </w:tblPrEx>
        <w:trPr>
          <w:trHeight w:val="270" w:hRule="atLeast"/>
        </w:trPr>
        <w:tc>
          <w:tcPr>
            <w:tcW w:w="9425" w:type="dxa"/>
            <w:gridSpan w:val="2"/>
            <w:tcBorders>
              <w:top w:val="single" w:color="000000" w:sz="4" w:space="0"/>
              <w:left w:val="single" w:color="000000" w:sz="8" w:space="0"/>
              <w:bottom w:val="single" w:color="000000" w:sz="4" w:space="0"/>
              <w:right w:val="single" w:color="000000" w:sz="4" w:space="0"/>
            </w:tcBorders>
            <w:vAlign w:val="center"/>
          </w:tcPr>
          <w:p w14:paraId="7E0184DE">
            <w:pPr>
              <w:widowControl/>
              <w:spacing w:line="400" w:lineRule="exact"/>
              <w:jc w:val="center"/>
              <w:textAlignment w:val="center"/>
              <w:rPr>
                <w:rFonts w:hint="eastAsia" w:ascii="楷体_GB2312" w:hAnsi="等线" w:eastAsia="楷体_GB2312" w:cs="楷体_GB2312"/>
                <w:b/>
                <w:bCs/>
                <w:color w:val="000000" w:themeColor="text1"/>
                <w:sz w:val="24"/>
                <w:highlight w:val="none"/>
                <w14:textFill>
                  <w14:solidFill>
                    <w14:schemeClr w14:val="tx1"/>
                  </w14:solidFill>
                </w14:textFill>
              </w:rPr>
            </w:pPr>
            <w:r>
              <w:rPr>
                <w:rFonts w:hint="eastAsia" w:ascii="楷体_GB2312" w:hAnsi="等线" w:eastAsia="楷体_GB2312" w:cs="楷体_GB2312"/>
                <w:b/>
                <w:bCs/>
                <w:color w:val="000000" w:themeColor="text1"/>
                <w:kern w:val="0"/>
                <w:sz w:val="24"/>
                <w:highlight w:val="none"/>
                <w:lang w:bidi="ar"/>
                <w14:textFill>
                  <w14:solidFill>
                    <w14:schemeClr w14:val="tx1"/>
                  </w14:solidFill>
                </w14:textFill>
              </w:rPr>
              <w:t>（五）产品费用</w:t>
            </w:r>
          </w:p>
        </w:tc>
      </w:tr>
      <w:tr w14:paraId="6C4BAB39">
        <w:tblPrEx>
          <w:tblCellMar>
            <w:top w:w="0" w:type="dxa"/>
            <w:left w:w="108" w:type="dxa"/>
            <w:bottom w:w="0" w:type="dxa"/>
            <w:right w:w="108" w:type="dxa"/>
          </w:tblCellMar>
        </w:tblPrEx>
        <w:trPr>
          <w:trHeight w:val="540" w:hRule="atLeast"/>
        </w:trPr>
        <w:tc>
          <w:tcPr>
            <w:tcW w:w="2453" w:type="dxa"/>
            <w:tcBorders>
              <w:top w:val="nil"/>
              <w:left w:val="single" w:color="000000" w:sz="8" w:space="0"/>
              <w:bottom w:val="single" w:color="auto" w:sz="4" w:space="0"/>
              <w:right w:val="single" w:color="auto" w:sz="4" w:space="0"/>
            </w:tcBorders>
            <w:shd w:val="clear" w:color="auto" w:fill="auto"/>
            <w:vAlign w:val="center"/>
          </w:tcPr>
          <w:p w14:paraId="03862CD9">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销售服务费</w:t>
            </w: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率（年化）</w:t>
            </w:r>
          </w:p>
        </w:tc>
        <w:tc>
          <w:tcPr>
            <w:tcW w:w="6972" w:type="dxa"/>
            <w:tcBorders>
              <w:top w:val="nil"/>
              <w:left w:val="single" w:color="auto" w:sz="4" w:space="0"/>
              <w:bottom w:val="single" w:color="auto" w:sz="4" w:space="0"/>
              <w:right w:val="single" w:color="000000" w:sz="8" w:space="0"/>
            </w:tcBorders>
            <w:vAlign w:val="center"/>
          </w:tcPr>
          <w:p w14:paraId="7F4608A3">
            <w:pPr>
              <w:widowControl/>
              <w:snapToGrid w:val="0"/>
              <w:spacing w:line="300" w:lineRule="exact"/>
              <w:ind w:right="53" w:rightChars="22"/>
              <w:jc w:val="left"/>
              <w:textAlignment w:val="auto"/>
              <w:outlineLvl w:val="0"/>
              <w:rPr>
                <w:rFonts w:hint="eastAsia" w:ascii="楷体_GB2312" w:eastAsia="楷体_GB2312" w:cs="楷体_GB2312"/>
                <w:b/>
                <w:color w:val="000000" w:themeColor="text1"/>
                <w:sz w:val="20"/>
                <w:szCs w:val="20"/>
                <w:highlight w:val="none"/>
                <w:lang w:eastAsia="zh-CN"/>
                <w14:textFill>
                  <w14:solidFill>
                    <w14:schemeClr w14:val="tx1"/>
                  </w14:solidFill>
                </w14:textFill>
              </w:rPr>
            </w:pPr>
            <w:r>
              <w:rPr>
                <w:rFonts w:hint="eastAsia" w:ascii="楷体_GB2312" w:eastAsia="楷体_GB2312" w:cs="楷体_GB2312"/>
                <w:b/>
                <w:color w:val="000000" w:themeColor="text1"/>
                <w:sz w:val="20"/>
                <w:szCs w:val="20"/>
                <w:highlight w:val="none"/>
                <w14:textFill>
                  <w14:solidFill>
                    <w14:schemeClr w14:val="tx1"/>
                  </w14:solidFill>
                </w14:textFill>
              </w:rPr>
              <w:t>【B】类份额费率【0.30%】/年，【G】类份额费率【0.30%】/年，【H】类份额费率【0.15%】/年，【M】类份额费率【0.20%】/年，【N】类份额费率【0.15%】/年，【S】类份额费率【0.30%】/年，【Y】类份额费率【0.10%】/年</w:t>
            </w:r>
            <w:r>
              <w:rPr>
                <w:rFonts w:hint="eastAsia" w:ascii="楷体_GB2312" w:eastAsia="楷体_GB2312" w:cs="楷体_GB2312"/>
                <w:b/>
                <w:color w:val="000000" w:themeColor="text1"/>
                <w:sz w:val="20"/>
                <w:szCs w:val="20"/>
                <w:highlight w:val="none"/>
                <w:lang w:eastAsia="zh-CN"/>
                <w14:textFill>
                  <w14:solidFill>
                    <w14:schemeClr w14:val="tx1"/>
                  </w14:solidFill>
                </w14:textFill>
              </w:rPr>
              <w:t>。</w:t>
            </w:r>
          </w:p>
        </w:tc>
      </w:tr>
      <w:tr w14:paraId="1C2A9D0F">
        <w:tblPrEx>
          <w:tblCellMar>
            <w:top w:w="0" w:type="dxa"/>
            <w:left w:w="108" w:type="dxa"/>
            <w:bottom w:w="0" w:type="dxa"/>
            <w:right w:w="108" w:type="dxa"/>
          </w:tblCellMar>
        </w:tblPrEx>
        <w:trPr>
          <w:trHeight w:val="540" w:hRule="atLeast"/>
        </w:trPr>
        <w:tc>
          <w:tcPr>
            <w:tcW w:w="2453" w:type="dxa"/>
            <w:tcBorders>
              <w:top w:val="single" w:color="auto" w:sz="4" w:space="0"/>
              <w:left w:val="single" w:color="000000" w:sz="8" w:space="0"/>
              <w:bottom w:val="single" w:color="auto" w:sz="4" w:space="0"/>
              <w:right w:val="single" w:color="auto" w:sz="4" w:space="0"/>
            </w:tcBorders>
            <w:shd w:val="clear" w:color="auto" w:fill="auto"/>
            <w:vAlign w:val="center"/>
          </w:tcPr>
          <w:p w14:paraId="38C9D466">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托管费</w:t>
            </w: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率（年化）</w:t>
            </w:r>
          </w:p>
        </w:tc>
        <w:tc>
          <w:tcPr>
            <w:tcW w:w="6972" w:type="dxa"/>
            <w:tcBorders>
              <w:top w:val="single" w:color="auto" w:sz="4" w:space="0"/>
              <w:left w:val="single" w:color="auto" w:sz="4" w:space="0"/>
              <w:bottom w:val="single" w:color="auto" w:sz="4" w:space="0"/>
              <w:right w:val="single" w:color="000000" w:sz="8" w:space="0"/>
            </w:tcBorders>
            <w:vAlign w:val="center"/>
          </w:tcPr>
          <w:p w14:paraId="39E11EF9">
            <w:pPr>
              <w:widowControl/>
              <w:snapToGrid w:val="0"/>
              <w:spacing w:line="300" w:lineRule="exact"/>
              <w:ind w:right="53" w:rightChars="22"/>
              <w:jc w:val="left"/>
              <w:textAlignment w:val="auto"/>
              <w:outlineLvl w:val="0"/>
              <w:rPr>
                <w:rFonts w:hint="eastAsia" w:ascii="楷体_GB2312" w:eastAsia="楷体_GB2312" w:cs="楷体_GB2312"/>
                <w:b/>
                <w:color w:val="000000" w:themeColor="text1"/>
                <w:sz w:val="20"/>
                <w:szCs w:val="20"/>
                <w:highlight w:val="none"/>
                <w:lang w:eastAsia="zh-CN"/>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费率【</w:t>
            </w:r>
            <w:r>
              <w:rPr>
                <w:rFonts w:hint="eastAsia" w:ascii="楷体_GB2312" w:eastAsia="楷体_GB2312" w:cs="楷体_GB2312"/>
                <w:b/>
                <w:color w:val="000000" w:themeColor="text1"/>
                <w:sz w:val="20"/>
                <w:szCs w:val="20"/>
                <w:highlight w:val="none"/>
                <w14:textFill>
                  <w14:solidFill>
                    <w14:schemeClr w14:val="tx1"/>
                  </w14:solidFill>
                </w14:textFill>
              </w:rPr>
              <w:t>0.05%</w:t>
            </w:r>
            <w:r>
              <w:rPr>
                <w:rFonts w:ascii="楷体_GB2312" w:eastAsia="楷体_GB2312" w:cs="楷体_GB2312"/>
                <w:b/>
                <w:color w:val="000000" w:themeColor="text1"/>
                <w:sz w:val="20"/>
                <w:szCs w:val="20"/>
                <w:highlight w:val="none"/>
                <w14:textFill>
                  <w14:solidFill>
                    <w14:schemeClr w14:val="tx1"/>
                  </w14:solidFill>
                </w14:textFill>
              </w:rPr>
              <w:t>】/年</w:t>
            </w:r>
            <w:r>
              <w:rPr>
                <w:rFonts w:hint="eastAsia" w:ascii="楷体_GB2312" w:eastAsia="楷体_GB2312" w:cs="楷体_GB2312"/>
                <w:b/>
                <w:color w:val="000000" w:themeColor="text1"/>
                <w:sz w:val="20"/>
                <w:szCs w:val="20"/>
                <w:highlight w:val="none"/>
                <w:lang w:eastAsia="zh-CN"/>
                <w14:textFill>
                  <w14:solidFill>
                    <w14:schemeClr w14:val="tx1"/>
                  </w14:solidFill>
                </w14:textFill>
              </w:rPr>
              <w:t>。</w:t>
            </w:r>
          </w:p>
        </w:tc>
      </w:tr>
      <w:tr w14:paraId="74D51882">
        <w:tblPrEx>
          <w:tblCellMar>
            <w:top w:w="0" w:type="dxa"/>
            <w:left w:w="108" w:type="dxa"/>
            <w:bottom w:w="0" w:type="dxa"/>
            <w:right w:w="108" w:type="dxa"/>
          </w:tblCellMar>
        </w:tblPrEx>
        <w:trPr>
          <w:trHeight w:val="540" w:hRule="atLeast"/>
        </w:trPr>
        <w:tc>
          <w:tcPr>
            <w:tcW w:w="2453" w:type="dxa"/>
            <w:tcBorders>
              <w:top w:val="single" w:color="auto" w:sz="4" w:space="0"/>
              <w:left w:val="single" w:color="000000" w:sz="8" w:space="0"/>
              <w:bottom w:val="single" w:color="auto" w:sz="4" w:space="0"/>
              <w:right w:val="single" w:color="auto" w:sz="4" w:space="0"/>
            </w:tcBorders>
            <w:shd w:val="clear" w:color="auto" w:fill="auto"/>
            <w:vAlign w:val="center"/>
          </w:tcPr>
          <w:p w14:paraId="7101E675">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固定管理费</w:t>
            </w: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率（年化）</w:t>
            </w:r>
          </w:p>
        </w:tc>
        <w:tc>
          <w:tcPr>
            <w:tcW w:w="6972" w:type="dxa"/>
            <w:tcBorders>
              <w:top w:val="single" w:color="auto" w:sz="4" w:space="0"/>
              <w:left w:val="single" w:color="auto" w:sz="4" w:space="0"/>
              <w:bottom w:val="single" w:color="auto" w:sz="4" w:space="0"/>
              <w:right w:val="single" w:color="000000" w:sz="8" w:space="0"/>
            </w:tcBorders>
            <w:vAlign w:val="center"/>
          </w:tcPr>
          <w:p w14:paraId="3CADB583">
            <w:pPr>
              <w:widowControl/>
              <w:snapToGrid w:val="0"/>
              <w:spacing w:line="300" w:lineRule="exact"/>
              <w:ind w:right="53" w:rightChars="22"/>
              <w:jc w:val="left"/>
              <w:textAlignment w:val="auto"/>
              <w:outlineLvl w:val="0"/>
              <w:rPr>
                <w:rFonts w:hint="eastAsia" w:ascii="楷体_GB2312" w:eastAsia="楷体_GB2312" w:cs="楷体_GB2312"/>
                <w:b/>
                <w:color w:val="000000" w:themeColor="text1"/>
                <w:sz w:val="20"/>
                <w:szCs w:val="20"/>
                <w:highlight w:val="none"/>
                <w:lang w:eastAsia="zh-CN"/>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费率【</w:t>
            </w:r>
            <w:r>
              <w:rPr>
                <w:rFonts w:hint="eastAsia" w:ascii="楷体_GB2312" w:eastAsia="楷体_GB2312" w:cs="楷体_GB2312"/>
                <w:b/>
                <w:color w:val="000000" w:themeColor="text1"/>
                <w:sz w:val="20"/>
                <w:szCs w:val="20"/>
                <w:highlight w:val="none"/>
                <w14:textFill>
                  <w14:solidFill>
                    <w14:schemeClr w14:val="tx1"/>
                  </w14:solidFill>
                </w14:textFill>
              </w:rPr>
              <w:t>0.30%</w:t>
            </w:r>
            <w:r>
              <w:rPr>
                <w:rFonts w:ascii="楷体_GB2312" w:eastAsia="楷体_GB2312" w:cs="楷体_GB2312"/>
                <w:b/>
                <w:color w:val="000000" w:themeColor="text1"/>
                <w:sz w:val="20"/>
                <w:szCs w:val="20"/>
                <w:highlight w:val="none"/>
                <w14:textFill>
                  <w14:solidFill>
                    <w14:schemeClr w14:val="tx1"/>
                  </w14:solidFill>
                </w14:textFill>
              </w:rPr>
              <w:t>】/年</w:t>
            </w:r>
            <w:r>
              <w:rPr>
                <w:rFonts w:hint="eastAsia" w:ascii="楷体_GB2312" w:eastAsia="楷体_GB2312" w:cs="楷体_GB2312"/>
                <w:b/>
                <w:color w:val="000000" w:themeColor="text1"/>
                <w:sz w:val="20"/>
                <w:szCs w:val="20"/>
                <w:highlight w:val="none"/>
                <w:lang w:eastAsia="zh-CN"/>
                <w14:textFill>
                  <w14:solidFill>
                    <w14:schemeClr w14:val="tx1"/>
                  </w14:solidFill>
                </w14:textFill>
              </w:rPr>
              <w:t>。</w:t>
            </w:r>
          </w:p>
        </w:tc>
      </w:tr>
      <w:tr w14:paraId="6E6C2A30">
        <w:tblPrEx>
          <w:tblCellMar>
            <w:top w:w="0" w:type="dxa"/>
            <w:left w:w="108" w:type="dxa"/>
            <w:bottom w:w="0" w:type="dxa"/>
            <w:right w:w="108" w:type="dxa"/>
          </w:tblCellMar>
        </w:tblPrEx>
        <w:trPr>
          <w:trHeight w:val="540" w:hRule="atLeast"/>
        </w:trPr>
        <w:tc>
          <w:tcPr>
            <w:tcW w:w="2453" w:type="dxa"/>
            <w:tcBorders>
              <w:top w:val="single" w:color="auto" w:sz="4" w:space="0"/>
              <w:left w:val="single" w:color="000000" w:sz="8" w:space="0"/>
              <w:bottom w:val="single" w:color="auto" w:sz="4" w:space="0"/>
              <w:right w:val="single" w:color="auto" w:sz="4" w:space="0"/>
            </w:tcBorders>
            <w:shd w:val="clear" w:color="auto" w:fill="auto"/>
            <w:vAlign w:val="center"/>
          </w:tcPr>
          <w:p w14:paraId="4F444E0C">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浮动管理费</w:t>
            </w:r>
          </w:p>
        </w:tc>
        <w:tc>
          <w:tcPr>
            <w:tcW w:w="6972" w:type="dxa"/>
            <w:tcBorders>
              <w:top w:val="single" w:color="auto" w:sz="4" w:space="0"/>
              <w:left w:val="single" w:color="auto" w:sz="4" w:space="0"/>
              <w:bottom w:val="single" w:color="auto" w:sz="4" w:space="0"/>
              <w:right w:val="single" w:color="000000" w:sz="8" w:space="0"/>
            </w:tcBorders>
            <w:vAlign w:val="center"/>
          </w:tcPr>
          <w:p w14:paraId="10B74FC6">
            <w:pPr>
              <w:snapToGrid w:val="0"/>
              <w:spacing w:line="300" w:lineRule="exact"/>
              <w:ind w:right="53" w:rightChars="22"/>
              <w:jc w:val="left"/>
              <w:outlineLvl w:val="0"/>
              <w:rPr>
                <w:rFonts w:hint="eastAsia" w:ascii="楷体_GB2312" w:eastAsia="楷体_GB2312" w:cs="楷体_GB2312"/>
                <w:b/>
                <w:color w:val="000000" w:themeColor="text1"/>
                <w:sz w:val="20"/>
                <w:szCs w:val="20"/>
                <w:highlight w:val="none"/>
                <w:lang w:eastAsia="zh-CN"/>
                <w14:textFill>
                  <w14:solidFill>
                    <w14:schemeClr w14:val="tx1"/>
                  </w14:solidFill>
                </w14:textFill>
              </w:rPr>
            </w:pPr>
            <w:r>
              <w:rPr>
                <w:rFonts w:hint="eastAsia" w:ascii="楷体_GB2312" w:eastAsia="楷体_GB2312" w:cs="楷体_GB2312"/>
                <w:b/>
                <w:color w:val="000000" w:themeColor="text1"/>
                <w:sz w:val="20"/>
                <w:szCs w:val="20"/>
                <w:highlight w:val="none"/>
                <w14:textFill>
                  <w14:solidFill>
                    <w14:schemeClr w14:val="tx1"/>
                  </w14:solidFill>
                </w14:textFill>
              </w:rPr>
              <w:t>【B】类份额不收取浮动管理费。</w:t>
            </w:r>
            <w:r>
              <w:rPr>
                <w:rFonts w:hint="eastAsia" w:ascii="楷体_GB2312" w:eastAsia="楷体_GB2312" w:cs="楷体_GB2312"/>
                <w:b/>
                <w:color w:val="000000" w:themeColor="text1"/>
                <w:sz w:val="20"/>
                <w:szCs w:val="20"/>
                <w:highlight w:val="none"/>
                <w14:textFill>
                  <w14:solidFill>
                    <w14:schemeClr w14:val="tx1"/>
                  </w14:solidFill>
                </w14:textFill>
              </w:rPr>
              <w:br w:type="textWrapping"/>
            </w:r>
            <w:r>
              <w:rPr>
                <w:rFonts w:hint="eastAsia" w:ascii="楷体_GB2312" w:eastAsia="楷体_GB2312" w:cs="楷体_GB2312"/>
                <w:b/>
                <w:color w:val="000000" w:themeColor="text1"/>
                <w:sz w:val="20"/>
                <w:szCs w:val="20"/>
                <w:highlight w:val="none"/>
                <w14:textFill>
                  <w14:solidFill>
                    <w14:schemeClr w14:val="tx1"/>
                  </w14:solidFill>
                </w14:textFill>
              </w:rPr>
              <w:t>【G】类份额不收取浮动管理费。</w:t>
            </w:r>
            <w:r>
              <w:rPr>
                <w:rFonts w:hint="eastAsia" w:ascii="楷体_GB2312" w:eastAsia="楷体_GB2312" w:cs="楷体_GB2312"/>
                <w:b/>
                <w:color w:val="000000" w:themeColor="text1"/>
                <w:sz w:val="20"/>
                <w:szCs w:val="20"/>
                <w:highlight w:val="none"/>
                <w14:textFill>
                  <w14:solidFill>
                    <w14:schemeClr w14:val="tx1"/>
                  </w14:solidFill>
                </w14:textFill>
              </w:rPr>
              <w:br w:type="textWrapping"/>
            </w:r>
            <w:r>
              <w:rPr>
                <w:rFonts w:hint="eastAsia" w:ascii="楷体_GB2312" w:eastAsia="楷体_GB2312" w:cs="楷体_GB2312"/>
                <w:b/>
                <w:color w:val="000000" w:themeColor="text1"/>
                <w:sz w:val="20"/>
                <w:szCs w:val="20"/>
                <w:highlight w:val="none"/>
                <w14:textFill>
                  <w14:solidFill>
                    <w14:schemeClr w14:val="tx1"/>
                  </w14:solidFill>
                </w14:textFill>
              </w:rPr>
              <w:t>【H】类份额不收取浮动管理费。</w:t>
            </w:r>
            <w:r>
              <w:rPr>
                <w:rFonts w:hint="eastAsia" w:ascii="楷体_GB2312" w:eastAsia="楷体_GB2312" w:cs="楷体_GB2312"/>
                <w:b/>
                <w:color w:val="000000" w:themeColor="text1"/>
                <w:sz w:val="20"/>
                <w:szCs w:val="20"/>
                <w:highlight w:val="none"/>
                <w14:textFill>
                  <w14:solidFill>
                    <w14:schemeClr w14:val="tx1"/>
                  </w14:solidFill>
                </w14:textFill>
              </w:rPr>
              <w:br w:type="textWrapping"/>
            </w:r>
            <w:r>
              <w:rPr>
                <w:rFonts w:hint="eastAsia" w:ascii="楷体_GB2312" w:eastAsia="楷体_GB2312" w:cs="楷体_GB2312"/>
                <w:b/>
                <w:color w:val="000000" w:themeColor="text1"/>
                <w:sz w:val="20"/>
                <w:szCs w:val="20"/>
                <w:highlight w:val="none"/>
                <w14:textFill>
                  <w14:solidFill>
                    <w14:schemeClr w14:val="tx1"/>
                  </w14:solidFill>
                </w14:textFill>
              </w:rPr>
              <w:t>【M】类份额不收取浮动管理费。</w:t>
            </w:r>
            <w:r>
              <w:rPr>
                <w:rFonts w:hint="eastAsia" w:ascii="楷体_GB2312" w:eastAsia="楷体_GB2312" w:cs="楷体_GB2312"/>
                <w:b/>
                <w:color w:val="000000" w:themeColor="text1"/>
                <w:sz w:val="20"/>
                <w:szCs w:val="20"/>
                <w:highlight w:val="none"/>
                <w14:textFill>
                  <w14:solidFill>
                    <w14:schemeClr w14:val="tx1"/>
                  </w14:solidFill>
                </w14:textFill>
              </w:rPr>
              <w:br w:type="textWrapping"/>
            </w:r>
            <w:r>
              <w:rPr>
                <w:rFonts w:hint="eastAsia" w:ascii="楷体_GB2312" w:eastAsia="楷体_GB2312" w:cs="楷体_GB2312"/>
                <w:b/>
                <w:color w:val="000000" w:themeColor="text1"/>
                <w:sz w:val="20"/>
                <w:szCs w:val="20"/>
                <w:highlight w:val="none"/>
                <w14:textFill>
                  <w14:solidFill>
                    <w14:schemeClr w14:val="tx1"/>
                  </w14:solidFill>
                </w14:textFill>
              </w:rPr>
              <w:t>【N】类份额不收取浮动管理费。</w:t>
            </w:r>
            <w:r>
              <w:rPr>
                <w:rFonts w:hint="eastAsia" w:ascii="楷体_GB2312" w:eastAsia="楷体_GB2312" w:cs="楷体_GB2312"/>
                <w:b/>
                <w:color w:val="000000" w:themeColor="text1"/>
                <w:sz w:val="20"/>
                <w:szCs w:val="20"/>
                <w:highlight w:val="none"/>
                <w14:textFill>
                  <w14:solidFill>
                    <w14:schemeClr w14:val="tx1"/>
                  </w14:solidFill>
                </w14:textFill>
              </w:rPr>
              <w:br w:type="textWrapping"/>
            </w:r>
            <w:r>
              <w:rPr>
                <w:rFonts w:hint="eastAsia" w:ascii="楷体_GB2312" w:eastAsia="楷体_GB2312" w:cs="楷体_GB2312"/>
                <w:b/>
                <w:color w:val="000000" w:themeColor="text1"/>
                <w:sz w:val="20"/>
                <w:szCs w:val="20"/>
                <w:highlight w:val="none"/>
                <w14:textFill>
                  <w14:solidFill>
                    <w14:schemeClr w14:val="tx1"/>
                  </w14:solidFill>
                </w14:textFill>
              </w:rPr>
              <w:t>【S】类份额不收取浮动管理费。</w:t>
            </w:r>
            <w:r>
              <w:rPr>
                <w:rFonts w:hint="eastAsia" w:ascii="楷体_GB2312" w:eastAsia="楷体_GB2312" w:cs="楷体_GB2312"/>
                <w:b/>
                <w:color w:val="000000" w:themeColor="text1"/>
                <w:sz w:val="20"/>
                <w:szCs w:val="20"/>
                <w:highlight w:val="none"/>
                <w14:textFill>
                  <w14:solidFill>
                    <w14:schemeClr w14:val="tx1"/>
                  </w14:solidFill>
                </w14:textFill>
              </w:rPr>
              <w:br w:type="textWrapping"/>
            </w:r>
            <w:r>
              <w:rPr>
                <w:rFonts w:hint="eastAsia" w:ascii="楷体_GB2312" w:eastAsia="楷体_GB2312" w:cs="楷体_GB2312"/>
                <w:b/>
                <w:color w:val="000000" w:themeColor="text1"/>
                <w:sz w:val="20"/>
                <w:szCs w:val="20"/>
                <w:highlight w:val="none"/>
                <w14:textFill>
                  <w14:solidFill>
                    <w14:schemeClr w14:val="tx1"/>
                  </w14:solidFill>
                </w14:textFill>
              </w:rPr>
              <w:t>【Y】类份额不收取浮动管理费。</w:t>
            </w:r>
          </w:p>
        </w:tc>
      </w:tr>
      <w:tr w14:paraId="7C6A593F">
        <w:tblPrEx>
          <w:tblCellMar>
            <w:top w:w="0" w:type="dxa"/>
            <w:left w:w="108" w:type="dxa"/>
            <w:bottom w:w="0" w:type="dxa"/>
            <w:right w:w="108" w:type="dxa"/>
          </w:tblCellMar>
        </w:tblPrEx>
        <w:trPr>
          <w:trHeight w:val="540" w:hRule="atLeast"/>
        </w:trPr>
        <w:tc>
          <w:tcPr>
            <w:tcW w:w="2453" w:type="dxa"/>
            <w:tcBorders>
              <w:top w:val="single" w:color="auto" w:sz="4" w:space="0"/>
              <w:left w:val="single" w:color="000000" w:sz="8" w:space="0"/>
              <w:bottom w:val="single" w:color="auto" w:sz="4" w:space="0"/>
              <w:right w:val="single" w:color="auto" w:sz="4" w:space="0"/>
            </w:tcBorders>
            <w:shd w:val="clear" w:color="auto" w:fill="auto"/>
            <w:vAlign w:val="center"/>
          </w:tcPr>
          <w:p w14:paraId="42BE3772">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认购费</w:t>
            </w: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率</w:t>
            </w:r>
          </w:p>
        </w:tc>
        <w:tc>
          <w:tcPr>
            <w:tcW w:w="6972" w:type="dxa"/>
            <w:tcBorders>
              <w:top w:val="single" w:color="auto" w:sz="4" w:space="0"/>
              <w:left w:val="single" w:color="auto" w:sz="4" w:space="0"/>
              <w:bottom w:val="single" w:color="auto" w:sz="4" w:space="0"/>
              <w:right w:val="single" w:color="000000" w:sz="8" w:space="0"/>
            </w:tcBorders>
            <w:vAlign w:val="center"/>
          </w:tcPr>
          <w:p w14:paraId="50423ECC">
            <w:pPr>
              <w:widowControl/>
              <w:snapToGrid w:val="0"/>
              <w:spacing w:line="300" w:lineRule="exact"/>
              <w:ind w:right="53" w:rightChars="22"/>
              <w:jc w:val="left"/>
              <w:textAlignment w:val="auto"/>
              <w:outlineLvl w:val="0"/>
              <w:rPr>
                <w:rFonts w:hint="eastAsia" w:ascii="楷体_GB2312" w:eastAsia="楷体_GB2312" w:cs="楷体_GB2312"/>
                <w:b/>
                <w:color w:val="000000" w:themeColor="text1"/>
                <w:sz w:val="20"/>
                <w:szCs w:val="20"/>
                <w:highlight w:val="none"/>
                <w:lang w:eastAsia="zh-CN"/>
                <w14:textFill>
                  <w14:solidFill>
                    <w14:schemeClr w14:val="tx1"/>
                  </w14:solidFill>
                </w14:textFill>
              </w:rPr>
            </w:pPr>
            <w:r>
              <w:rPr>
                <w:rFonts w:hint="eastAsia" w:ascii="楷体_GB2312" w:eastAsia="楷体_GB2312" w:cs="楷体_GB2312"/>
                <w:b/>
                <w:color w:val="000000" w:themeColor="text1"/>
                <w:sz w:val="20"/>
                <w:szCs w:val="20"/>
                <w:highlight w:val="none"/>
                <w14:textFill>
                  <w14:solidFill>
                    <w14:schemeClr w14:val="tx1"/>
                  </w14:solidFill>
                </w14:textFill>
              </w:rPr>
              <w:t>【B】类份额不收取认购费，【G】类份额不收取认购费，【H】类份额不收取认购费，【M】类份额不收取认购费，【N】类份额不收取认购费，【S】类份额不收取认购费，【Y】类份额不收取认购费</w:t>
            </w:r>
            <w:r>
              <w:rPr>
                <w:rFonts w:hint="eastAsia" w:ascii="楷体_GB2312" w:eastAsia="楷体_GB2312" w:cs="楷体_GB2312"/>
                <w:b/>
                <w:color w:val="000000" w:themeColor="text1"/>
                <w:sz w:val="20"/>
                <w:szCs w:val="20"/>
                <w:highlight w:val="none"/>
                <w:lang w:eastAsia="zh-CN"/>
                <w14:textFill>
                  <w14:solidFill>
                    <w14:schemeClr w14:val="tx1"/>
                  </w14:solidFill>
                </w14:textFill>
              </w:rPr>
              <w:t>。</w:t>
            </w:r>
          </w:p>
        </w:tc>
      </w:tr>
      <w:tr w14:paraId="6E0B5DFD">
        <w:tblPrEx>
          <w:tblCellMar>
            <w:top w:w="0" w:type="dxa"/>
            <w:left w:w="108" w:type="dxa"/>
            <w:bottom w:w="0" w:type="dxa"/>
            <w:right w:w="108" w:type="dxa"/>
          </w:tblCellMar>
        </w:tblPrEx>
        <w:trPr>
          <w:trHeight w:val="540" w:hRule="atLeast"/>
        </w:trPr>
        <w:tc>
          <w:tcPr>
            <w:tcW w:w="2453" w:type="dxa"/>
            <w:tcBorders>
              <w:top w:val="single" w:color="auto" w:sz="4" w:space="0"/>
              <w:left w:val="single" w:color="000000" w:sz="8" w:space="0"/>
              <w:bottom w:val="single" w:color="auto" w:sz="4" w:space="0"/>
              <w:right w:val="single" w:color="auto" w:sz="4" w:space="0"/>
            </w:tcBorders>
            <w:vAlign w:val="center"/>
          </w:tcPr>
          <w:p w14:paraId="3F85A395">
            <w:pPr>
              <w:widowControl/>
              <w:spacing w:line="400" w:lineRule="exact"/>
              <w:jc w:val="center"/>
              <w:textAlignment w:val="center"/>
              <w:rPr>
                <w:rFonts w:hint="eastAsia"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申购费</w:t>
            </w: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率</w:t>
            </w:r>
          </w:p>
        </w:tc>
        <w:tc>
          <w:tcPr>
            <w:tcW w:w="6972" w:type="dxa"/>
            <w:tcBorders>
              <w:top w:val="single" w:color="auto" w:sz="4" w:space="0"/>
              <w:left w:val="single" w:color="auto" w:sz="4" w:space="0"/>
              <w:bottom w:val="single" w:color="auto" w:sz="4" w:space="0"/>
              <w:right w:val="single" w:color="000000" w:sz="8" w:space="0"/>
            </w:tcBorders>
            <w:vAlign w:val="center"/>
          </w:tcPr>
          <w:p w14:paraId="7F82D0E3">
            <w:pPr>
              <w:widowControl/>
              <w:snapToGrid w:val="0"/>
              <w:spacing w:line="300" w:lineRule="exact"/>
              <w:ind w:right="53" w:rightChars="22"/>
              <w:jc w:val="left"/>
              <w:textAlignment w:val="auto"/>
              <w:outlineLvl w:val="0"/>
              <w:rPr>
                <w:rFonts w:hint="eastAsia" w:ascii="楷体_GB2312" w:eastAsia="楷体_GB2312" w:cs="楷体_GB2312"/>
                <w:b/>
                <w:color w:val="000000" w:themeColor="text1"/>
                <w:sz w:val="20"/>
                <w:szCs w:val="20"/>
                <w:highlight w:val="none"/>
                <w:lang w:eastAsia="zh-CN"/>
                <w14:textFill>
                  <w14:solidFill>
                    <w14:schemeClr w14:val="tx1"/>
                  </w14:solidFill>
                </w14:textFill>
              </w:rPr>
            </w:pPr>
            <w:r>
              <w:rPr>
                <w:rFonts w:hint="eastAsia" w:ascii="楷体_GB2312" w:eastAsia="楷体_GB2312" w:cs="楷体_GB2312"/>
                <w:b/>
                <w:color w:val="000000" w:themeColor="text1"/>
                <w:sz w:val="20"/>
                <w:szCs w:val="20"/>
                <w:highlight w:val="none"/>
                <w14:textFill>
                  <w14:solidFill>
                    <w14:schemeClr w14:val="tx1"/>
                  </w14:solidFill>
                </w14:textFill>
              </w:rPr>
              <w:t>【B】类份额不收取申购费，【G】类份额不收取申购费，【H】类份额不收取申购费，【M】类份额不收取申购费，【N】类份额不收取申购费，【S】类份额不收取申购费，【Y】类份额不收取申购费</w:t>
            </w:r>
            <w:r>
              <w:rPr>
                <w:rFonts w:hint="eastAsia" w:ascii="楷体_GB2312" w:eastAsia="楷体_GB2312" w:cs="楷体_GB2312"/>
                <w:b/>
                <w:color w:val="000000" w:themeColor="text1"/>
                <w:sz w:val="20"/>
                <w:szCs w:val="20"/>
                <w:highlight w:val="none"/>
                <w:lang w:eastAsia="zh-CN"/>
                <w14:textFill>
                  <w14:solidFill>
                    <w14:schemeClr w14:val="tx1"/>
                  </w14:solidFill>
                </w14:textFill>
              </w:rPr>
              <w:t>。</w:t>
            </w:r>
          </w:p>
        </w:tc>
      </w:tr>
      <w:tr w14:paraId="3FD06997">
        <w:tblPrEx>
          <w:tblCellMar>
            <w:top w:w="0" w:type="dxa"/>
            <w:left w:w="108" w:type="dxa"/>
            <w:bottom w:w="0" w:type="dxa"/>
            <w:right w:w="108" w:type="dxa"/>
          </w:tblCellMar>
        </w:tblPrEx>
        <w:trPr>
          <w:trHeight w:val="540" w:hRule="atLeast"/>
        </w:trPr>
        <w:tc>
          <w:tcPr>
            <w:tcW w:w="2453" w:type="dxa"/>
            <w:tcBorders>
              <w:top w:val="single" w:color="auto" w:sz="4" w:space="0"/>
              <w:left w:val="single" w:color="000000" w:sz="8" w:space="0"/>
              <w:bottom w:val="single" w:color="auto" w:sz="4" w:space="0"/>
              <w:right w:val="single" w:color="auto" w:sz="4" w:space="0"/>
            </w:tcBorders>
            <w:vAlign w:val="center"/>
          </w:tcPr>
          <w:p w14:paraId="74D75FE9">
            <w:pPr>
              <w:widowControl/>
              <w:spacing w:line="400" w:lineRule="exact"/>
              <w:jc w:val="center"/>
              <w:textAlignment w:val="center"/>
              <w:rPr>
                <w:rFonts w:hint="eastAsia"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赎回费</w:t>
            </w: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率</w:t>
            </w:r>
          </w:p>
        </w:tc>
        <w:tc>
          <w:tcPr>
            <w:tcW w:w="6972" w:type="dxa"/>
            <w:tcBorders>
              <w:top w:val="single" w:color="auto" w:sz="4" w:space="0"/>
              <w:left w:val="single" w:color="auto" w:sz="4" w:space="0"/>
              <w:bottom w:val="single" w:color="auto" w:sz="4" w:space="0"/>
              <w:right w:val="single" w:color="000000" w:sz="8" w:space="0"/>
            </w:tcBorders>
            <w:vAlign w:val="center"/>
          </w:tcPr>
          <w:p w14:paraId="38FC851B">
            <w:pPr>
              <w:widowControl/>
              <w:snapToGrid w:val="0"/>
              <w:spacing w:line="300" w:lineRule="exact"/>
              <w:ind w:right="53" w:rightChars="22"/>
              <w:jc w:val="left"/>
              <w:textAlignment w:val="auto"/>
              <w:outlineLvl w:val="0"/>
              <w:rPr>
                <w:rFonts w:hint="eastAsia" w:ascii="楷体_GB2312" w:eastAsia="楷体_GB2312" w:cs="楷体_GB2312"/>
                <w:b/>
                <w:color w:val="000000" w:themeColor="text1"/>
                <w:sz w:val="20"/>
                <w:szCs w:val="20"/>
                <w:highlight w:val="none"/>
                <w:lang w:eastAsia="zh-CN"/>
                <w14:textFill>
                  <w14:solidFill>
                    <w14:schemeClr w14:val="tx1"/>
                  </w14:solidFill>
                </w14:textFill>
              </w:rPr>
            </w:pPr>
            <w:r>
              <w:rPr>
                <w:rFonts w:hint="eastAsia" w:ascii="楷体_GB2312" w:eastAsia="楷体_GB2312" w:cs="楷体_GB2312"/>
                <w:b/>
                <w:color w:val="000000" w:themeColor="text1"/>
                <w:sz w:val="20"/>
                <w:szCs w:val="20"/>
                <w:highlight w:val="none"/>
                <w14:textFill>
                  <w14:solidFill>
                    <w14:schemeClr w14:val="tx1"/>
                  </w14:solidFill>
                </w14:textFill>
              </w:rPr>
              <w:t>【B】类份额不收取赎回费，【G】类份额不收取赎回费，【H】类份额不收取赎回费，【M】类份额不收取赎回费，【N】类份额不收取赎回费，【S】类份额不收取赎回费，【Y】类份额不收取赎回费</w:t>
            </w:r>
            <w:r>
              <w:rPr>
                <w:rFonts w:hint="eastAsia" w:ascii="楷体_GB2312" w:eastAsia="楷体_GB2312" w:cs="楷体_GB2312"/>
                <w:b/>
                <w:color w:val="000000" w:themeColor="text1"/>
                <w:sz w:val="20"/>
                <w:szCs w:val="20"/>
                <w:highlight w:val="none"/>
                <w:lang w:eastAsia="zh-CN"/>
                <w14:textFill>
                  <w14:solidFill>
                    <w14:schemeClr w14:val="tx1"/>
                  </w14:solidFill>
                </w14:textFill>
              </w:rPr>
              <w:t>。</w:t>
            </w:r>
          </w:p>
        </w:tc>
      </w:tr>
      <w:tr w14:paraId="3D75DEB2">
        <w:tblPrEx>
          <w:tblCellMar>
            <w:top w:w="0" w:type="dxa"/>
            <w:left w:w="108" w:type="dxa"/>
            <w:bottom w:w="0" w:type="dxa"/>
            <w:right w:w="108" w:type="dxa"/>
          </w:tblCellMar>
        </w:tblPrEx>
        <w:trPr>
          <w:trHeight w:val="540" w:hRule="atLeast"/>
        </w:trPr>
        <w:tc>
          <w:tcPr>
            <w:tcW w:w="2453" w:type="dxa"/>
            <w:tcBorders>
              <w:top w:val="single" w:color="auto" w:sz="4" w:space="0"/>
              <w:left w:val="single" w:color="000000" w:sz="8" w:space="0"/>
              <w:bottom w:val="nil"/>
              <w:right w:val="single" w:color="auto" w:sz="4" w:space="0"/>
            </w:tcBorders>
            <w:vAlign w:val="center"/>
          </w:tcPr>
          <w:p w14:paraId="04C31C60">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其他费用说明</w:t>
            </w:r>
          </w:p>
        </w:tc>
        <w:tc>
          <w:tcPr>
            <w:tcW w:w="6972" w:type="dxa"/>
            <w:tcBorders>
              <w:top w:val="single" w:color="auto" w:sz="4" w:space="0"/>
              <w:left w:val="single" w:color="auto" w:sz="4" w:space="0"/>
              <w:bottom w:val="nil"/>
              <w:right w:val="single" w:color="000000" w:sz="8" w:space="0"/>
            </w:tcBorders>
            <w:vAlign w:val="center"/>
          </w:tcPr>
          <w:p w14:paraId="09C0C906">
            <w:pPr>
              <w:snapToGrid w:val="0"/>
              <w:spacing w:line="300" w:lineRule="exact"/>
              <w:ind w:left="0" w:leftChars="0" w:right="53" w:rightChars="22"/>
              <w:jc w:val="left"/>
              <w:outlineLvl w:val="0"/>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本产品的费用包括认购费、申购费、赎回费、销售服务费、托管费、固定管理费、浮动管理费，产品运作和清算中产生的其他资金汇划费、结算费、交易手续费、注册登记费、信息披露费、账户服务费、审计费、律师费</w:t>
            </w:r>
            <w:r>
              <w:rPr>
                <w:rFonts w:hint="eastAsia" w:ascii="楷体_GB2312" w:eastAsia="楷体_GB2312" w:cs="楷体_GB2312"/>
                <w:b/>
                <w:color w:val="000000" w:themeColor="text1"/>
                <w:sz w:val="20"/>
                <w:szCs w:val="20"/>
                <w:highlight w:val="none"/>
                <w14:textFill>
                  <w14:solidFill>
                    <w14:schemeClr w14:val="tx1"/>
                  </w14:solidFill>
                </w14:textFill>
              </w:rPr>
              <w:t>、因投资资产而产生的资产推荐服务费等相关费用</w:t>
            </w:r>
            <w:r>
              <w:rPr>
                <w:rFonts w:ascii="楷体_GB2312" w:eastAsia="楷体_GB2312" w:cs="楷体_GB2312"/>
                <w:b/>
                <w:color w:val="000000" w:themeColor="text1"/>
                <w:sz w:val="20"/>
                <w:szCs w:val="20"/>
                <w:highlight w:val="none"/>
                <w14:textFill>
                  <w14:solidFill>
                    <w14:schemeClr w14:val="tx1"/>
                  </w14:solidFill>
                </w14:textFill>
              </w:rPr>
              <w:t>，以及按照国家规定可以列入的其他费用</w:t>
            </w:r>
            <w:r>
              <w:rPr>
                <w:rFonts w:hint="eastAsia" w:ascii="楷体_GB2312" w:eastAsia="楷体_GB2312" w:cs="楷体_GB2312"/>
                <w:b/>
                <w:color w:val="000000" w:themeColor="text1"/>
                <w:sz w:val="20"/>
                <w:szCs w:val="20"/>
                <w:highlight w:val="none"/>
                <w14:textFill>
                  <w14:solidFill>
                    <w14:schemeClr w14:val="tx1"/>
                  </w14:solidFill>
                </w14:textFill>
              </w:rPr>
              <w:t>，按照实际发生时列支</w:t>
            </w:r>
            <w:r>
              <w:rPr>
                <w:rFonts w:ascii="楷体_GB2312" w:eastAsia="楷体_GB2312" w:cs="楷体_GB2312"/>
                <w:b/>
                <w:color w:val="000000" w:themeColor="text1"/>
                <w:sz w:val="20"/>
                <w:szCs w:val="20"/>
                <w:highlight w:val="none"/>
                <w14:textFill>
                  <w14:solidFill>
                    <w14:schemeClr w14:val="tx1"/>
                  </w14:solidFill>
                </w14:textFill>
              </w:rPr>
              <w:t>。管理人因管理、运营理财产品发生的税费</w:t>
            </w:r>
            <w:r>
              <w:rPr>
                <w:rFonts w:ascii="楷体_GB2312" w:eastAsia="楷体_GB2312"/>
                <w:b/>
                <w:color w:val="000000" w:themeColor="text1"/>
                <w:sz w:val="20"/>
                <w:szCs w:val="20"/>
                <w:highlight w:val="none"/>
                <w14:textFill>
                  <w14:solidFill>
                    <w14:schemeClr w14:val="tx1"/>
                  </w14:solidFill>
                </w14:textFill>
              </w:rPr>
              <w:t>（包括但不限于增值税及相应的附加税费等）</w:t>
            </w:r>
            <w:r>
              <w:rPr>
                <w:rFonts w:ascii="楷体_GB2312" w:eastAsia="楷体_GB2312" w:cs="楷体_GB2312"/>
                <w:b/>
                <w:color w:val="000000" w:themeColor="text1"/>
                <w:sz w:val="20"/>
                <w:szCs w:val="20"/>
                <w:highlight w:val="none"/>
                <w14:textFill>
                  <w14:solidFill>
                    <w14:schemeClr w14:val="tx1"/>
                  </w14:solidFill>
                </w14:textFill>
              </w:rPr>
              <w:t>由产品资产承担。法律法规另有规定时从其规定。</w:t>
            </w:r>
          </w:p>
          <w:p w14:paraId="30E81CD3">
            <w:pPr>
              <w:snapToGrid w:val="0"/>
              <w:spacing w:line="300" w:lineRule="exact"/>
              <w:ind w:left="0" w:leftChars="0" w:right="53" w:rightChars="22"/>
              <w:jc w:val="left"/>
              <w:outlineLvl w:val="0"/>
              <w:rPr>
                <w:rFonts w:ascii="楷体_GB2312" w:eastAsia="楷体_GB2312" w:cs="楷体_GB2312"/>
                <w:b/>
                <w:color w:val="000000" w:themeColor="text1"/>
                <w:sz w:val="20"/>
                <w:szCs w:val="20"/>
                <w:highlight w:val="none"/>
                <w14:textFill>
                  <w14:solidFill>
                    <w14:schemeClr w14:val="tx1"/>
                  </w14:solidFill>
                </w14:textFill>
              </w:rPr>
            </w:pPr>
          </w:p>
          <w:p w14:paraId="582F3760">
            <w:pPr>
              <w:snapToGrid w:val="0"/>
              <w:spacing w:line="300" w:lineRule="exact"/>
              <w:ind w:right="53" w:rightChars="22"/>
              <w:jc w:val="left"/>
              <w:outlineLvl w:val="0"/>
              <w:rPr>
                <w:rFonts w:ascii="楷体_GB2312" w:eastAsia="楷体_GB2312"/>
                <w:b/>
                <w:color w:val="000000" w:themeColor="text1"/>
                <w:sz w:val="20"/>
                <w:szCs w:val="20"/>
                <w:highlight w:val="none"/>
                <w14:textFill>
                  <w14:solidFill>
                    <w14:schemeClr w14:val="tx1"/>
                  </w14:solidFill>
                </w14:textFill>
              </w:rPr>
            </w:pPr>
            <w:r>
              <w:rPr>
                <w:rFonts w:hint="eastAsia" w:ascii="楷体_GB2312" w:eastAsia="楷体_GB2312" w:cs="楷体_GB2312"/>
                <w:b/>
                <w:color w:val="000000" w:themeColor="text1"/>
                <w:sz w:val="20"/>
                <w:szCs w:val="20"/>
                <w:highlight w:val="none"/>
                <w14:textFill>
                  <w14:solidFill>
                    <w14:schemeClr w14:val="tx1"/>
                  </w14:solidFill>
                </w14:textFill>
              </w:rPr>
              <w:t>以上项费用</w:t>
            </w:r>
            <w:r>
              <w:rPr>
                <w:rFonts w:ascii="楷体_GB2312" w:eastAsia="楷体_GB2312" w:cs="楷体_GB2312"/>
                <w:b/>
                <w:color w:val="000000" w:themeColor="text1"/>
                <w:sz w:val="20"/>
                <w:szCs w:val="20"/>
                <w:highlight w:val="none"/>
                <w14:textFill>
                  <w14:solidFill>
                    <w14:schemeClr w14:val="tx1"/>
                  </w14:solidFill>
                </w14:textFill>
              </w:rPr>
              <w:t>金额均</w:t>
            </w:r>
            <w:r>
              <w:rPr>
                <w:rFonts w:hint="eastAsia" w:ascii="楷体_GB2312" w:eastAsia="楷体_GB2312" w:cs="楷体_GB2312"/>
                <w:b/>
                <w:color w:val="000000" w:themeColor="text1"/>
                <w:sz w:val="20"/>
                <w:szCs w:val="20"/>
                <w:highlight w:val="none"/>
                <w14:textFill>
                  <w14:solidFill>
                    <w14:schemeClr w14:val="tx1"/>
                  </w14:solidFill>
                </w14:textFill>
              </w:rPr>
              <w:t>四舍五入</w:t>
            </w:r>
            <w:r>
              <w:rPr>
                <w:rFonts w:ascii="楷体_GB2312" w:eastAsia="楷体_GB2312" w:cs="楷体_GB2312"/>
                <w:b/>
                <w:color w:val="000000" w:themeColor="text1"/>
                <w:sz w:val="20"/>
                <w:szCs w:val="20"/>
                <w:highlight w:val="none"/>
                <w14:textFill>
                  <w14:solidFill>
                    <w14:schemeClr w14:val="tx1"/>
                  </w14:solidFill>
                </w14:textFill>
              </w:rPr>
              <w:t>保留小数点后</w:t>
            </w:r>
            <w:r>
              <w:rPr>
                <w:rFonts w:hint="eastAsia" w:ascii="楷体_GB2312" w:eastAsia="楷体_GB2312" w:cs="楷体_GB2312"/>
                <w:b/>
                <w:color w:val="000000" w:themeColor="text1"/>
                <w:sz w:val="20"/>
                <w:szCs w:val="20"/>
                <w:highlight w:val="none"/>
                <w14:textFill>
                  <w14:solidFill>
                    <w14:schemeClr w14:val="tx1"/>
                  </w14:solidFill>
                </w14:textFill>
              </w:rPr>
              <w:t>【</w:t>
            </w:r>
            <w:r>
              <w:rPr>
                <w:rFonts w:ascii="楷体_GB2312" w:eastAsia="楷体_GB2312" w:cs="楷体_GB2312"/>
                <w:b/>
                <w:color w:val="000000" w:themeColor="text1"/>
                <w:sz w:val="20"/>
                <w:szCs w:val="20"/>
                <w:highlight w:val="none"/>
                <w14:textFill>
                  <w14:solidFill>
                    <w14:schemeClr w14:val="tx1"/>
                  </w14:solidFill>
                </w14:textFill>
              </w:rPr>
              <w:t>2】位。</w:t>
            </w:r>
          </w:p>
          <w:p w14:paraId="4F8BCAA9">
            <w:pPr>
              <w:widowControl/>
              <w:snapToGrid w:val="0"/>
              <w:spacing w:line="300" w:lineRule="exact"/>
              <w:ind w:right="53" w:rightChars="22"/>
              <w:jc w:val="left"/>
              <w:textAlignment w:val="auto"/>
              <w:outlineLvl w:val="0"/>
              <w:rPr>
                <w:rFonts w:hint="eastAsia" w:ascii="仿宋_GB2312" w:hAnsi="等线" w:eastAsia="仿宋_GB2312" w:cs="仿宋_GB2312"/>
                <w:bCs/>
                <w:color w:val="000000" w:themeColor="text1"/>
                <w:sz w:val="24"/>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具体请参见本说明书“</w:t>
            </w:r>
            <w:r>
              <w:rPr>
                <w:rFonts w:hint="eastAsia" w:ascii="黑体" w:eastAsia="黑体" w:cs="黑体"/>
                <w:b/>
                <w:color w:val="000000" w:themeColor="text1"/>
                <w:sz w:val="20"/>
                <w:szCs w:val="20"/>
                <w:highlight w:val="none"/>
                <w14:textFill>
                  <w14:solidFill>
                    <w14:schemeClr w14:val="tx1"/>
                  </w14:solidFill>
                </w14:textFill>
              </w:rPr>
              <w:t>理财产品的费用</w:t>
            </w:r>
            <w:r>
              <w:rPr>
                <w:rFonts w:ascii="楷体_GB2312" w:eastAsia="楷体_GB2312" w:cs="楷体_GB2312"/>
                <w:b/>
                <w:color w:val="000000" w:themeColor="text1"/>
                <w:sz w:val="20"/>
                <w:szCs w:val="20"/>
                <w:highlight w:val="none"/>
                <w14:textFill>
                  <w14:solidFill>
                    <w14:schemeClr w14:val="tx1"/>
                  </w14:solidFill>
                </w14:textFill>
              </w:rPr>
              <w:t>”部分。</w:t>
            </w:r>
          </w:p>
        </w:tc>
      </w:tr>
      <w:tr w14:paraId="4C2E79A0">
        <w:tblPrEx>
          <w:tblCellMar>
            <w:top w:w="0" w:type="dxa"/>
            <w:left w:w="108" w:type="dxa"/>
            <w:bottom w:w="0" w:type="dxa"/>
            <w:right w:w="108" w:type="dxa"/>
          </w:tblCellMar>
        </w:tblPrEx>
        <w:trPr>
          <w:trHeight w:val="270" w:hRule="atLeast"/>
        </w:trPr>
        <w:tc>
          <w:tcPr>
            <w:tcW w:w="9425" w:type="dxa"/>
            <w:gridSpan w:val="2"/>
            <w:tcBorders>
              <w:top w:val="single" w:color="000000" w:sz="4" w:space="0"/>
              <w:left w:val="single" w:color="000000" w:sz="8" w:space="0"/>
              <w:bottom w:val="single" w:color="auto" w:sz="4" w:space="0"/>
              <w:right w:val="single" w:color="000000" w:sz="8" w:space="0"/>
            </w:tcBorders>
            <w:vAlign w:val="center"/>
          </w:tcPr>
          <w:p w14:paraId="1F108DD9">
            <w:pPr>
              <w:widowControl/>
              <w:spacing w:line="400" w:lineRule="exact"/>
              <w:jc w:val="center"/>
              <w:textAlignment w:val="center"/>
              <w:rPr>
                <w:rFonts w:hint="eastAsia" w:ascii="楷体_GB2312" w:hAnsi="等线" w:eastAsia="楷体_GB2312" w:cs="楷体_GB2312"/>
                <w:b/>
                <w:bCs/>
                <w:color w:val="000000" w:themeColor="text1"/>
                <w:sz w:val="24"/>
                <w:highlight w:val="none"/>
                <w14:textFill>
                  <w14:solidFill>
                    <w14:schemeClr w14:val="tx1"/>
                  </w14:solidFill>
                </w14:textFill>
              </w:rPr>
            </w:pPr>
            <w:r>
              <w:rPr>
                <w:rFonts w:hint="eastAsia" w:ascii="楷体_GB2312" w:hAnsi="等线" w:eastAsia="楷体_GB2312" w:cs="楷体_GB2312"/>
                <w:b/>
                <w:bCs/>
                <w:color w:val="000000" w:themeColor="text1"/>
                <w:kern w:val="0"/>
                <w:sz w:val="24"/>
                <w:highlight w:val="none"/>
                <w:lang w:bidi="ar"/>
                <w14:textFill>
                  <w14:solidFill>
                    <w14:schemeClr w14:val="tx1"/>
                  </w14:solidFill>
                </w14:textFill>
              </w:rPr>
              <w:t>（六）业绩比较基准</w:t>
            </w:r>
          </w:p>
        </w:tc>
      </w:tr>
      <w:tr w14:paraId="29F6E628">
        <w:tblPrEx>
          <w:tblCellMar>
            <w:top w:w="0" w:type="dxa"/>
            <w:left w:w="108" w:type="dxa"/>
            <w:bottom w:w="0" w:type="dxa"/>
            <w:right w:w="108" w:type="dxa"/>
          </w:tblCellMar>
        </w:tblPrEx>
        <w:trPr>
          <w:trHeight w:val="1180" w:hRule="atLeast"/>
        </w:trPr>
        <w:tc>
          <w:tcPr>
            <w:tcW w:w="2453" w:type="dxa"/>
            <w:tcBorders>
              <w:top w:val="single" w:color="auto" w:sz="4" w:space="0"/>
              <w:left w:val="single" w:color="auto" w:sz="4" w:space="0"/>
              <w:bottom w:val="nil"/>
              <w:right w:val="single" w:color="auto" w:sz="4" w:space="0"/>
            </w:tcBorders>
            <w:vAlign w:val="center"/>
          </w:tcPr>
          <w:p w14:paraId="66097AD3">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楷体" w:hAnsi="楷体" w:eastAsia="楷体"/>
                <w:color w:val="000000"/>
                <w:sz w:val="20"/>
                <w:szCs w:val="20"/>
                <w:highlight w:val="none"/>
              </w:rPr>
              <w:t>业绩比较基准</w:t>
            </w:r>
          </w:p>
        </w:tc>
        <w:tc>
          <w:tcPr>
            <w:tcW w:w="6972" w:type="dxa"/>
            <w:tcBorders>
              <w:top w:val="single" w:color="auto" w:sz="4" w:space="0"/>
              <w:left w:val="single" w:color="auto" w:sz="4" w:space="0"/>
              <w:bottom w:val="nil"/>
              <w:right w:val="single" w:color="auto" w:sz="4" w:space="0"/>
            </w:tcBorders>
            <w:vAlign w:val="center"/>
          </w:tcPr>
          <w:p w14:paraId="52A77683">
            <w:pPr>
              <w:spacing w:line="300" w:lineRule="exact"/>
              <w:ind w:right="36" w:rightChars="15"/>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【B】类份额：生效日期2025年12月30日【中债-新综合全价(1年以下)指数】</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【G】类份额：生效日期2025年12月30日【中债-新综合全价(1年以下)指数】</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【H】类份额：生效日期2025年12月30日【中债-新综合全价(1年以下)指数】</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【M】类份额：生效日期2026年07月21日【中债-新综合全价(1年以下)指数】</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【N】类份额：生效日期2026年07月21日【中债-新综合全价(1年以下)指数】</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【S】类份额：生效日期2026年07月21日【中债-新综合全价(1年以下)指数】</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【Y】类份额：生效日期2026年09月24日【中债-新综合全价(1年以下)指数】</w:t>
            </w:r>
          </w:p>
          <w:p w14:paraId="55C70184">
            <w:pPr>
              <w:spacing w:line="300" w:lineRule="exact"/>
              <w:ind w:left="-2" w:leftChars="-1" w:right="36" w:rightChars="15"/>
              <w:jc w:val="both"/>
              <w:rPr>
                <w:rFonts w:ascii="楷体_GB2312" w:eastAsia="楷体_GB2312" w:cs="楷体_GB2312"/>
                <w:color w:val="000000" w:themeColor="text1"/>
                <w:sz w:val="20"/>
                <w:szCs w:val="20"/>
                <w:highlight w:val="none"/>
                <w14:textFill>
                  <w14:solidFill>
                    <w14:schemeClr w14:val="tx1"/>
                  </w14:solidFill>
                </w14:textFill>
              </w:rPr>
            </w:pPr>
          </w:p>
          <w:p w14:paraId="2A12B02A">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b/>
                <w:bCs/>
                <w:color w:val="000000" w:themeColor="text1"/>
                <w:sz w:val="20"/>
                <w:szCs w:val="20"/>
                <w:highlight w:val="none"/>
                <w14:textFill>
                  <w14:solidFill>
                    <w14:schemeClr w14:val="tx1"/>
                  </w14:solidFill>
                </w14:textFill>
              </w:rPr>
              <w:t>业绩</w:t>
            </w:r>
            <w:r>
              <w:rPr>
                <w:rFonts w:hint="eastAsia" w:ascii="Times New Roman" w:eastAsia="楷体_GB2312" w:cs="楷体_GB2312"/>
                <w:b/>
                <w:bCs/>
                <w:color w:val="000000" w:themeColor="text1"/>
                <w:sz w:val="20"/>
                <w:szCs w:val="20"/>
                <w:highlight w:val="none"/>
                <w14:textFill>
                  <w14:solidFill>
                    <w14:schemeClr w14:val="tx1"/>
                  </w14:solidFill>
                </w14:textFill>
              </w:rPr>
              <w:t>比较</w:t>
            </w:r>
            <w:r>
              <w:rPr>
                <w:rFonts w:hint="eastAsia" w:ascii="楷体_GB2312" w:eastAsia="楷体_GB2312" w:cs="楷体_GB2312"/>
                <w:b/>
                <w:bCs/>
                <w:color w:val="000000" w:themeColor="text1"/>
                <w:sz w:val="20"/>
                <w:szCs w:val="20"/>
                <w:highlight w:val="none"/>
                <w14:textFill>
                  <w14:solidFill>
                    <w14:schemeClr w14:val="tx1"/>
                  </w14:solidFill>
                </w14:textFill>
              </w:rPr>
              <w:t>基准测算依据：【本理财产品为固定收益类产品，主要投向为债券、存款、同业存单等。根据当前市场利率水平、组合目标久期、可投资债券的静态收益率、债券杠杆操作等因素作为测算依据，扣除相关税费成本之后，综合得出产品的业绩比较基准。业绩比较基准是基于产品性质、投资策略、过往经验等因素对产品设定的投资目标。业绩比较基准不是预期收益率，不代表产品的未来表现和实际收益，不构成对产品收益的承诺，投资须谨慎。】</w:t>
            </w:r>
          </w:p>
          <w:p w14:paraId="6B05A6BA">
            <w:pPr>
              <w:spacing w:line="300" w:lineRule="exact"/>
              <w:ind w:left="-2" w:leftChars="-1" w:right="36" w:rightChars="15"/>
              <w:jc w:val="both"/>
              <w:rPr>
                <w:rFonts w:ascii="黑体" w:hAnsi="黑体" w:eastAsia="黑体" w:cs="楷体_GB2312"/>
                <w:b/>
                <w:color w:val="000000" w:themeColor="text1"/>
                <w:sz w:val="20"/>
                <w:szCs w:val="20"/>
                <w:highlight w:val="none"/>
                <w14:textFill>
                  <w14:solidFill>
                    <w14:schemeClr w14:val="tx1"/>
                  </w14:solidFill>
                </w14:textFill>
              </w:rPr>
            </w:pPr>
            <w:r>
              <w:rPr>
                <w:rFonts w:hint="eastAsia" w:ascii="楷体_GB2312" w:eastAsia="楷体_GB2312" w:cs="楷体_GB2312"/>
                <w:b/>
                <w:bCs/>
                <w:color w:val="000000" w:themeColor="text1"/>
                <w:sz w:val="20"/>
                <w:szCs w:val="20"/>
                <w:highlight w:val="none"/>
                <w14:textFill>
                  <w14:solidFill>
                    <w14:schemeClr w14:val="tx1"/>
                  </w14:solidFill>
                </w14:textFill>
              </w:rPr>
              <w:t>本产品收取的销售服务费可能因销售</w:t>
            </w:r>
            <w:r>
              <w:rPr>
                <w:rFonts w:ascii="楷体_GB2312" w:eastAsia="楷体_GB2312" w:cs="楷体_GB2312"/>
                <w:b/>
                <w:bCs/>
                <w:color w:val="000000" w:themeColor="text1"/>
                <w:sz w:val="20"/>
                <w:szCs w:val="20"/>
                <w:highlight w:val="none"/>
                <w14:textFill>
                  <w14:solidFill>
                    <w14:schemeClr w14:val="tx1"/>
                  </w14:solidFill>
                </w14:textFill>
              </w:rPr>
              <w:t>机构</w:t>
            </w:r>
            <w:r>
              <w:rPr>
                <w:rFonts w:hint="eastAsia" w:ascii="楷体_GB2312" w:eastAsia="楷体_GB2312" w:cs="楷体_GB2312"/>
                <w:b/>
                <w:bCs/>
                <w:color w:val="000000" w:themeColor="text1"/>
                <w:sz w:val="20"/>
                <w:szCs w:val="20"/>
                <w:highlight w:val="none"/>
                <w14:textFill>
                  <w14:solidFill>
                    <w14:schemeClr w14:val="tx1"/>
                  </w14:solidFill>
                </w14:textFill>
              </w:rPr>
              <w:t>不同有所差异，从而导致测算的业绩比较基准有所差异，请投资者关注管理人及销售机构相关信息披露。</w:t>
            </w:r>
          </w:p>
          <w:p w14:paraId="228C1416">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若今后法律法规发生变化，或有其他代表性更强、更科学客观的业绩比较基准适用于本产品时，本产品可变更业绩比较基准并及时告知投资者。管理人有权根据法律法规要求、市场情况在每个开放日调整当期业绩比较基准，并在每个开放日前【2】个工作日以符合监管规定要求的方式向投资者披露，投资者不接受的，可于最近一个开放日赎回理财产品。</w:t>
            </w:r>
          </w:p>
        </w:tc>
      </w:tr>
      <w:tr w14:paraId="09CB5E4A">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000000" w:sz="8" w:space="0"/>
              <w:bottom w:val="single" w:color="000000" w:sz="4" w:space="0"/>
              <w:right w:val="single" w:color="000000" w:sz="8" w:space="0"/>
            </w:tcBorders>
            <w:vAlign w:val="center"/>
          </w:tcPr>
          <w:p w14:paraId="06997DAA">
            <w:pPr>
              <w:widowControl/>
              <w:spacing w:line="400" w:lineRule="exact"/>
              <w:jc w:val="center"/>
              <w:textAlignment w:val="center"/>
              <w:rPr>
                <w:rFonts w:hint="eastAsia" w:ascii="楷体_GB2312" w:hAnsi="等线" w:eastAsia="楷体_GB2312" w:cs="楷体_GB2312"/>
                <w:bCs/>
                <w:color w:val="000000" w:themeColor="text1"/>
                <w:sz w:val="24"/>
                <w:highlight w:val="none"/>
                <w14:textFill>
                  <w14:solidFill>
                    <w14:schemeClr w14:val="tx1"/>
                  </w14:solidFill>
                </w14:textFill>
              </w:rPr>
            </w:pPr>
            <w:r>
              <w:rPr>
                <w:rFonts w:hint="eastAsia" w:ascii="楷体_GB2312" w:hAnsi="等线" w:eastAsia="楷体_GB2312" w:cs="楷体_GB2312"/>
                <w:b/>
                <w:color w:val="000000" w:themeColor="text1"/>
                <w:kern w:val="0"/>
                <w:sz w:val="24"/>
                <w:highlight w:val="none"/>
                <w:lang w:bidi="ar"/>
                <w14:textFill>
                  <w14:solidFill>
                    <w14:schemeClr w14:val="tx1"/>
                  </w14:solidFill>
                </w14:textFill>
              </w:rPr>
              <w:t>（七）投资范围与策略</w:t>
            </w:r>
          </w:p>
        </w:tc>
      </w:tr>
      <w:tr w14:paraId="7EFE3481">
        <w:tblPrEx>
          <w:tblCellMar>
            <w:top w:w="0" w:type="dxa"/>
            <w:left w:w="108" w:type="dxa"/>
            <w:bottom w:w="0" w:type="dxa"/>
            <w:right w:w="108" w:type="dxa"/>
          </w:tblCellMar>
        </w:tblPrEx>
        <w:trPr>
          <w:trHeight w:val="1420" w:hRule="atLeast"/>
        </w:trPr>
        <w:tc>
          <w:tcPr>
            <w:tcW w:w="2453" w:type="dxa"/>
            <w:tcBorders>
              <w:top w:val="nil"/>
              <w:left w:val="single" w:color="000000" w:sz="8" w:space="0"/>
              <w:bottom w:val="single" w:color="auto" w:sz="4" w:space="0"/>
              <w:right w:val="single" w:color="auto" w:sz="4" w:space="0"/>
            </w:tcBorders>
            <w:vAlign w:val="center"/>
          </w:tcPr>
          <w:p w14:paraId="6B787928">
            <w:pPr>
              <w:ind w:right="29" w:rightChars="12"/>
              <w:jc w:val="center"/>
              <w:rPr>
                <w:rFonts w:hint="eastAsia" w:ascii="楷体" w:hAnsi="楷体" w:eastAsia="楷体"/>
                <w:color w:val="000000"/>
                <w:sz w:val="20"/>
                <w:szCs w:val="20"/>
                <w:highlight w:val="none"/>
              </w:rPr>
            </w:pPr>
            <w:r>
              <w:rPr>
                <w:rFonts w:hint="eastAsia" w:ascii="楷体" w:hAnsi="楷体" w:eastAsia="楷体"/>
                <w:color w:val="000000"/>
                <w:sz w:val="20"/>
                <w:szCs w:val="20"/>
                <w:highlight w:val="none"/>
              </w:rPr>
              <w:t>投资范围</w:t>
            </w:r>
          </w:p>
        </w:tc>
        <w:tc>
          <w:tcPr>
            <w:tcW w:w="6972" w:type="dxa"/>
            <w:tcBorders>
              <w:top w:val="nil"/>
              <w:left w:val="single" w:color="auto" w:sz="4" w:space="0"/>
              <w:bottom w:val="single" w:color="auto" w:sz="4" w:space="0"/>
              <w:right w:val="single" w:color="000000" w:sz="8" w:space="0"/>
            </w:tcBorders>
            <w:vAlign w:val="center"/>
          </w:tcPr>
          <w:p w14:paraId="4DEE47FE">
            <w:pPr>
              <w:spacing w:line="300" w:lineRule="exact"/>
              <w:ind w:right="36" w:rightChars="15" w:firstLine="400" w:firstLineChars="200"/>
              <w:jc w:val="left"/>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（1）债权类资产</w:t>
            </w:r>
          </w:p>
          <w:p w14:paraId="62FE9039">
            <w:pPr>
              <w:spacing w:line="300" w:lineRule="exact"/>
              <w:ind w:right="36" w:rightChars="15"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a</w:t>
            </w:r>
            <w:r>
              <w:rPr>
                <w:rFonts w:ascii="楷体_GB2312" w:eastAsia="楷体_GB2312"/>
                <w:color w:val="000000" w:themeColor="text1"/>
                <w:sz w:val="20"/>
                <w:szCs w:val="20"/>
                <w:highlight w:val="none"/>
                <w14:textFill>
                  <w14:solidFill>
                    <w14:schemeClr w14:val="tx1"/>
                  </w14:solidFill>
                </w14:textFill>
              </w:rPr>
              <w:t>.</w:t>
            </w:r>
            <w:r>
              <w:rPr>
                <w:rFonts w:hint="eastAsia" w:ascii="楷体_GB2312" w:eastAsia="楷体_GB2312"/>
                <w:color w:val="000000" w:themeColor="text1"/>
                <w:sz w:val="20"/>
                <w:szCs w:val="20"/>
                <w:highlight w:val="none"/>
                <w14:textFill>
                  <w14:solidFill>
                    <w14:schemeClr w14:val="tx1"/>
                  </w14:solidFill>
                </w14:textFill>
              </w:rPr>
              <w:t>货币市场类：现金、存款、大额</w:t>
            </w:r>
            <w:r>
              <w:rPr>
                <w:rFonts w:ascii="楷体_GB2312" w:eastAsia="楷体_GB2312"/>
                <w:color w:val="000000" w:themeColor="text1"/>
                <w:sz w:val="20"/>
                <w:szCs w:val="20"/>
                <w:highlight w:val="none"/>
                <w14:textFill>
                  <w14:solidFill>
                    <w14:schemeClr w14:val="tx1"/>
                  </w14:solidFill>
                </w14:textFill>
              </w:rPr>
              <w:t>存单、同业存单、</w:t>
            </w:r>
            <w:r>
              <w:rPr>
                <w:rFonts w:hint="eastAsia" w:ascii="楷体_GB2312" w:eastAsia="楷体_GB2312"/>
                <w:color w:val="000000" w:themeColor="text1"/>
                <w:sz w:val="20"/>
                <w:szCs w:val="20"/>
                <w:highlight w:val="none"/>
                <w14:textFill>
                  <w14:solidFill>
                    <w14:schemeClr w14:val="tx1"/>
                  </w14:solidFill>
                </w14:textFill>
              </w:rPr>
              <w:t>货币基金、质押式回购和其他货币市场类资产；</w:t>
            </w:r>
          </w:p>
          <w:p w14:paraId="2A420333">
            <w:pPr>
              <w:spacing w:line="300" w:lineRule="exact"/>
              <w:ind w:left="-2" w:leftChars="-1" w:right="36" w:rightChars="15" w:firstLine="422"/>
              <w:jc w:val="both"/>
              <w:rPr>
                <w:rFonts w:ascii="Times New Roman" w:hAnsi="Times New Roman"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b.固定收益类：国债</w:t>
            </w:r>
            <w:r>
              <w:rPr>
                <w:rFonts w:ascii="楷体_GB2312" w:eastAsia="楷体_GB2312"/>
                <w:color w:val="000000" w:themeColor="text1"/>
                <w:sz w:val="20"/>
                <w:szCs w:val="20"/>
                <w:highlight w:val="none"/>
                <w14:textFill>
                  <w14:solidFill>
                    <w14:schemeClr w14:val="tx1"/>
                  </w14:solidFill>
                </w14:textFill>
              </w:rPr>
              <w:t>、地方政府债券、中央银行票据、政府机构债券、金融债券、公司信用类债券、在银行间市场和证券交易所市场发行的</w:t>
            </w:r>
            <w:r>
              <w:rPr>
                <w:rFonts w:hint="eastAsia" w:ascii="楷体_GB2312" w:eastAsia="楷体_GB2312"/>
                <w:color w:val="000000" w:themeColor="text1"/>
                <w:sz w:val="20"/>
                <w:szCs w:val="20"/>
                <w:highlight w:val="none"/>
                <w14:textFill>
                  <w14:solidFill>
                    <w14:schemeClr w14:val="tx1"/>
                  </w14:solidFill>
                </w14:textFill>
              </w:rPr>
              <w:t>资产支持证券、非公开定向债务融资工具、债券型</w:t>
            </w:r>
            <w:r>
              <w:rPr>
                <w:rFonts w:ascii="楷体_GB2312" w:eastAsia="楷体_GB2312"/>
                <w:color w:val="000000" w:themeColor="text1"/>
                <w:sz w:val="20"/>
                <w:szCs w:val="20"/>
                <w:highlight w:val="none"/>
                <w14:textFill>
                  <w14:solidFill>
                    <w14:schemeClr w14:val="tx1"/>
                  </w14:solidFill>
                </w14:textFill>
              </w:rPr>
              <w:t>证券投资</w:t>
            </w:r>
            <w:r>
              <w:rPr>
                <w:rFonts w:hint="eastAsia" w:ascii="楷体_GB2312" w:eastAsia="楷体_GB2312"/>
                <w:color w:val="000000" w:themeColor="text1"/>
                <w:sz w:val="20"/>
                <w:szCs w:val="20"/>
                <w:highlight w:val="none"/>
                <w14:textFill>
                  <w14:solidFill>
                    <w14:schemeClr w14:val="tx1"/>
                  </w14:solidFill>
                </w14:textFill>
              </w:rPr>
              <w:t>基金、</w:t>
            </w:r>
            <w:r>
              <w:rPr>
                <w:rFonts w:ascii="楷体_GB2312" w:eastAsia="楷体_GB2312"/>
                <w:color w:val="000000" w:themeColor="text1"/>
                <w:sz w:val="20"/>
                <w:szCs w:val="20"/>
                <w:highlight w:val="none"/>
                <w14:textFill>
                  <w14:solidFill>
                    <w14:schemeClr w14:val="tx1"/>
                  </w14:solidFill>
                </w14:textFill>
              </w:rPr>
              <w:t>非标准化债权类资产</w:t>
            </w:r>
            <w:r>
              <w:rPr>
                <w:rFonts w:hint="eastAsia" w:ascii="楷体_GB2312" w:eastAsia="楷体_GB2312"/>
                <w:color w:val="000000" w:themeColor="text1"/>
                <w:sz w:val="20"/>
                <w:szCs w:val="20"/>
                <w:highlight w:val="none"/>
                <w14:textFill>
                  <w14:solidFill>
                    <w14:schemeClr w14:val="tx1"/>
                  </w14:solidFill>
                </w14:textFill>
              </w:rPr>
              <w:t>和其他固定收益类资产；</w:t>
            </w:r>
          </w:p>
          <w:p w14:paraId="11FB09D7">
            <w:pPr>
              <w:spacing w:line="300" w:lineRule="exact"/>
              <w:ind w:left="-2" w:leftChars="-1" w:right="36" w:rightChars="15" w:firstLine="422"/>
              <w:jc w:val="both"/>
              <w:rPr>
                <w:rFonts w:ascii="Times New Roman" w:hAnsi="Times New Roman" w:eastAsia="楷体_GB2312"/>
                <w:color w:val="000000" w:themeColor="text1"/>
                <w:sz w:val="20"/>
                <w:szCs w:val="20"/>
                <w:highlight w:val="none"/>
                <w14:textFill>
                  <w14:solidFill>
                    <w14:schemeClr w14:val="tx1"/>
                  </w14:solidFill>
                </w14:textFill>
              </w:rPr>
            </w:pPr>
            <w:r>
              <w:rPr>
                <w:rFonts w:hint="eastAsia" w:ascii="Times New Roman" w:hAnsi="Times New Roman" w:eastAsia="楷体_GB2312"/>
                <w:color w:val="000000" w:themeColor="text1"/>
                <w:sz w:val="20"/>
                <w:szCs w:val="20"/>
                <w:highlight w:val="none"/>
                <w14:textFill>
                  <w14:solidFill>
                    <w14:schemeClr w14:val="tx1"/>
                  </w14:solidFill>
                </w14:textFill>
              </w:rPr>
              <w:t>（</w:t>
            </w:r>
            <w:r>
              <w:rPr>
                <w:rFonts w:ascii="Times New Roman" w:hAnsi="Times New Roman" w:eastAsia="楷体_GB2312"/>
                <w:color w:val="000000" w:themeColor="text1"/>
                <w:sz w:val="20"/>
                <w:szCs w:val="20"/>
                <w:highlight w:val="none"/>
                <w14:textFill>
                  <w14:solidFill>
                    <w14:schemeClr w14:val="tx1"/>
                  </w14:solidFill>
                </w14:textFill>
              </w:rPr>
              <w:t>2）</w:t>
            </w:r>
            <w:r>
              <w:rPr>
                <w:rFonts w:hint="eastAsia" w:ascii="Times New Roman" w:hAnsi="Times New Roman" w:eastAsia="楷体_GB2312"/>
                <w:color w:val="000000" w:themeColor="text1"/>
                <w:sz w:val="20"/>
                <w:szCs w:val="20"/>
                <w:highlight w:val="none"/>
                <w14:textFill>
                  <w14:solidFill>
                    <w14:schemeClr w14:val="tx1"/>
                  </w14:solidFill>
                </w14:textFill>
              </w:rPr>
              <w:t>权益</w:t>
            </w:r>
            <w:r>
              <w:rPr>
                <w:rFonts w:ascii="Times New Roman" w:hAnsi="Times New Roman" w:eastAsia="楷体_GB2312"/>
                <w:color w:val="000000" w:themeColor="text1"/>
                <w:sz w:val="20"/>
                <w:szCs w:val="20"/>
                <w:highlight w:val="none"/>
                <w14:textFill>
                  <w14:solidFill>
                    <w14:schemeClr w14:val="tx1"/>
                  </w14:solidFill>
                </w14:textFill>
              </w:rPr>
              <w:t>类</w:t>
            </w:r>
            <w:r>
              <w:rPr>
                <w:rFonts w:hint="eastAsia" w:ascii="Times New Roman" w:hAnsi="Times New Roman" w:eastAsia="楷体_GB2312"/>
                <w:color w:val="000000" w:themeColor="text1"/>
                <w:sz w:val="20"/>
                <w:szCs w:val="20"/>
                <w:highlight w:val="none"/>
                <w14:textFill>
                  <w14:solidFill>
                    <w14:schemeClr w14:val="tx1"/>
                  </w14:solidFill>
                </w14:textFill>
              </w:rPr>
              <w:t>资产</w:t>
            </w:r>
            <w:r>
              <w:rPr>
                <w:rFonts w:ascii="Times New Roman" w:hAnsi="Times New Roman" w:eastAsia="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上市</w:t>
            </w:r>
            <w:r>
              <w:rPr>
                <w:rFonts w:ascii="楷体_GB2312" w:eastAsia="楷体_GB2312" w:cs="楷体_GB2312"/>
                <w:color w:val="000000" w:themeColor="text1"/>
                <w:sz w:val="20"/>
                <w:szCs w:val="20"/>
                <w:highlight w:val="none"/>
                <w14:textFill>
                  <w14:solidFill>
                    <w14:schemeClr w14:val="tx1"/>
                  </w14:solidFill>
                </w14:textFill>
              </w:rPr>
              <w:t>交易</w:t>
            </w:r>
            <w:r>
              <w:rPr>
                <w:rFonts w:hint="eastAsia" w:ascii="楷体_GB2312" w:eastAsia="楷体_GB2312" w:cs="楷体_GB2312"/>
                <w:color w:val="000000" w:themeColor="text1"/>
                <w:sz w:val="20"/>
                <w:szCs w:val="20"/>
                <w:highlight w:val="none"/>
                <w14:textFill>
                  <w14:solidFill>
                    <w14:schemeClr w14:val="tx1"/>
                  </w14:solidFill>
                </w14:textFill>
              </w:rPr>
              <w:t>的</w:t>
            </w:r>
            <w:r>
              <w:rPr>
                <w:rFonts w:ascii="楷体_GB2312" w:eastAsia="楷体_GB2312" w:cs="楷体_GB2312"/>
                <w:color w:val="000000" w:themeColor="text1"/>
                <w:sz w:val="20"/>
                <w:szCs w:val="20"/>
                <w:highlight w:val="none"/>
                <w14:textFill>
                  <w14:solidFill>
                    <w14:schemeClr w14:val="tx1"/>
                  </w14:solidFill>
                </w14:textFill>
              </w:rPr>
              <w:t>股票以及法律法规允许或监管部门批准的其他具备权益特征的资产和资产组合</w:t>
            </w:r>
            <w:r>
              <w:rPr>
                <w:rFonts w:ascii="Times New Roman" w:hAnsi="Times New Roman" w:eastAsia="楷体_GB2312"/>
                <w:color w:val="000000" w:themeColor="text1"/>
                <w:sz w:val="20"/>
                <w:szCs w:val="20"/>
                <w:highlight w:val="none"/>
                <w14:textFill>
                  <w14:solidFill>
                    <w14:schemeClr w14:val="tx1"/>
                  </w14:solidFill>
                </w14:textFill>
              </w:rPr>
              <w:t>。</w:t>
            </w:r>
          </w:p>
          <w:p w14:paraId="1DC7959F">
            <w:pPr>
              <w:spacing w:line="300" w:lineRule="exact"/>
              <w:ind w:left="-2" w:leftChars="-1" w:right="36" w:rightChars="15" w:firstLine="422"/>
              <w:jc w:val="both"/>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Times New Roman" w:hAnsi="Times New Roman" w:eastAsia="楷体_GB2312"/>
                <w:color w:val="000000" w:themeColor="text1"/>
                <w:sz w:val="20"/>
                <w:szCs w:val="20"/>
                <w:highlight w:val="none"/>
                <w14:textFill>
                  <w14:solidFill>
                    <w14:schemeClr w14:val="tx1"/>
                  </w14:solidFill>
                </w14:textFill>
              </w:rPr>
              <w:t>（</w:t>
            </w:r>
            <w:r>
              <w:rPr>
                <w:rFonts w:ascii="Times New Roman" w:hAnsi="Times New Roman" w:eastAsia="楷体_GB2312"/>
                <w:color w:val="000000" w:themeColor="text1"/>
                <w:sz w:val="20"/>
                <w:szCs w:val="20"/>
                <w:highlight w:val="none"/>
                <w14:textFill>
                  <w14:solidFill>
                    <w14:schemeClr w14:val="tx1"/>
                  </w14:solidFill>
                </w14:textFill>
              </w:rPr>
              <w:t>3</w:t>
            </w:r>
            <w:r>
              <w:rPr>
                <w:rFonts w:hint="eastAsia" w:ascii="Times New Roman" w:hAnsi="Times New Roman" w:eastAsia="楷体_GB2312"/>
                <w:color w:val="000000" w:themeColor="text1"/>
                <w:sz w:val="20"/>
                <w:szCs w:val="20"/>
                <w:highlight w:val="none"/>
                <w14:textFill>
                  <w14:solidFill>
                    <w14:schemeClr w14:val="tx1"/>
                  </w14:solidFill>
                </w14:textFill>
              </w:rPr>
              <w:t>）商品</w:t>
            </w:r>
            <w:r>
              <w:rPr>
                <w:rFonts w:ascii="Times New Roman" w:hAnsi="Times New Roman" w:eastAsia="楷体_GB2312"/>
                <w:color w:val="000000" w:themeColor="text1"/>
                <w:sz w:val="20"/>
                <w:szCs w:val="20"/>
                <w:highlight w:val="none"/>
                <w14:textFill>
                  <w14:solidFill>
                    <w14:schemeClr w14:val="tx1"/>
                  </w14:solidFill>
                </w14:textFill>
              </w:rPr>
              <w:t>及</w:t>
            </w:r>
            <w:r>
              <w:rPr>
                <w:rFonts w:hint="eastAsia" w:ascii="Times New Roman" w:hAnsi="Times New Roman" w:eastAsia="楷体_GB2312"/>
                <w:color w:val="000000" w:themeColor="text1"/>
                <w:sz w:val="20"/>
                <w:szCs w:val="20"/>
                <w:highlight w:val="none"/>
                <w14:textFill>
                  <w14:solidFill>
                    <w14:schemeClr w14:val="tx1"/>
                  </w14:solidFill>
                </w14:textFill>
              </w:rPr>
              <w:t>金融</w:t>
            </w:r>
            <w:r>
              <w:rPr>
                <w:rFonts w:ascii="Times New Roman" w:hAnsi="Times New Roman" w:eastAsia="楷体_GB2312"/>
                <w:color w:val="000000" w:themeColor="text1"/>
                <w:sz w:val="20"/>
                <w:szCs w:val="20"/>
                <w:highlight w:val="none"/>
                <w14:textFill>
                  <w14:solidFill>
                    <w14:schemeClr w14:val="tx1"/>
                  </w14:solidFill>
                </w14:textFill>
              </w:rPr>
              <w:t>衍生品类资产：</w:t>
            </w:r>
            <w:r>
              <w:rPr>
                <w:rFonts w:hint="eastAsia" w:ascii="Times New Roman" w:hAnsi="Times New Roman" w:eastAsia="楷体_GB2312"/>
                <w:color w:val="000000" w:themeColor="text1"/>
                <w:sz w:val="20"/>
                <w:szCs w:val="20"/>
                <w:highlight w:val="none"/>
                <w14:textFill>
                  <w14:solidFill>
                    <w14:schemeClr w14:val="tx1"/>
                  </w14:solidFill>
                </w14:textFill>
              </w:rPr>
              <w:t>商品现货，互换</w:t>
            </w:r>
            <w:r>
              <w:rPr>
                <w:rFonts w:ascii="Times New Roman" w:hAnsi="Times New Roman" w:eastAsia="楷体_GB2312"/>
                <w:color w:val="000000" w:themeColor="text1"/>
                <w:sz w:val="20"/>
                <w:szCs w:val="20"/>
                <w:highlight w:val="none"/>
                <w14:textFill>
                  <w14:solidFill>
                    <w14:schemeClr w14:val="tx1"/>
                  </w14:solidFill>
                </w14:textFill>
              </w:rPr>
              <w:t>、</w:t>
            </w:r>
            <w:r>
              <w:rPr>
                <w:rFonts w:hint="eastAsia" w:ascii="Times New Roman" w:hAnsi="Times New Roman" w:eastAsia="楷体_GB2312"/>
                <w:color w:val="000000" w:themeColor="text1"/>
                <w:sz w:val="20"/>
                <w:szCs w:val="20"/>
                <w:highlight w:val="none"/>
                <w14:textFill>
                  <w14:solidFill>
                    <w14:schemeClr w14:val="tx1"/>
                  </w14:solidFill>
                </w14:textFill>
              </w:rPr>
              <w:t>远期、掉期、期货、期权、信用风险缓释工具等衍生工具及其他资产或者资产组合（管理人将通过其他资产管理产品以及其他符合法律法规的投资渠道和方式实现对商品及金融衍生品类资产的投资）。</w:t>
            </w:r>
          </w:p>
        </w:tc>
      </w:tr>
      <w:tr w14:paraId="2D198765">
        <w:tblPrEx>
          <w:tblCellMar>
            <w:top w:w="0" w:type="dxa"/>
            <w:left w:w="108" w:type="dxa"/>
            <w:bottom w:w="0" w:type="dxa"/>
            <w:right w:w="108" w:type="dxa"/>
          </w:tblCellMar>
        </w:tblPrEx>
        <w:trPr>
          <w:trHeight w:val="780" w:hRule="atLeast"/>
        </w:trPr>
        <w:tc>
          <w:tcPr>
            <w:tcW w:w="2453" w:type="dxa"/>
            <w:tcBorders>
              <w:top w:val="single" w:color="auto" w:sz="4" w:space="0"/>
              <w:left w:val="single" w:color="000000" w:sz="8" w:space="0"/>
              <w:bottom w:val="single" w:color="auto" w:sz="4" w:space="0"/>
              <w:right w:val="single" w:color="auto" w:sz="4" w:space="0"/>
            </w:tcBorders>
            <w:vAlign w:val="center"/>
          </w:tcPr>
          <w:p w14:paraId="7E043792">
            <w:pPr>
              <w:ind w:right="29" w:rightChars="12"/>
              <w:jc w:val="center"/>
              <w:rPr>
                <w:rFonts w:hint="eastAsia" w:ascii="楷体" w:hAnsi="楷体" w:eastAsia="楷体"/>
                <w:color w:val="000000"/>
                <w:sz w:val="20"/>
                <w:szCs w:val="20"/>
                <w:highlight w:val="none"/>
              </w:rPr>
            </w:pPr>
            <w:r>
              <w:rPr>
                <w:rFonts w:hint="eastAsia" w:ascii="楷体" w:hAnsi="楷体" w:eastAsia="楷体"/>
                <w:color w:val="000000"/>
                <w:sz w:val="20"/>
                <w:szCs w:val="20"/>
                <w:highlight w:val="none"/>
              </w:rPr>
              <w:t>投资策略</w:t>
            </w:r>
          </w:p>
        </w:tc>
        <w:tc>
          <w:tcPr>
            <w:tcW w:w="6972" w:type="dxa"/>
            <w:tcBorders>
              <w:top w:val="single" w:color="auto" w:sz="4" w:space="0"/>
              <w:left w:val="single" w:color="auto" w:sz="4" w:space="0"/>
              <w:bottom w:val="single" w:color="auto" w:sz="4" w:space="0"/>
              <w:right w:val="single" w:color="000000" w:sz="8" w:space="0"/>
            </w:tcBorders>
            <w:vAlign w:val="center"/>
          </w:tcPr>
          <w:p w14:paraId="022F1446">
            <w:pPr>
              <w:spacing w:line="300" w:lineRule="exact"/>
              <w:ind w:firstLine="400"/>
              <w:jc w:val="left"/>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_GB2312" w:hAnsi="楷体_GB2312" w:eastAsia="楷体_GB2312"/>
                <w:color w:val="000000" w:themeColor="text1"/>
                <w:sz w:val="20"/>
                <w:szCs w:val="20"/>
                <w:highlight w:val="none"/>
                <w14:textFill>
                  <w14:solidFill>
                    <w14:schemeClr w14:val="tx1"/>
                  </w14:solidFill>
                </w14:textFill>
              </w:rPr>
              <w:t>本产品通过综合分析经济形势、货币政策、利率走势、行业状况、信用风险等因素，立足于经济周期的不同阶段自上而下判断利率趋势及行业趋势，并基于内部信用评级体系自下而上分析企业的市场地位、管理水平、发展趋势和财务状况等，以此作为产品投资的重要依据。产品拟通过投资存款、债券等资产，以票息收入作为实现产品相对稳定收益的基础。</w:t>
            </w:r>
          </w:p>
        </w:tc>
      </w:tr>
      <w:tr w14:paraId="09D31EBD">
        <w:tblPrEx>
          <w:tblCellMar>
            <w:top w:w="0" w:type="dxa"/>
            <w:left w:w="108" w:type="dxa"/>
            <w:bottom w:w="0" w:type="dxa"/>
            <w:right w:w="108" w:type="dxa"/>
          </w:tblCellMar>
        </w:tblPrEx>
        <w:trPr>
          <w:trHeight w:val="555" w:hRule="atLeast"/>
        </w:trPr>
        <w:tc>
          <w:tcPr>
            <w:tcW w:w="2453" w:type="dxa"/>
            <w:tcBorders>
              <w:top w:val="single" w:color="auto" w:sz="4" w:space="0"/>
              <w:left w:val="single" w:color="000000" w:sz="8" w:space="0"/>
              <w:bottom w:val="single" w:color="auto" w:sz="4" w:space="0"/>
              <w:right w:val="single" w:color="auto" w:sz="4" w:space="0"/>
            </w:tcBorders>
            <w:vAlign w:val="center"/>
          </w:tcPr>
          <w:p w14:paraId="68243100">
            <w:pPr>
              <w:ind w:right="29" w:rightChars="12"/>
              <w:jc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楷体" w:hAnsi="楷体" w:eastAsia="楷体"/>
                <w:b/>
                <w:bCs/>
                <w:color w:val="000000"/>
                <w:sz w:val="20"/>
                <w:szCs w:val="20"/>
                <w:highlight w:val="none"/>
              </w:rPr>
              <w:t>资产种类</w:t>
            </w:r>
          </w:p>
        </w:tc>
        <w:tc>
          <w:tcPr>
            <w:tcW w:w="6972" w:type="dxa"/>
            <w:tcBorders>
              <w:top w:val="single" w:color="auto" w:sz="4" w:space="0"/>
              <w:left w:val="single" w:color="auto" w:sz="4" w:space="0"/>
              <w:bottom w:val="single" w:color="auto" w:sz="4" w:space="0"/>
              <w:right w:val="single" w:color="000000" w:sz="8" w:space="0"/>
            </w:tcBorders>
            <w:vAlign w:val="center"/>
          </w:tcPr>
          <w:p w14:paraId="1BCEC429">
            <w:pPr>
              <w:ind w:right="29" w:rightChars="12"/>
              <w:jc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 w:hAnsi="楷体" w:eastAsia="楷体"/>
                <w:b/>
                <w:bCs/>
                <w:color w:val="000000"/>
                <w:sz w:val="20"/>
                <w:szCs w:val="20"/>
                <w:highlight w:val="none"/>
              </w:rPr>
              <w:t>投资比例</w:t>
            </w:r>
          </w:p>
        </w:tc>
      </w:tr>
      <w:tr w14:paraId="1DCEEF8D">
        <w:tblPrEx>
          <w:tblCellMar>
            <w:top w:w="0" w:type="dxa"/>
            <w:left w:w="108" w:type="dxa"/>
            <w:bottom w:w="0" w:type="dxa"/>
            <w:right w:w="108" w:type="dxa"/>
          </w:tblCellMar>
        </w:tblPrEx>
        <w:trPr>
          <w:trHeight w:val="555" w:hRule="atLeast"/>
        </w:trPr>
        <w:tc>
          <w:tcPr>
            <w:tcW w:w="2453" w:type="dxa"/>
            <w:tcBorders>
              <w:top w:val="single" w:color="auto" w:sz="4" w:space="0"/>
              <w:left w:val="single" w:color="000000" w:sz="8" w:space="0"/>
              <w:bottom w:val="single" w:color="auto" w:sz="4" w:space="0"/>
              <w:right w:val="single" w:color="auto" w:sz="4" w:space="0"/>
            </w:tcBorders>
            <w:vAlign w:val="center"/>
          </w:tcPr>
          <w:p w14:paraId="633251B3">
            <w:pPr>
              <w:ind w:right="29" w:rightChars="12"/>
              <w:jc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楷体" w:hAnsi="楷体" w:eastAsia="楷体"/>
                <w:color w:val="000000"/>
                <w:sz w:val="20"/>
                <w:szCs w:val="20"/>
                <w:highlight w:val="none"/>
              </w:rPr>
              <w:t>债权类资产</w:t>
            </w:r>
          </w:p>
        </w:tc>
        <w:tc>
          <w:tcPr>
            <w:tcW w:w="6972" w:type="dxa"/>
            <w:tcBorders>
              <w:top w:val="single" w:color="auto" w:sz="4" w:space="0"/>
              <w:left w:val="single" w:color="auto" w:sz="4" w:space="0"/>
              <w:bottom w:val="single" w:color="auto" w:sz="4" w:space="0"/>
              <w:right w:val="single" w:color="000000" w:sz="8" w:space="0"/>
            </w:tcBorders>
            <w:vAlign w:val="center"/>
          </w:tcPr>
          <w:p w14:paraId="1AF345AB">
            <w:pPr>
              <w:ind w:right="29" w:rightChars="12"/>
              <w:jc w:val="center"/>
              <w:rPr>
                <w:rFonts w:hint="eastAsia" w:ascii="楷体" w:hAnsi="楷体" w:eastAsia="楷体"/>
                <w:sz w:val="20"/>
                <w:szCs w:val="20"/>
                <w:highlight w:val="none"/>
              </w:rPr>
            </w:pPr>
            <w:r>
              <w:rPr>
                <w:rFonts w:hint="eastAsia" w:ascii="楷体" w:hAnsi="楷体" w:eastAsia="楷体"/>
                <w:sz w:val="20"/>
                <w:szCs w:val="20"/>
                <w:highlight w:val="none"/>
              </w:rPr>
              <w:t>【100%】</w:t>
            </w:r>
          </w:p>
        </w:tc>
      </w:tr>
      <w:tr w14:paraId="5EB1EB10">
        <w:tblPrEx>
          <w:tblCellMar>
            <w:top w:w="0" w:type="dxa"/>
            <w:left w:w="108" w:type="dxa"/>
            <w:bottom w:w="0" w:type="dxa"/>
            <w:right w:w="108" w:type="dxa"/>
          </w:tblCellMar>
        </w:tblPrEx>
        <w:trPr>
          <w:trHeight w:val="555" w:hRule="atLeast"/>
        </w:trPr>
        <w:tc>
          <w:tcPr>
            <w:tcW w:w="2453" w:type="dxa"/>
            <w:tcBorders>
              <w:top w:val="single" w:color="auto" w:sz="4" w:space="0"/>
              <w:left w:val="single" w:color="000000" w:sz="8" w:space="0"/>
              <w:bottom w:val="single" w:color="auto" w:sz="4" w:space="0"/>
              <w:right w:val="single" w:color="auto" w:sz="4" w:space="0"/>
            </w:tcBorders>
            <w:vAlign w:val="center"/>
          </w:tcPr>
          <w:p w14:paraId="631B4608">
            <w:pPr>
              <w:ind w:right="29" w:rightChars="12"/>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楷体" w:hAnsi="楷体" w:eastAsia="楷体"/>
                <w:color w:val="000000"/>
                <w:sz w:val="20"/>
                <w:szCs w:val="20"/>
                <w:highlight w:val="none"/>
              </w:rPr>
              <w:t>其中</w:t>
            </w:r>
            <w:r>
              <w:rPr>
                <w:rFonts w:ascii="楷体" w:hAnsi="楷体" w:eastAsia="楷体"/>
                <w:color w:val="000000"/>
                <w:sz w:val="20"/>
                <w:szCs w:val="20"/>
                <w:highlight w:val="none"/>
              </w:rPr>
              <w:t>，非标准化债权类资产</w:t>
            </w:r>
          </w:p>
        </w:tc>
        <w:tc>
          <w:tcPr>
            <w:tcW w:w="6972" w:type="dxa"/>
            <w:tcBorders>
              <w:top w:val="single" w:color="auto" w:sz="4" w:space="0"/>
              <w:left w:val="single" w:color="auto" w:sz="4" w:space="0"/>
              <w:bottom w:val="single" w:color="auto" w:sz="4" w:space="0"/>
              <w:right w:val="single" w:color="000000" w:sz="8" w:space="0"/>
            </w:tcBorders>
            <w:vAlign w:val="center"/>
          </w:tcPr>
          <w:p w14:paraId="6CDB8421">
            <w:pPr>
              <w:ind w:right="29" w:rightChars="12"/>
              <w:jc w:val="center"/>
              <w:rPr>
                <w:rFonts w:hint="eastAsia" w:ascii="楷体" w:hAnsi="楷体" w:eastAsia="楷体"/>
                <w:sz w:val="20"/>
                <w:szCs w:val="20"/>
                <w:highlight w:val="none"/>
              </w:rPr>
            </w:pPr>
            <w:r>
              <w:rPr>
                <w:rFonts w:hint="eastAsia" w:ascii="楷体" w:hAnsi="楷体" w:eastAsia="楷体"/>
                <w:sz w:val="20"/>
                <w:szCs w:val="20"/>
                <w:highlight w:val="none"/>
              </w:rPr>
              <w:t>【0%】</w:t>
            </w:r>
          </w:p>
        </w:tc>
      </w:tr>
      <w:tr w14:paraId="08EF4835">
        <w:tblPrEx>
          <w:tblCellMar>
            <w:top w:w="0" w:type="dxa"/>
            <w:left w:w="108" w:type="dxa"/>
            <w:bottom w:w="0" w:type="dxa"/>
            <w:right w:w="108" w:type="dxa"/>
          </w:tblCellMar>
        </w:tblPrEx>
        <w:trPr>
          <w:trHeight w:val="555" w:hRule="atLeast"/>
        </w:trPr>
        <w:tc>
          <w:tcPr>
            <w:tcW w:w="2453" w:type="dxa"/>
            <w:tcBorders>
              <w:top w:val="single" w:color="auto" w:sz="4" w:space="0"/>
              <w:left w:val="single" w:color="000000" w:sz="8" w:space="0"/>
              <w:bottom w:val="single" w:color="auto" w:sz="4" w:space="0"/>
              <w:right w:val="single" w:color="auto" w:sz="4" w:space="0"/>
            </w:tcBorders>
            <w:vAlign w:val="center"/>
          </w:tcPr>
          <w:p w14:paraId="18297846">
            <w:pPr>
              <w:ind w:right="29" w:rightChars="12"/>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楷体" w:hAnsi="楷体" w:eastAsia="楷体"/>
                <w:color w:val="000000"/>
                <w:sz w:val="20"/>
                <w:szCs w:val="20"/>
                <w:highlight w:val="none"/>
              </w:rPr>
              <w:t>权益类资产</w:t>
            </w:r>
          </w:p>
        </w:tc>
        <w:tc>
          <w:tcPr>
            <w:tcW w:w="6972" w:type="dxa"/>
            <w:tcBorders>
              <w:top w:val="single" w:color="auto" w:sz="4" w:space="0"/>
              <w:left w:val="single" w:color="auto" w:sz="4" w:space="0"/>
              <w:bottom w:val="single" w:color="auto" w:sz="4" w:space="0"/>
              <w:right w:val="single" w:color="000000" w:sz="8" w:space="0"/>
            </w:tcBorders>
            <w:vAlign w:val="center"/>
          </w:tcPr>
          <w:p w14:paraId="7B8F4CA9">
            <w:pPr>
              <w:ind w:right="29" w:rightChars="12"/>
              <w:jc w:val="center"/>
              <w:rPr>
                <w:rFonts w:hint="eastAsia" w:ascii="楷体" w:hAnsi="楷体" w:eastAsia="楷体"/>
                <w:sz w:val="20"/>
                <w:szCs w:val="20"/>
                <w:highlight w:val="none"/>
              </w:rPr>
            </w:pPr>
            <w:r>
              <w:rPr>
                <w:rFonts w:hint="eastAsia" w:ascii="楷体" w:hAnsi="楷体" w:eastAsia="楷体"/>
                <w:sz w:val="20"/>
                <w:szCs w:val="20"/>
                <w:highlight w:val="none"/>
              </w:rPr>
              <w:t>【0%】</w:t>
            </w:r>
          </w:p>
        </w:tc>
      </w:tr>
      <w:tr w14:paraId="3EE174A0">
        <w:tblPrEx>
          <w:tblCellMar>
            <w:top w:w="0" w:type="dxa"/>
            <w:left w:w="108" w:type="dxa"/>
            <w:bottom w:w="0" w:type="dxa"/>
            <w:right w:w="108" w:type="dxa"/>
          </w:tblCellMar>
        </w:tblPrEx>
        <w:trPr>
          <w:trHeight w:val="555" w:hRule="atLeast"/>
        </w:trPr>
        <w:tc>
          <w:tcPr>
            <w:tcW w:w="2453" w:type="dxa"/>
            <w:tcBorders>
              <w:top w:val="single" w:color="auto" w:sz="4" w:space="0"/>
              <w:left w:val="single" w:color="000000" w:sz="8" w:space="0"/>
              <w:bottom w:val="single" w:color="auto" w:sz="4" w:space="0"/>
              <w:right w:val="single" w:color="auto" w:sz="4" w:space="0"/>
            </w:tcBorders>
            <w:vAlign w:val="center"/>
          </w:tcPr>
          <w:p w14:paraId="4654400D">
            <w:pPr>
              <w:ind w:right="29" w:rightChars="12"/>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楷体" w:hAnsi="楷体" w:eastAsia="楷体"/>
                <w:color w:val="000000"/>
                <w:sz w:val="20"/>
                <w:szCs w:val="20"/>
                <w:highlight w:val="none"/>
              </w:rPr>
              <w:t>商品</w:t>
            </w:r>
            <w:r>
              <w:rPr>
                <w:rFonts w:ascii="楷体" w:hAnsi="楷体" w:eastAsia="楷体"/>
                <w:color w:val="000000"/>
                <w:sz w:val="20"/>
                <w:szCs w:val="20"/>
                <w:highlight w:val="none"/>
              </w:rPr>
              <w:t>及</w:t>
            </w:r>
            <w:r>
              <w:rPr>
                <w:rFonts w:hint="eastAsia" w:ascii="楷体" w:hAnsi="楷体" w:eastAsia="楷体"/>
                <w:color w:val="000000"/>
                <w:sz w:val="20"/>
                <w:szCs w:val="20"/>
                <w:highlight w:val="none"/>
              </w:rPr>
              <w:t>金融</w:t>
            </w:r>
            <w:r>
              <w:rPr>
                <w:rFonts w:ascii="楷体" w:hAnsi="楷体" w:eastAsia="楷体"/>
                <w:color w:val="000000"/>
                <w:sz w:val="20"/>
                <w:szCs w:val="20"/>
                <w:highlight w:val="none"/>
              </w:rPr>
              <w:t>衍生品类</w:t>
            </w:r>
            <w:r>
              <w:rPr>
                <w:rFonts w:hint="eastAsia" w:ascii="楷体" w:hAnsi="楷体" w:eastAsia="楷体"/>
                <w:color w:val="000000"/>
                <w:sz w:val="20"/>
                <w:szCs w:val="20"/>
                <w:highlight w:val="none"/>
              </w:rPr>
              <w:t>资产：持仓合约价值</w:t>
            </w:r>
          </w:p>
        </w:tc>
        <w:tc>
          <w:tcPr>
            <w:tcW w:w="6972" w:type="dxa"/>
            <w:tcBorders>
              <w:top w:val="single" w:color="auto" w:sz="4" w:space="0"/>
              <w:left w:val="single" w:color="auto" w:sz="4" w:space="0"/>
              <w:bottom w:val="single" w:color="auto" w:sz="4" w:space="0"/>
              <w:right w:val="single" w:color="000000" w:sz="8" w:space="0"/>
            </w:tcBorders>
            <w:vAlign w:val="center"/>
          </w:tcPr>
          <w:p w14:paraId="5E8BB3FE">
            <w:pPr>
              <w:ind w:right="29" w:rightChars="12"/>
              <w:jc w:val="center"/>
              <w:rPr>
                <w:rFonts w:hint="eastAsia" w:ascii="楷体" w:hAnsi="楷体" w:eastAsia="楷体"/>
                <w:sz w:val="20"/>
                <w:szCs w:val="20"/>
                <w:highlight w:val="none"/>
              </w:rPr>
            </w:pPr>
            <w:r>
              <w:rPr>
                <w:rFonts w:hint="eastAsia" w:ascii="楷体" w:hAnsi="楷体" w:eastAsia="楷体"/>
                <w:sz w:val="20"/>
                <w:szCs w:val="20"/>
                <w:highlight w:val="none"/>
              </w:rPr>
              <w:t>【0%】</w:t>
            </w:r>
          </w:p>
        </w:tc>
      </w:tr>
      <w:tr w14:paraId="47B4F4AD">
        <w:tblPrEx>
          <w:tblCellMar>
            <w:top w:w="0" w:type="dxa"/>
            <w:left w:w="108" w:type="dxa"/>
            <w:bottom w:w="0" w:type="dxa"/>
            <w:right w:w="108" w:type="dxa"/>
          </w:tblCellMar>
        </w:tblPrEx>
        <w:trPr>
          <w:trHeight w:val="555" w:hRule="atLeast"/>
        </w:trPr>
        <w:tc>
          <w:tcPr>
            <w:tcW w:w="2453" w:type="dxa"/>
            <w:tcBorders>
              <w:top w:val="single" w:color="auto" w:sz="4" w:space="0"/>
              <w:left w:val="single" w:color="000000" w:sz="8" w:space="0"/>
              <w:bottom w:val="nil"/>
              <w:right w:val="single" w:color="auto" w:sz="4" w:space="0"/>
            </w:tcBorders>
            <w:vAlign w:val="center"/>
          </w:tcPr>
          <w:p w14:paraId="143582F1">
            <w:pPr>
              <w:ind w:right="29" w:rightChars="12"/>
              <w:jc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楷体" w:hAnsi="楷体" w:eastAsia="楷体"/>
                <w:color w:val="000000"/>
                <w:sz w:val="20"/>
                <w:szCs w:val="20"/>
                <w:highlight w:val="none"/>
              </w:rPr>
              <w:t>商品</w:t>
            </w:r>
            <w:r>
              <w:rPr>
                <w:rFonts w:ascii="楷体" w:hAnsi="楷体" w:eastAsia="楷体"/>
                <w:color w:val="000000"/>
                <w:sz w:val="20"/>
                <w:szCs w:val="20"/>
                <w:highlight w:val="none"/>
              </w:rPr>
              <w:t>及</w:t>
            </w:r>
            <w:r>
              <w:rPr>
                <w:rFonts w:hint="eastAsia" w:ascii="楷体" w:hAnsi="楷体" w:eastAsia="楷体"/>
                <w:color w:val="000000"/>
                <w:sz w:val="20"/>
                <w:szCs w:val="20"/>
                <w:highlight w:val="none"/>
              </w:rPr>
              <w:t>金融</w:t>
            </w:r>
            <w:r>
              <w:rPr>
                <w:rFonts w:ascii="楷体" w:hAnsi="楷体" w:eastAsia="楷体"/>
                <w:color w:val="000000"/>
                <w:sz w:val="20"/>
                <w:szCs w:val="20"/>
                <w:highlight w:val="none"/>
              </w:rPr>
              <w:t>衍生品类</w:t>
            </w:r>
            <w:r>
              <w:rPr>
                <w:rFonts w:hint="eastAsia" w:ascii="楷体" w:hAnsi="楷体" w:eastAsia="楷体"/>
                <w:color w:val="000000"/>
                <w:sz w:val="20"/>
                <w:szCs w:val="20"/>
                <w:highlight w:val="none"/>
              </w:rPr>
              <w:t>资产：衍生品账户权益</w:t>
            </w:r>
          </w:p>
        </w:tc>
        <w:tc>
          <w:tcPr>
            <w:tcW w:w="6972" w:type="dxa"/>
            <w:tcBorders>
              <w:top w:val="single" w:color="auto" w:sz="4" w:space="0"/>
              <w:left w:val="single" w:color="auto" w:sz="4" w:space="0"/>
              <w:bottom w:val="nil"/>
              <w:right w:val="single" w:color="000000" w:sz="8" w:space="0"/>
            </w:tcBorders>
            <w:vAlign w:val="center"/>
          </w:tcPr>
          <w:p w14:paraId="4B376A59">
            <w:pPr>
              <w:ind w:right="29" w:rightChars="12"/>
              <w:jc w:val="center"/>
              <w:rPr>
                <w:rFonts w:hint="eastAsia" w:ascii="楷体" w:hAnsi="楷体" w:eastAsia="楷体"/>
                <w:sz w:val="20"/>
                <w:szCs w:val="20"/>
                <w:highlight w:val="none"/>
              </w:rPr>
            </w:pPr>
            <w:r>
              <w:rPr>
                <w:rFonts w:hint="eastAsia" w:ascii="楷体" w:hAnsi="楷体" w:eastAsia="楷体"/>
                <w:sz w:val="20"/>
                <w:szCs w:val="20"/>
                <w:highlight w:val="none"/>
              </w:rPr>
              <w:t>【0%】</w:t>
            </w:r>
          </w:p>
        </w:tc>
      </w:tr>
      <w:tr w14:paraId="5398AAB7">
        <w:tblPrEx>
          <w:tblCellMar>
            <w:top w:w="0" w:type="dxa"/>
            <w:left w:w="108" w:type="dxa"/>
            <w:bottom w:w="0" w:type="dxa"/>
            <w:right w:w="108" w:type="dxa"/>
          </w:tblCellMar>
        </w:tblPrEx>
        <w:trPr>
          <w:trHeight w:val="270" w:hRule="atLeast"/>
        </w:trPr>
        <w:tc>
          <w:tcPr>
            <w:tcW w:w="9425" w:type="dxa"/>
            <w:gridSpan w:val="2"/>
            <w:tcBorders>
              <w:top w:val="single" w:color="000000" w:sz="4" w:space="0"/>
              <w:left w:val="single" w:color="000000" w:sz="8" w:space="0"/>
              <w:bottom w:val="single" w:color="000000" w:sz="4" w:space="0"/>
              <w:right w:val="single" w:color="000000" w:sz="4" w:space="0"/>
            </w:tcBorders>
            <w:vAlign w:val="center"/>
          </w:tcPr>
          <w:p w14:paraId="10488FA2">
            <w:pPr>
              <w:widowControl/>
              <w:spacing w:line="560" w:lineRule="exact"/>
              <w:jc w:val="center"/>
              <w:textAlignment w:val="center"/>
              <w:rPr>
                <w:rFonts w:hint="eastAsia" w:ascii="楷体_GB2312" w:hAnsi="等线" w:eastAsia="楷体_GB2312" w:cs="楷体_GB2312"/>
                <w:bCs/>
                <w:color w:val="000000" w:themeColor="text1"/>
                <w:sz w:val="24"/>
                <w:highlight w:val="none"/>
                <w14:textFill>
                  <w14:solidFill>
                    <w14:schemeClr w14:val="tx1"/>
                  </w14:solidFill>
                </w14:textFill>
              </w:rPr>
            </w:pPr>
            <w:r>
              <w:rPr>
                <w:rFonts w:hint="eastAsia" w:ascii="楷体_GB2312" w:hAnsi="等线" w:eastAsia="楷体_GB2312" w:cs="楷体_GB2312"/>
                <w:b/>
                <w:color w:val="000000" w:themeColor="text1"/>
                <w:kern w:val="0"/>
                <w:sz w:val="24"/>
                <w:highlight w:val="none"/>
                <w:lang w:bidi="ar"/>
                <w14:textFill>
                  <w14:solidFill>
                    <w14:schemeClr w14:val="tx1"/>
                  </w14:solidFill>
                </w14:textFill>
              </w:rPr>
              <w:t>（八）其他约定</w:t>
            </w:r>
          </w:p>
        </w:tc>
      </w:tr>
      <w:tr w14:paraId="74900094">
        <w:tblPrEx>
          <w:tblCellMar>
            <w:top w:w="0" w:type="dxa"/>
            <w:left w:w="108" w:type="dxa"/>
            <w:bottom w:w="0" w:type="dxa"/>
            <w:right w:w="108" w:type="dxa"/>
          </w:tblCellMar>
        </w:tblPrEx>
        <w:trPr>
          <w:trHeight w:val="398" w:hRule="atLeast"/>
        </w:trPr>
        <w:tc>
          <w:tcPr>
            <w:tcW w:w="2453" w:type="dxa"/>
            <w:tcBorders>
              <w:top w:val="single" w:color="000000" w:sz="4" w:space="0"/>
              <w:left w:val="single" w:color="000000" w:sz="8" w:space="0"/>
              <w:bottom w:val="single" w:color="000000" w:sz="8" w:space="0"/>
              <w:right w:val="single" w:color="auto" w:sz="4" w:space="0"/>
            </w:tcBorders>
            <w:vAlign w:val="center"/>
          </w:tcPr>
          <w:p w14:paraId="41212305">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楷体" w:hAnsi="楷体" w:eastAsia="楷体"/>
                <w:color w:val="000000"/>
                <w:sz w:val="20"/>
                <w:szCs w:val="20"/>
                <w:highlight w:val="none"/>
              </w:rPr>
              <w:t>其他约定</w:t>
            </w:r>
          </w:p>
        </w:tc>
        <w:tc>
          <w:tcPr>
            <w:tcW w:w="6972" w:type="dxa"/>
            <w:tcBorders>
              <w:top w:val="single" w:color="000000" w:sz="4" w:space="0"/>
              <w:left w:val="single" w:color="auto" w:sz="4" w:space="0"/>
              <w:bottom w:val="single" w:color="000000" w:sz="8" w:space="0"/>
              <w:right w:val="single" w:color="000000" w:sz="8" w:space="0"/>
            </w:tcBorders>
            <w:shd w:val="clear" w:color="auto" w:fill="auto"/>
            <w:vAlign w:val="center"/>
          </w:tcPr>
          <w:p w14:paraId="32C4292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lang w:val="en-US" w:eastAsia="zh-CN" w:bidi="ar-SA"/>
              </w:rPr>
            </w:pPr>
            <w:r>
              <w:rPr>
                <w:rFonts w:hint="eastAsia" w:ascii="Times New Roman" w:eastAsia="楷体_GB2312" w:cs="楷体_GB2312"/>
                <w:i w:val="0"/>
                <w:iCs w:val="0"/>
                <w:color w:val="000000" w:themeColor="text1"/>
                <w:kern w:val="0"/>
                <w:sz w:val="20"/>
                <w:szCs w:val="20"/>
                <w:highlight w:val="none"/>
                <w:u w:val="none"/>
                <w:lang w:val="en-US" w:eastAsia="zh-CN" w:bidi="ar"/>
                <w14:textFill>
                  <w14:solidFill>
                    <w14:schemeClr w14:val="tx1"/>
                  </w14:solidFill>
                </w14:textFill>
              </w:rPr>
              <w:t>详见产品说明书。</w:t>
            </w:r>
          </w:p>
        </w:tc>
      </w:tr>
    </w:tbl>
    <w:p w14:paraId="36E4FD78">
      <w:pPr>
        <w:spacing w:line="300" w:lineRule="exact"/>
        <w:ind w:right="-792" w:rightChars="-330"/>
        <w:rPr>
          <w:color w:val="000000" w:themeColor="text1"/>
          <w:highlight w:val="none"/>
          <w14:textFill>
            <w14:solidFill>
              <w14:schemeClr w14:val="tx1"/>
            </w14:solidFill>
          </w14:textFill>
        </w:rPr>
      </w:pPr>
      <w:r>
        <w:rPr>
          <w:rFonts w:ascii="黑体" w:hAnsi="Times New Roman" w:eastAsia="黑体"/>
          <w:b/>
          <w:bCs/>
          <w:color w:val="000000" w:themeColor="text1"/>
          <w:sz w:val="20"/>
          <w:szCs w:val="20"/>
          <w:highlight w:val="none"/>
          <w14:textFill>
            <w14:solidFill>
              <w14:schemeClr w14:val="tx1"/>
            </w14:solidFill>
          </w14:textFill>
        </w:rPr>
        <w:t> </w:t>
      </w:r>
    </w:p>
    <w:p w14:paraId="7B17D4C7">
      <w:pPr>
        <w:spacing w:line="300" w:lineRule="exact"/>
        <w:ind w:right="-792" w:rightChars="-330"/>
        <w:rPr>
          <w:color w:val="000000" w:themeColor="text1"/>
          <w:highlight w:val="none"/>
          <w14:textFill>
            <w14:solidFill>
              <w14:schemeClr w14:val="tx1"/>
            </w14:solidFill>
          </w14:textFill>
        </w:rPr>
      </w:pPr>
      <w:r>
        <w:rPr>
          <w:rFonts w:hint="eastAsia" w:ascii="黑体" w:hAnsi="Times New Roman" w:eastAsia="黑体" w:cs="黑体"/>
          <w:b/>
          <w:bCs/>
          <w:color w:val="000000" w:themeColor="text1"/>
          <w:sz w:val="20"/>
          <w:szCs w:val="20"/>
          <w:highlight w:val="none"/>
          <w14:textFill>
            <w14:solidFill>
              <w14:schemeClr w14:val="tx1"/>
            </w14:solidFill>
          </w14:textFill>
        </w:rPr>
        <w:t>重要须知</w:t>
      </w:r>
      <w:r>
        <w:rPr>
          <w:rFonts w:hint="eastAsia" w:ascii="黑体" w:hAnsi="Times New Roman" w:eastAsia="黑体" w:cs="黑体"/>
          <w:color w:val="000000" w:themeColor="text1"/>
          <w:sz w:val="20"/>
          <w:szCs w:val="20"/>
          <w:highlight w:val="none"/>
          <w14:textFill>
            <w14:solidFill>
              <w14:schemeClr w14:val="tx1"/>
            </w14:solidFill>
          </w14:textFill>
        </w:rPr>
        <w:t>：</w:t>
      </w:r>
    </w:p>
    <w:p w14:paraId="279F8A21">
      <w:pPr>
        <w:snapToGrid w:val="0"/>
        <w:ind w:firstLine="402" w:firstLineChars="200"/>
        <w:jc w:val="both"/>
        <w:rPr>
          <w:rFonts w:ascii="黑体" w:hAnsi="Times New Roman" w:eastAsia="黑体" w:cs="黑体"/>
          <w:b/>
          <w:color w:val="000000" w:themeColor="text1"/>
          <w:sz w:val="20"/>
          <w:szCs w:val="20"/>
          <w:highlight w:val="none"/>
          <w14:textFill>
            <w14:solidFill>
              <w14:schemeClr w14:val="tx1"/>
            </w14:solidFill>
          </w14:textFill>
        </w:rPr>
      </w:pPr>
      <w:r>
        <w:rPr>
          <w:rFonts w:ascii="黑体" w:hAnsi="Times New Roman" w:eastAsia="黑体" w:cs="黑体"/>
          <w:b/>
          <w:color w:val="000000" w:themeColor="text1"/>
          <w:sz w:val="20"/>
          <w:szCs w:val="20"/>
          <w:highlight w:val="none"/>
          <w14:textFill>
            <w14:solidFill>
              <w14:schemeClr w14:val="tx1"/>
            </w14:solidFill>
          </w14:textFill>
        </w:rPr>
        <w:t>1</w:t>
      </w:r>
      <w:r>
        <w:rPr>
          <w:rFonts w:hint="eastAsia" w:ascii="黑体" w:hAnsi="Times New Roman" w:eastAsia="黑体" w:cs="黑体"/>
          <w:b/>
          <w:color w:val="000000" w:themeColor="text1"/>
          <w:sz w:val="20"/>
          <w:szCs w:val="20"/>
          <w:highlight w:val="none"/>
          <w14:textFill>
            <w14:solidFill>
              <w14:schemeClr w14:val="tx1"/>
            </w14:solidFill>
          </w14:textFill>
        </w:rPr>
        <w:t>．本产品为日开产品。</w:t>
      </w:r>
    </w:p>
    <w:p w14:paraId="411E2457">
      <w:pPr>
        <w:snapToGrid w:val="0"/>
        <w:ind w:firstLine="400" w:firstLineChars="200"/>
        <w:jc w:val="both"/>
        <w:rPr>
          <w:color w:val="000000" w:themeColor="text1"/>
          <w:highlight w:val="none"/>
          <w14:textFill>
            <w14:solidFill>
              <w14:schemeClr w14:val="tx1"/>
            </w14:solidFill>
          </w14:textFill>
        </w:rPr>
      </w:pPr>
      <w:r>
        <w:rPr>
          <w:rFonts w:ascii="黑体" w:hAnsi="Times New Roman" w:eastAsia="黑体" w:cs="黑体"/>
          <w:color w:val="000000" w:themeColor="text1"/>
          <w:sz w:val="20"/>
          <w:szCs w:val="20"/>
          <w:highlight w:val="none"/>
          <w14:textFill>
            <w14:solidFill>
              <w14:schemeClr w14:val="tx1"/>
            </w14:solidFill>
          </w14:textFill>
        </w:rPr>
        <w:t>2</w:t>
      </w:r>
      <w:r>
        <w:rPr>
          <w:rFonts w:hint="eastAsia" w:ascii="黑体" w:hAnsi="Times New Roman" w:eastAsia="黑体" w:cs="黑体"/>
          <w:color w:val="000000" w:themeColor="text1"/>
          <w:sz w:val="20"/>
          <w:szCs w:val="20"/>
          <w:highlight w:val="none"/>
          <w14:textFill>
            <w14:solidFill>
              <w14:schemeClr w14:val="tx1"/>
            </w14:solidFill>
          </w14:textFill>
        </w:rPr>
        <w:t>．本理财产品的《信银理财理财产品说明书》、《信银理财理财产品风险揭示书》、《信银理财理财产品投资协议书》与《信银理财理财产品销售总协议》（含附件：客户权益须知专页）（或合作销售机构向投资者提供的理财产品销售协议文本）等文件及其不时有效修订与补充共同构成理财产品销售文件。</w:t>
      </w:r>
    </w:p>
    <w:p w14:paraId="66F324F1">
      <w:pPr>
        <w:snapToGrid w:val="0"/>
        <w:ind w:firstLine="400" w:firstLineChars="200"/>
        <w:jc w:val="both"/>
        <w:rPr>
          <w:color w:val="000000" w:themeColor="text1"/>
          <w:highlight w:val="none"/>
          <w14:textFill>
            <w14:solidFill>
              <w14:schemeClr w14:val="tx1"/>
            </w14:solidFill>
          </w14:textFill>
        </w:rPr>
      </w:pPr>
      <w:r>
        <w:rPr>
          <w:rFonts w:ascii="黑体" w:hAnsi="Times New Roman" w:eastAsia="黑体" w:cs="黑体"/>
          <w:color w:val="000000" w:themeColor="text1"/>
          <w:sz w:val="20"/>
          <w:szCs w:val="20"/>
          <w:highlight w:val="none"/>
          <w14:textFill>
            <w14:solidFill>
              <w14:schemeClr w14:val="tx1"/>
            </w14:solidFill>
          </w14:textFill>
        </w:rPr>
        <w:t>3</w:t>
      </w:r>
      <w:r>
        <w:rPr>
          <w:rFonts w:hint="eastAsia" w:ascii="黑体" w:hAnsi="Times New Roman" w:eastAsia="黑体" w:cs="黑体"/>
          <w:color w:val="000000" w:themeColor="text1"/>
          <w:sz w:val="20"/>
          <w:szCs w:val="20"/>
          <w:highlight w:val="none"/>
          <w14:textFill>
            <w14:solidFill>
              <w14:schemeClr w14:val="tx1"/>
            </w14:solidFill>
          </w14:textFill>
        </w:rPr>
        <w:t>．本理财产品不等同于银行存款。</w:t>
      </w:r>
    </w:p>
    <w:p w14:paraId="32F7DF21">
      <w:pPr>
        <w:snapToGrid w:val="0"/>
        <w:ind w:firstLine="400" w:firstLineChars="200"/>
        <w:jc w:val="both"/>
        <w:rPr>
          <w:color w:val="000000" w:themeColor="text1"/>
          <w:highlight w:val="none"/>
          <w14:textFill>
            <w14:solidFill>
              <w14:schemeClr w14:val="tx1"/>
            </w14:solidFill>
          </w14:textFill>
        </w:rPr>
      </w:pPr>
      <w:r>
        <w:rPr>
          <w:rFonts w:ascii="黑体" w:hAnsi="Times New Roman" w:eastAsia="黑体" w:cs="黑体"/>
          <w:color w:val="000000" w:themeColor="text1"/>
          <w:sz w:val="20"/>
          <w:szCs w:val="20"/>
          <w:highlight w:val="none"/>
          <w14:textFill>
            <w14:solidFill>
              <w14:schemeClr w14:val="tx1"/>
            </w14:solidFill>
          </w14:textFill>
        </w:rPr>
        <w:t>4</w:t>
      </w:r>
      <w:r>
        <w:rPr>
          <w:rFonts w:hint="eastAsia" w:ascii="黑体" w:hAnsi="Times New Roman" w:eastAsia="黑体" w:cs="黑体"/>
          <w:color w:val="000000" w:themeColor="text1"/>
          <w:sz w:val="20"/>
          <w:szCs w:val="20"/>
          <w:highlight w:val="none"/>
          <w14:textFill>
            <w14:solidFill>
              <w14:schemeClr w14:val="tx1"/>
            </w14:solidFill>
          </w14:textFill>
        </w:rPr>
        <w:t>．在购买本理财产品前，请投资者确保完全明白本理财产品的性质、其中涉及的风险以及投资者的自身情况。投资者若对本产品说明书的内容有任何疑问，请向信银理财或</w:t>
      </w:r>
      <w:r>
        <w:rPr>
          <w:rFonts w:ascii="黑体" w:hAnsi="Times New Roman" w:eastAsia="黑体" w:cs="黑体"/>
          <w:color w:val="000000" w:themeColor="text1"/>
          <w:sz w:val="20"/>
          <w:szCs w:val="20"/>
          <w:highlight w:val="none"/>
          <w14:textFill>
            <w14:solidFill>
              <w14:schemeClr w14:val="tx1"/>
            </w14:solidFill>
          </w14:textFill>
        </w:rPr>
        <w:t>代销机构</w:t>
      </w:r>
      <w:r>
        <w:rPr>
          <w:rFonts w:hint="eastAsia" w:ascii="黑体" w:hAnsi="Times New Roman" w:eastAsia="黑体" w:cs="黑体"/>
          <w:color w:val="000000" w:themeColor="text1"/>
          <w:sz w:val="20"/>
          <w:szCs w:val="20"/>
          <w:highlight w:val="none"/>
          <w14:textFill>
            <w14:solidFill>
              <w14:schemeClr w14:val="tx1"/>
            </w14:solidFill>
          </w14:textFill>
        </w:rPr>
        <w:t>各营业场所或营业网点咨询。</w:t>
      </w:r>
    </w:p>
    <w:p w14:paraId="27F4EA14">
      <w:pPr>
        <w:snapToGrid w:val="0"/>
        <w:ind w:firstLine="400" w:firstLineChars="200"/>
        <w:jc w:val="both"/>
        <w:rPr>
          <w:color w:val="000000" w:themeColor="text1"/>
          <w:highlight w:val="none"/>
          <w14:textFill>
            <w14:solidFill>
              <w14:schemeClr w14:val="tx1"/>
            </w14:solidFill>
          </w14:textFill>
        </w:rPr>
      </w:pPr>
      <w:r>
        <w:rPr>
          <w:rFonts w:ascii="黑体" w:hAnsi="Times New Roman" w:eastAsia="黑体" w:cs="黑体"/>
          <w:color w:val="000000" w:themeColor="text1"/>
          <w:sz w:val="20"/>
          <w:szCs w:val="20"/>
          <w:highlight w:val="none"/>
          <w14:textFill>
            <w14:solidFill>
              <w14:schemeClr w14:val="tx1"/>
            </w14:solidFill>
          </w14:textFill>
        </w:rPr>
        <w:t>5</w:t>
      </w:r>
      <w:r>
        <w:rPr>
          <w:rFonts w:hint="eastAsia" w:ascii="黑体" w:hAnsi="Times New Roman" w:eastAsia="黑体" w:cs="黑体"/>
          <w:color w:val="000000" w:themeColor="text1"/>
          <w:sz w:val="20"/>
          <w:szCs w:val="20"/>
          <w:highlight w:val="none"/>
          <w14:textFill>
            <w14:solidFill>
              <w14:schemeClr w14:val="tx1"/>
            </w14:solidFill>
          </w14:textFill>
        </w:rPr>
        <w:t>．除本产品说明书中明确规定的收益及收益分配方式外，任何预期收益、预计收益、测算收益或类似表述均属不具有法律约束力的用语，不代表投资者可能获得的实际收益，亦不构成信银理财对本理财产品的任何收益承诺。投资者所能获得的最终收益以信银理财实际支付的为准，且不超过按照本产品期末总净值计算得出的收益。</w:t>
      </w:r>
    </w:p>
    <w:p w14:paraId="167DBB2D">
      <w:pPr>
        <w:snapToGrid w:val="0"/>
        <w:ind w:firstLine="402" w:firstLineChars="200"/>
        <w:jc w:val="both"/>
        <w:rPr>
          <w:b/>
          <w:color w:val="000000" w:themeColor="text1"/>
          <w:highlight w:val="none"/>
          <w14:textFill>
            <w14:solidFill>
              <w14:schemeClr w14:val="tx1"/>
            </w14:solidFill>
          </w14:textFill>
        </w:rPr>
      </w:pPr>
      <w:r>
        <w:rPr>
          <w:rFonts w:ascii="黑体" w:hAnsi="Times New Roman" w:eastAsia="黑体" w:cs="黑体"/>
          <w:b/>
          <w:color w:val="000000" w:themeColor="text1"/>
          <w:sz w:val="20"/>
          <w:szCs w:val="20"/>
          <w:highlight w:val="none"/>
          <w14:textFill>
            <w14:solidFill>
              <w14:schemeClr w14:val="tx1"/>
            </w14:solidFill>
          </w14:textFill>
        </w:rPr>
        <w:t>6</w:t>
      </w:r>
      <w:r>
        <w:rPr>
          <w:rFonts w:hint="eastAsia" w:ascii="黑体" w:hAnsi="Times New Roman" w:eastAsia="黑体" w:cs="黑体"/>
          <w:b/>
          <w:color w:val="000000" w:themeColor="text1"/>
          <w:sz w:val="20"/>
          <w:szCs w:val="20"/>
          <w:highlight w:val="none"/>
          <w14:textFill>
            <w14:solidFill>
              <w14:schemeClr w14:val="tx1"/>
            </w14:solidFill>
          </w14:textFill>
        </w:rPr>
        <w:t>．本理财产品不保障理财本金和收益，投资者所能获得的最终收益以理财产品最终清算的投资者可得收益为准。产品过往业绩不代表其未来表现，不构成新发理财产品业绩表现的保证。</w:t>
      </w:r>
    </w:p>
    <w:p w14:paraId="068EF260">
      <w:pPr>
        <w:snapToGrid w:val="0"/>
        <w:ind w:right="53" w:rightChars="22" w:firstLine="400" w:firstLineChars="200"/>
        <w:rPr>
          <w:color w:val="000000" w:themeColor="text1"/>
          <w:highlight w:val="none"/>
          <w14:textFill>
            <w14:solidFill>
              <w14:schemeClr w14:val="tx1"/>
            </w14:solidFill>
          </w14:textFill>
        </w:rPr>
      </w:pPr>
      <w:r>
        <w:rPr>
          <w:rFonts w:ascii="黑体" w:hAnsi="Times New Roman" w:eastAsia="黑体"/>
          <w:color w:val="000000" w:themeColor="text1"/>
          <w:sz w:val="20"/>
          <w:szCs w:val="20"/>
          <w:highlight w:val="none"/>
          <w14:textFill>
            <w14:solidFill>
              <w14:schemeClr w14:val="tx1"/>
            </w14:solidFill>
          </w14:textFill>
        </w:rPr>
        <w:t> </w:t>
      </w:r>
    </w:p>
    <w:p w14:paraId="4E355F2A">
      <w:pPr>
        <w:snapToGrid w:val="0"/>
        <w:ind w:left="-2" w:leftChars="-1" w:right="53" w:rightChars="22"/>
        <w:rPr>
          <w:b/>
          <w:color w:val="000000" w:themeColor="text1"/>
          <w:highlight w:val="none"/>
          <w14:textFill>
            <w14:solidFill>
              <w14:schemeClr w14:val="tx1"/>
            </w14:solidFill>
          </w14:textFill>
        </w:rPr>
      </w:pPr>
      <w:r>
        <w:rPr>
          <w:rFonts w:hint="eastAsia" w:ascii="黑体" w:hAnsi="Times New Roman" w:eastAsia="黑体" w:cs="黑体"/>
          <w:b/>
          <w:bCs/>
          <w:color w:val="000000" w:themeColor="text1"/>
          <w:sz w:val="20"/>
          <w:szCs w:val="20"/>
          <w:highlight w:val="none"/>
          <w14:textFill>
            <w14:solidFill>
              <w14:schemeClr w14:val="tx1"/>
            </w14:solidFill>
          </w14:textFill>
        </w:rPr>
        <w:t>风险提示：</w:t>
      </w:r>
    </w:p>
    <w:p w14:paraId="31D20E8C">
      <w:pPr>
        <w:snapToGrid w:val="0"/>
        <w:ind w:firstLine="402" w:firstLineChars="200"/>
        <w:jc w:val="both"/>
        <w:rPr>
          <w:rFonts w:ascii="黑体" w:hAnsi="Times New Roman" w:eastAsia="黑体" w:cs="黑体"/>
          <w:b/>
          <w:color w:val="000000" w:themeColor="text1"/>
          <w:sz w:val="20"/>
          <w:szCs w:val="20"/>
          <w:highlight w:val="none"/>
          <w14:textFill>
            <w14:solidFill>
              <w14:schemeClr w14:val="tx1"/>
            </w14:solidFill>
          </w14:textFill>
        </w:rPr>
      </w:pPr>
      <w:r>
        <w:rPr>
          <w:rFonts w:hint="eastAsia" w:ascii="黑体" w:hAnsi="Times New Roman" w:eastAsia="黑体" w:cs="黑体"/>
          <w:b/>
          <w:color w:val="000000" w:themeColor="text1"/>
          <w:sz w:val="20"/>
          <w:szCs w:val="20"/>
          <w:highlight w:val="none"/>
          <w14:textFill>
            <w14:solidFill>
              <w14:schemeClr w14:val="tx1"/>
            </w14:solidFill>
          </w14:textFill>
        </w:rPr>
        <w:t>本产品不保证本金和收益，投资者的本金有可能蒙受损失，极端情况下，可能全部或部分受损。投资者应充分认识投资风险，谨慎投资。具体风险如下：</w:t>
      </w:r>
    </w:p>
    <w:p w14:paraId="7BC9FC45">
      <w:pPr>
        <w:snapToGrid w:val="0"/>
        <w:ind w:firstLine="402" w:firstLineChars="200"/>
        <w:jc w:val="both"/>
        <w:rPr>
          <w:rFonts w:ascii="黑体" w:hAnsi="Times New Roman" w:eastAsia="黑体" w:cs="黑体"/>
          <w:b/>
          <w:color w:val="000000" w:themeColor="text1"/>
          <w:sz w:val="20"/>
          <w:szCs w:val="20"/>
          <w:highlight w:val="none"/>
          <w14:textFill>
            <w14:solidFill>
              <w14:schemeClr w14:val="tx1"/>
            </w14:solidFill>
          </w14:textFill>
        </w:rPr>
      </w:pPr>
      <w:r>
        <w:rPr>
          <w:rFonts w:hint="eastAsia" w:ascii="黑体" w:hAnsi="Times New Roman" w:eastAsia="黑体" w:cs="黑体"/>
          <w:b/>
          <w:color w:val="000000" w:themeColor="text1"/>
          <w:sz w:val="20"/>
          <w:szCs w:val="20"/>
          <w:highlight w:val="none"/>
          <w14:textFill>
            <w14:solidFill>
              <w14:schemeClr w14:val="tx1"/>
            </w14:solidFill>
          </w14:textFill>
        </w:rPr>
        <w:t>1．信用风险：本产品收益来源于产品项下投资对象的回报。如果投资对象发生信用违约事件，在此情况下，本产品收益将根据基于其偿还比率测算出的投资资产价格予以确定，同时，本产品将保留向发生违约事件的发行主体或融资主体的追索权利，信银理财有权以产品管理人名义代表投资者利益行使诉讼权利或实施其他法律行为，若这些权利在未来得以实现，在扣除相关费用后，将继续向投资者进行清偿。</w:t>
      </w:r>
    </w:p>
    <w:p w14:paraId="443BE014">
      <w:pPr>
        <w:snapToGrid w:val="0"/>
        <w:ind w:firstLine="402" w:firstLineChars="200"/>
        <w:jc w:val="both"/>
        <w:rPr>
          <w:rFonts w:ascii="黑体" w:hAnsi="Times New Roman" w:eastAsia="黑体" w:cs="黑体"/>
          <w:b/>
          <w:color w:val="000000" w:themeColor="text1"/>
          <w:sz w:val="20"/>
          <w:szCs w:val="20"/>
          <w:highlight w:val="none"/>
          <w14:textFill>
            <w14:solidFill>
              <w14:schemeClr w14:val="tx1"/>
            </w14:solidFill>
          </w14:textFill>
        </w:rPr>
      </w:pPr>
      <w:r>
        <w:rPr>
          <w:rFonts w:hint="eastAsia" w:ascii="黑体" w:hAnsi="Times New Roman" w:eastAsia="黑体" w:cs="黑体"/>
          <w:b/>
          <w:color w:val="000000" w:themeColor="text1"/>
          <w:sz w:val="20"/>
          <w:szCs w:val="20"/>
          <w:highlight w:val="none"/>
          <w14:textFill>
            <w14:solidFill>
              <w14:schemeClr w14:val="tx1"/>
            </w14:solidFill>
          </w14:textFill>
        </w:rPr>
        <w:t>2．市场风险：由于金融市场存在波动性，投资者投资本产品将承担一定投资资产市值下跌的市场风险，包括但不限于投资债券面临的利率变化及债券价格波动带来的风险，投资股票面临的股票价格波动带来的风险，投资商品及金融衍生品面临的持仓风险等。产品投资涉及外币资产时，存在汇率波动带来的风险。</w:t>
      </w:r>
    </w:p>
    <w:p w14:paraId="66308F37">
      <w:pPr>
        <w:snapToGrid w:val="0"/>
        <w:ind w:firstLine="402" w:firstLineChars="200"/>
        <w:jc w:val="both"/>
        <w:rPr>
          <w:rFonts w:ascii="黑体" w:hAnsi="Times New Roman" w:eastAsia="黑体" w:cs="黑体"/>
          <w:b/>
          <w:color w:val="000000" w:themeColor="text1"/>
          <w:sz w:val="20"/>
          <w:szCs w:val="20"/>
          <w:highlight w:val="none"/>
          <w14:textFill>
            <w14:solidFill>
              <w14:schemeClr w14:val="tx1"/>
            </w14:solidFill>
          </w14:textFill>
        </w:rPr>
      </w:pPr>
      <w:r>
        <w:rPr>
          <w:rFonts w:hint="eastAsia" w:ascii="黑体" w:hAnsi="Times New Roman" w:eastAsia="黑体" w:cs="黑体"/>
          <w:b/>
          <w:color w:val="000000" w:themeColor="text1"/>
          <w:sz w:val="20"/>
          <w:szCs w:val="20"/>
          <w:highlight w:val="none"/>
          <w14:textFill>
            <w14:solidFill>
              <w14:schemeClr w14:val="tx1"/>
            </w14:solidFill>
          </w14:textFill>
        </w:rPr>
        <w:t>3．流动性风险：投资者不能随时提前终止本产品，在本产品存续期内的非开放日，投资者不得赎回，在开放日，可能因达到本说明书中约定的限制赎回情况，导致投资者在需要资金时无法随时变现，并可能导致投资者丧失其他投资机会。本产品投资资产的流动性风险情况为：【本理财产品投资范围为货币市场类和固定收益类资产，具体品种包括：现金、存款、大额存单、同业存单、货币基金、质押式回购和其他货币市场类资产，以及国债、地方政府债券、中央银行票据、政府机构债券、金融债券、公司信用类债券、在银行间市场和证券交易所市场发行的资产支持证券、非公开定向债务融资工具、债券型证券投资基金和其他固定收益类资产等，上述投资标的中存款、质押式回购及其他交投不活跃品种存在不能提前支取或者不能提前到期的情形；其他资产一般情况下具有良好的流动性，但在特殊情况下，也存在部分债券品种交投不活跃、成交量不足的情形，如果理财产品赎回量较大，可能会影响产品流动性管理。】为应对流动性风险，保护投资者利益，管理人可以综合运用以下理财产品流动性风险应对措施：（a）认购风险应对措施，包括：设定单一投资者认购金额上限、设定理财产品单日净认购比例上限、拒绝大额认购、暂停认购，以及国务院银行业监督管理机构规定的其他措施。（b）赎回风险应对措施，包括：设置赎回上限、延期办理巨额赎回申请、暂停接受赎回申请、延缓支付赎回款项、收取短期赎回费、暂停理财产品估值、摆动定价，以及国务院银行业监督管理机构规定的其他措施。</w:t>
      </w:r>
    </w:p>
    <w:p w14:paraId="63D3CDCB">
      <w:pPr>
        <w:snapToGrid w:val="0"/>
        <w:ind w:firstLine="402" w:firstLineChars="200"/>
        <w:jc w:val="both"/>
        <w:rPr>
          <w:rFonts w:ascii="黑体" w:hAnsi="Times New Roman" w:eastAsia="黑体" w:cs="黑体"/>
          <w:b/>
          <w:color w:val="000000" w:themeColor="text1"/>
          <w:sz w:val="20"/>
          <w:szCs w:val="20"/>
          <w:highlight w:val="none"/>
          <w14:textFill>
            <w14:solidFill>
              <w14:schemeClr w14:val="tx1"/>
            </w14:solidFill>
          </w14:textFill>
        </w:rPr>
      </w:pPr>
      <w:r>
        <w:rPr>
          <w:rFonts w:hint="eastAsia" w:ascii="黑体" w:hAnsi="Times New Roman" w:eastAsia="黑体" w:cs="黑体"/>
          <w:b/>
          <w:color w:val="000000" w:themeColor="text1"/>
          <w:sz w:val="20"/>
          <w:szCs w:val="20"/>
          <w:highlight w:val="none"/>
          <w14:textFill>
            <w14:solidFill>
              <w14:schemeClr w14:val="tx1"/>
            </w14:solidFill>
          </w14:textFill>
        </w:rPr>
        <w:t>4．提前终止风险：如发生提前终止条款约定情形，可能导致本产品提前终止。</w:t>
      </w:r>
      <w:r>
        <w:rPr>
          <w:rFonts w:hint="eastAsia" w:ascii="黑体" w:eastAsia="黑体"/>
          <w:b/>
          <w:color w:val="000000" w:themeColor="text1"/>
          <w:sz w:val="20"/>
          <w:szCs w:val="20"/>
          <w:highlight w:val="none"/>
          <w14:textFill>
            <w14:solidFill>
              <w14:schemeClr w14:val="tx1"/>
            </w14:solidFill>
          </w14:textFill>
        </w:rPr>
        <w:t>如本理财产品提前终止，则投资者实际理财投资期可能小于预定期限。</w:t>
      </w:r>
    </w:p>
    <w:p w14:paraId="7633F9E3">
      <w:pPr>
        <w:snapToGrid w:val="0"/>
        <w:ind w:firstLine="402" w:firstLineChars="200"/>
        <w:jc w:val="both"/>
        <w:rPr>
          <w:rFonts w:ascii="黑体" w:hAnsi="Times New Roman" w:eastAsia="黑体" w:cs="黑体"/>
          <w:b/>
          <w:color w:val="000000" w:themeColor="text1"/>
          <w:sz w:val="20"/>
          <w:szCs w:val="20"/>
          <w:highlight w:val="none"/>
          <w14:textFill>
            <w14:solidFill>
              <w14:schemeClr w14:val="tx1"/>
            </w14:solidFill>
          </w14:textFill>
        </w:rPr>
      </w:pPr>
      <w:r>
        <w:rPr>
          <w:rFonts w:hint="eastAsia" w:ascii="黑体" w:hAnsi="Times New Roman" w:eastAsia="黑体" w:cs="黑体"/>
          <w:b/>
          <w:color w:val="000000" w:themeColor="text1"/>
          <w:sz w:val="20"/>
          <w:szCs w:val="20"/>
          <w:highlight w:val="none"/>
          <w14:textFill>
            <w14:solidFill>
              <w14:schemeClr w14:val="tx1"/>
            </w14:solidFill>
          </w14:textFill>
        </w:rPr>
        <w:t>5．政策风险：本产品是根据当前的相关法律法规和国家政策设计的，如国家政策以及相关法律法规等发生变化，可能影响本产品的投资、兑付等环节的正常进行，从而可能对本产品造成重大影响，导致投资收益降低或无法取得任何收益，甚至导致投资本金部分或全部损失。</w:t>
      </w:r>
    </w:p>
    <w:p w14:paraId="5CD83B8B">
      <w:pPr>
        <w:snapToGrid w:val="0"/>
        <w:ind w:firstLine="402" w:firstLineChars="200"/>
        <w:jc w:val="both"/>
        <w:rPr>
          <w:rFonts w:ascii="黑体" w:hAnsi="Times New Roman" w:eastAsia="黑体" w:cs="黑体"/>
          <w:b/>
          <w:color w:val="000000" w:themeColor="text1"/>
          <w:sz w:val="20"/>
          <w:szCs w:val="20"/>
          <w:highlight w:val="none"/>
          <w14:textFill>
            <w14:solidFill>
              <w14:schemeClr w14:val="tx1"/>
            </w14:solidFill>
          </w14:textFill>
        </w:rPr>
      </w:pPr>
      <w:r>
        <w:rPr>
          <w:rFonts w:hint="eastAsia" w:ascii="黑体" w:hAnsi="Times New Roman" w:eastAsia="黑体" w:cs="黑体"/>
          <w:b/>
          <w:color w:val="000000" w:themeColor="text1"/>
          <w:sz w:val="20"/>
          <w:szCs w:val="20"/>
          <w:highlight w:val="none"/>
          <w14:textFill>
            <w14:solidFill>
              <w14:schemeClr w14:val="tx1"/>
            </w14:solidFill>
          </w14:textFill>
        </w:rPr>
        <w:t>6．</w:t>
      </w:r>
      <w:r>
        <w:rPr>
          <w:rFonts w:hint="eastAsia" w:ascii="黑体" w:hAnsi="Times New Roman" w:eastAsia="黑体"/>
          <w:b/>
          <w:color w:val="000000" w:themeColor="text1"/>
          <w:sz w:val="20"/>
          <w:szCs w:val="20"/>
          <w:highlight w:val="none"/>
          <w14:textFill>
            <w14:solidFill>
              <w14:schemeClr w14:val="tx1"/>
            </w14:solidFill>
          </w14:textFill>
        </w:rPr>
        <w:t>信息传递风险：投资者应根据本产品说明书载明的信息披露方式及时查询相关信息。信银理财按照法律法规、监管规定要求及本产品说明书有关信息披露条款的约定，向投资者发布理财产品信息，投资者应根据信息披露条款的约定及时到本说明书约定的发布信息的渠道查询，以获知有关本理财产品相关信息。</w:t>
      </w:r>
      <w:r>
        <w:rPr>
          <w:rFonts w:hint="eastAsia" w:ascii="黑体" w:eastAsia="黑体"/>
          <w:b/>
          <w:color w:val="000000" w:themeColor="text1"/>
          <w:sz w:val="20"/>
          <w:szCs w:val="20"/>
          <w:highlight w:val="none"/>
          <w14:textFill>
            <w14:solidFill>
              <w14:schemeClr w14:val="tx1"/>
            </w14:solidFill>
          </w14:textFill>
        </w:rPr>
        <w:t>如果投资者未及时查询，或由于通讯故障、系统故障以及其他不可抗力等因素的影响使得投资者无法及时了解产品信息，因此而产生的责任和风险由投资者自行承担。另外，投资者预留在信银理财或</w:t>
      </w:r>
      <w:r>
        <w:rPr>
          <w:rFonts w:ascii="黑体" w:eastAsia="黑体"/>
          <w:b/>
          <w:color w:val="000000" w:themeColor="text1"/>
          <w:sz w:val="20"/>
          <w:szCs w:val="20"/>
          <w:highlight w:val="none"/>
          <w14:textFill>
            <w14:solidFill>
              <w14:schemeClr w14:val="tx1"/>
            </w14:solidFill>
          </w14:textFill>
        </w:rPr>
        <w:t>代销机构</w:t>
      </w:r>
      <w:r>
        <w:rPr>
          <w:rFonts w:hint="eastAsia" w:ascii="黑体" w:eastAsia="黑体"/>
          <w:b/>
          <w:color w:val="000000" w:themeColor="text1"/>
          <w:sz w:val="20"/>
          <w:szCs w:val="20"/>
          <w:highlight w:val="none"/>
          <w14:textFill>
            <w14:solidFill>
              <w14:schemeClr w14:val="tx1"/>
            </w14:solidFill>
          </w14:textFill>
        </w:rPr>
        <w:t>的有效联系方式变更的，应及时通知信银理财或</w:t>
      </w:r>
      <w:r>
        <w:rPr>
          <w:rFonts w:ascii="黑体" w:eastAsia="黑体"/>
          <w:b/>
          <w:color w:val="000000" w:themeColor="text1"/>
          <w:sz w:val="20"/>
          <w:szCs w:val="20"/>
          <w:highlight w:val="none"/>
          <w14:textFill>
            <w14:solidFill>
              <w14:schemeClr w14:val="tx1"/>
            </w14:solidFill>
          </w14:textFill>
        </w:rPr>
        <w:t>代销机构</w:t>
      </w:r>
      <w:r>
        <w:rPr>
          <w:rFonts w:hint="eastAsia" w:ascii="黑体" w:eastAsia="黑体"/>
          <w:b/>
          <w:color w:val="000000" w:themeColor="text1"/>
          <w:sz w:val="20"/>
          <w:szCs w:val="20"/>
          <w:highlight w:val="none"/>
          <w14:textFill>
            <w14:solidFill>
              <w14:schemeClr w14:val="tx1"/>
            </w14:solidFill>
          </w14:textFill>
        </w:rPr>
        <w:t>。如投资者未及时告知信银理财或</w:t>
      </w:r>
      <w:r>
        <w:rPr>
          <w:rFonts w:ascii="黑体" w:eastAsia="黑体"/>
          <w:b/>
          <w:color w:val="000000" w:themeColor="text1"/>
          <w:sz w:val="20"/>
          <w:szCs w:val="20"/>
          <w:highlight w:val="none"/>
          <w14:textFill>
            <w14:solidFill>
              <w14:schemeClr w14:val="tx1"/>
            </w14:solidFill>
          </w14:textFill>
        </w:rPr>
        <w:t>代销机构</w:t>
      </w:r>
      <w:r>
        <w:rPr>
          <w:rFonts w:hint="eastAsia" w:ascii="黑体" w:eastAsia="黑体"/>
          <w:b/>
          <w:color w:val="000000" w:themeColor="text1"/>
          <w:sz w:val="20"/>
          <w:szCs w:val="20"/>
          <w:highlight w:val="none"/>
          <w14:textFill>
            <w14:solidFill>
              <w14:schemeClr w14:val="tx1"/>
            </w14:solidFill>
          </w14:textFill>
        </w:rPr>
        <w:t>联系方式变更的，或因投资者其他原因导致信银理财或</w:t>
      </w:r>
      <w:r>
        <w:rPr>
          <w:rFonts w:ascii="黑体" w:eastAsia="黑体"/>
          <w:b/>
          <w:color w:val="000000" w:themeColor="text1"/>
          <w:sz w:val="20"/>
          <w:szCs w:val="20"/>
          <w:highlight w:val="none"/>
          <w14:textFill>
            <w14:solidFill>
              <w14:schemeClr w14:val="tx1"/>
            </w14:solidFill>
          </w14:textFill>
        </w:rPr>
        <w:t>代销机构</w:t>
      </w:r>
      <w:r>
        <w:rPr>
          <w:rFonts w:hint="eastAsia" w:ascii="黑体" w:eastAsia="黑体"/>
          <w:b/>
          <w:color w:val="000000" w:themeColor="text1"/>
          <w:sz w:val="20"/>
          <w:szCs w:val="20"/>
          <w:highlight w:val="none"/>
          <w14:textFill>
            <w14:solidFill>
              <w14:schemeClr w14:val="tx1"/>
            </w14:solidFill>
          </w14:textFill>
        </w:rPr>
        <w:t>在其需联系时无法及时联系上投资者，可能会由此影响投资者的投资决策，由此而产生的责任和风险由投资者自行承担。</w:t>
      </w:r>
    </w:p>
    <w:p w14:paraId="790E1B18">
      <w:pPr>
        <w:snapToGrid w:val="0"/>
        <w:ind w:firstLine="402" w:firstLineChars="200"/>
        <w:jc w:val="both"/>
        <w:rPr>
          <w:rFonts w:ascii="黑体" w:hAnsi="Times New Roman" w:eastAsia="黑体" w:cs="黑体"/>
          <w:b/>
          <w:color w:val="000000" w:themeColor="text1"/>
          <w:sz w:val="20"/>
          <w:szCs w:val="20"/>
          <w:highlight w:val="none"/>
          <w14:textFill>
            <w14:solidFill>
              <w14:schemeClr w14:val="tx1"/>
            </w14:solidFill>
          </w14:textFill>
        </w:rPr>
      </w:pPr>
      <w:r>
        <w:rPr>
          <w:rFonts w:hint="eastAsia" w:ascii="黑体" w:hAnsi="Times New Roman" w:eastAsia="黑体" w:cs="黑体"/>
          <w:b/>
          <w:color w:val="000000" w:themeColor="text1"/>
          <w:sz w:val="20"/>
          <w:szCs w:val="20"/>
          <w:highlight w:val="none"/>
          <w14:textFill>
            <w14:solidFill>
              <w14:schemeClr w14:val="tx1"/>
            </w14:solidFill>
          </w14:textFill>
        </w:rPr>
        <w:t>7．管理风险：由于产品管理人、所投资资管产品的受托人/管理人、投资顾问等受经验、技能等因素的限制，可能会影响本理财产品的管理，导致本产品项下的理财收益降低。</w:t>
      </w:r>
    </w:p>
    <w:p w14:paraId="3DD56D47">
      <w:pPr>
        <w:snapToGrid w:val="0"/>
        <w:ind w:firstLine="402" w:firstLineChars="200"/>
        <w:jc w:val="both"/>
        <w:rPr>
          <w:rFonts w:ascii="黑体" w:eastAsia="黑体"/>
          <w:b/>
          <w:color w:val="000000" w:themeColor="text1"/>
          <w:sz w:val="20"/>
          <w:szCs w:val="20"/>
          <w:highlight w:val="none"/>
          <w14:textFill>
            <w14:solidFill>
              <w14:schemeClr w14:val="tx1"/>
            </w14:solidFill>
          </w14:textFill>
        </w:rPr>
      </w:pPr>
      <w:r>
        <w:rPr>
          <w:rFonts w:hint="eastAsia" w:ascii="黑体" w:hAnsi="Times New Roman" w:eastAsia="黑体" w:cs="黑体"/>
          <w:b/>
          <w:color w:val="000000" w:themeColor="text1"/>
          <w:sz w:val="20"/>
          <w:szCs w:val="20"/>
          <w:highlight w:val="none"/>
          <w14:textFill>
            <w14:solidFill>
              <w14:schemeClr w14:val="tx1"/>
            </w14:solidFill>
          </w14:textFill>
        </w:rPr>
        <w:t>8．延期清算风险：</w:t>
      </w:r>
      <w:r>
        <w:rPr>
          <w:rFonts w:hint="eastAsia" w:ascii="黑体" w:eastAsia="黑体"/>
          <w:b/>
          <w:color w:val="000000" w:themeColor="text1"/>
          <w:sz w:val="20"/>
          <w:szCs w:val="20"/>
          <w:highlight w:val="none"/>
          <w14:textFill>
            <w14:solidFill>
              <w14:schemeClr w14:val="tx1"/>
            </w14:solidFill>
          </w14:textFill>
        </w:rPr>
        <w:t>如在产品到期时本产品所投资资产市场流动性不足或受限导致未能正常买卖结算，或投资资产正常到期发行人或融资主体未能及时偿付本息，从而导致所投资工具不能全部变现，则本产品存在延期清算的风险。</w:t>
      </w:r>
    </w:p>
    <w:p w14:paraId="0BD97BFA">
      <w:pPr>
        <w:snapToGrid w:val="0"/>
        <w:ind w:firstLine="402" w:firstLineChars="200"/>
        <w:jc w:val="both"/>
        <w:rPr>
          <w:rFonts w:ascii="黑体" w:hAnsi="Times New Roman" w:eastAsia="黑体" w:cs="黑体"/>
          <w:b/>
          <w:color w:val="000000" w:themeColor="text1"/>
          <w:sz w:val="20"/>
          <w:szCs w:val="20"/>
          <w:highlight w:val="none"/>
          <w14:textFill>
            <w14:solidFill>
              <w14:schemeClr w14:val="tx1"/>
            </w14:solidFill>
          </w14:textFill>
        </w:rPr>
      </w:pPr>
      <w:r>
        <w:rPr>
          <w:rFonts w:ascii="黑体" w:eastAsia="黑体"/>
          <w:b/>
          <w:color w:val="000000" w:themeColor="text1"/>
          <w:sz w:val="20"/>
          <w:szCs w:val="20"/>
          <w:highlight w:val="none"/>
          <w14:textFill>
            <w14:solidFill>
              <w14:schemeClr w14:val="tx1"/>
            </w14:solidFill>
          </w14:textFill>
        </w:rPr>
        <w:t>9</w:t>
      </w:r>
      <w:r>
        <w:rPr>
          <w:rFonts w:hint="eastAsia" w:ascii="黑体" w:eastAsia="黑体"/>
          <w:b/>
          <w:color w:val="000000" w:themeColor="text1"/>
          <w:sz w:val="20"/>
          <w:szCs w:val="20"/>
          <w:highlight w:val="none"/>
          <w14:textFill>
            <w14:solidFill>
              <w14:schemeClr w14:val="tx1"/>
            </w14:solidFill>
          </w14:textFill>
        </w:rPr>
        <w:t>．</w:t>
      </w:r>
      <w:r>
        <w:rPr>
          <w:rFonts w:ascii="黑体" w:eastAsia="黑体"/>
          <w:b/>
          <w:color w:val="000000" w:themeColor="text1"/>
          <w:sz w:val="20"/>
          <w:szCs w:val="20"/>
          <w:highlight w:val="none"/>
          <w14:textFill>
            <w14:solidFill>
              <w14:schemeClr w14:val="tx1"/>
            </w14:solidFill>
          </w14:textFill>
        </w:rPr>
        <w:t>理财产品不成立风险：如发生理财产品不成立条款约定之情形，</w:t>
      </w:r>
      <w:r>
        <w:rPr>
          <w:rFonts w:hint="eastAsia" w:ascii="黑体" w:eastAsia="黑体"/>
          <w:b/>
          <w:color w:val="000000" w:themeColor="text1"/>
          <w:sz w:val="20"/>
          <w:szCs w:val="20"/>
          <w:highlight w:val="none"/>
          <w14:textFill>
            <w14:solidFill>
              <w14:schemeClr w14:val="tx1"/>
            </w14:solidFill>
          </w14:textFill>
        </w:rPr>
        <w:t>信银理财</w:t>
      </w:r>
      <w:r>
        <w:rPr>
          <w:rFonts w:ascii="黑体" w:eastAsia="黑体"/>
          <w:b/>
          <w:color w:val="000000" w:themeColor="text1"/>
          <w:sz w:val="20"/>
          <w:szCs w:val="20"/>
          <w:highlight w:val="none"/>
          <w14:textFill>
            <w14:solidFill>
              <w14:schemeClr w14:val="tx1"/>
            </w14:solidFill>
          </w14:textFill>
        </w:rPr>
        <w:t>有权通知</w:t>
      </w:r>
      <w:r>
        <w:rPr>
          <w:rFonts w:hint="eastAsia" w:ascii="黑体" w:eastAsia="黑体"/>
          <w:b/>
          <w:color w:val="000000" w:themeColor="text1"/>
          <w:sz w:val="20"/>
          <w:szCs w:val="20"/>
          <w:highlight w:val="none"/>
          <w14:textFill>
            <w14:solidFill>
              <w14:schemeClr w14:val="tx1"/>
            </w14:solidFill>
          </w14:textFill>
        </w:rPr>
        <w:t>（或</w:t>
      </w:r>
      <w:r>
        <w:rPr>
          <w:rFonts w:ascii="黑体" w:eastAsia="黑体"/>
          <w:b/>
          <w:color w:val="000000" w:themeColor="text1"/>
          <w:sz w:val="20"/>
          <w:szCs w:val="20"/>
          <w:highlight w:val="none"/>
          <w14:textFill>
            <w14:solidFill>
              <w14:schemeClr w14:val="tx1"/>
            </w14:solidFill>
          </w14:textFill>
        </w:rPr>
        <w:t>通过代销机构通知）投资者产品不成立。</w:t>
      </w:r>
    </w:p>
    <w:p w14:paraId="100773F6">
      <w:pPr>
        <w:snapToGrid w:val="0"/>
        <w:ind w:firstLine="402" w:firstLineChars="200"/>
        <w:jc w:val="both"/>
        <w:rPr>
          <w:rFonts w:ascii="黑体" w:hAnsi="Times New Roman" w:eastAsia="黑体" w:cs="黑体"/>
          <w:b/>
          <w:color w:val="000000" w:themeColor="text1"/>
          <w:sz w:val="20"/>
          <w:szCs w:val="20"/>
          <w:highlight w:val="none"/>
          <w14:textFill>
            <w14:solidFill>
              <w14:schemeClr w14:val="tx1"/>
            </w14:solidFill>
          </w14:textFill>
        </w:rPr>
      </w:pPr>
      <w:r>
        <w:rPr>
          <w:rFonts w:hint="eastAsia" w:ascii="黑体" w:hAnsi="Times New Roman" w:eastAsia="黑体" w:cs="黑体"/>
          <w:b/>
          <w:color w:val="000000" w:themeColor="text1"/>
          <w:sz w:val="20"/>
          <w:szCs w:val="20"/>
          <w:highlight w:val="none"/>
          <w14:textFill>
            <w14:solidFill>
              <w14:schemeClr w14:val="tx1"/>
            </w14:solidFill>
          </w14:textFill>
        </w:rPr>
        <w:t>10．不可抗力及意外事件风险：由于自然灾害、战争等不可抗力因素的出现或系统故障、通讯故障、投资市场停止交易、金融市场危机等意外事件的出现，将严重影响金融市场的正常运行，从而导致本产品投资收益降低或损失，甚至影响本产品的成立、受理、投资、兑付、信息披露等的正常进行，进而影响本产品的资金安全。投资者将面临本金和收益遭受损失的风险。对于由不可抗力及意外事件风险导致的任何损失，投资者须自行承担，信银理财对此不承担任何责任，但因信银理财故意或重大过失造成的系统故障、通讯故障的除外。</w:t>
      </w:r>
    </w:p>
    <w:p w14:paraId="66BC856D">
      <w:pPr>
        <w:spacing w:line="300" w:lineRule="atLeast"/>
        <w:ind w:firstLine="402" w:firstLineChars="200"/>
        <w:jc w:val="both"/>
        <w:rPr>
          <w:rFonts w:ascii="黑体" w:hAnsi="黑体" w:eastAsia="黑体"/>
          <w:b/>
          <w:color w:val="000000" w:themeColor="text1"/>
          <w:sz w:val="20"/>
          <w:szCs w:val="20"/>
          <w:highlight w:val="none"/>
          <w14:textFill>
            <w14:solidFill>
              <w14:schemeClr w14:val="tx1"/>
            </w14:solidFill>
          </w14:textFill>
        </w:rPr>
      </w:pPr>
      <w:r>
        <w:rPr>
          <w:rFonts w:ascii="黑体" w:hAnsi="黑体" w:eastAsia="黑体"/>
          <w:b/>
          <w:color w:val="000000" w:themeColor="text1"/>
          <w:sz w:val="20"/>
          <w:szCs w:val="20"/>
          <w:highlight w:val="none"/>
          <w14:textFill>
            <w14:solidFill>
              <w14:schemeClr w14:val="tx1"/>
            </w14:solidFill>
          </w14:textFill>
        </w:rPr>
        <w:t>1</w:t>
      </w:r>
      <w:r>
        <w:rPr>
          <w:rFonts w:hint="eastAsia" w:ascii="黑体" w:hAnsi="黑体" w:eastAsia="黑体"/>
          <w:b/>
          <w:color w:val="000000" w:themeColor="text1"/>
          <w:sz w:val="20"/>
          <w:szCs w:val="20"/>
          <w:highlight w:val="none"/>
          <w:lang w:val="en-US" w:eastAsia="zh-CN"/>
          <w14:textFill>
            <w14:solidFill>
              <w14:schemeClr w14:val="tx1"/>
            </w14:solidFill>
          </w14:textFill>
        </w:rPr>
        <w:t>1</w:t>
      </w:r>
      <w:r>
        <w:rPr>
          <w:rFonts w:hint="eastAsia" w:ascii="黑体" w:hAnsi="黑体" w:eastAsia="黑体"/>
          <w:b/>
          <w:color w:val="000000" w:themeColor="text1"/>
          <w:sz w:val="20"/>
          <w:szCs w:val="20"/>
          <w:highlight w:val="none"/>
          <w14:textFill>
            <w14:solidFill>
              <w14:schemeClr w14:val="tx1"/>
            </w14:solidFill>
          </w14:textFill>
        </w:rPr>
        <w:t>．</w:t>
      </w:r>
      <w:r>
        <w:rPr>
          <w:rFonts w:ascii="黑体" w:hAnsi="黑体" w:eastAsia="黑体"/>
          <w:b/>
          <w:color w:val="000000" w:themeColor="text1"/>
          <w:sz w:val="20"/>
          <w:szCs w:val="20"/>
          <w:highlight w:val="none"/>
          <w14:textFill>
            <w14:solidFill>
              <w14:schemeClr w14:val="tx1"/>
            </w14:solidFill>
          </w14:textFill>
        </w:rPr>
        <w:t>合作销售机构</w:t>
      </w:r>
      <w:r>
        <w:rPr>
          <w:rFonts w:hint="eastAsia" w:ascii="黑体" w:hAnsi="黑体" w:eastAsia="黑体"/>
          <w:b/>
          <w:color w:val="000000" w:themeColor="text1"/>
          <w:sz w:val="20"/>
          <w:szCs w:val="20"/>
          <w:highlight w:val="none"/>
          <w14:textFill>
            <w14:solidFill>
              <w14:schemeClr w14:val="tx1"/>
            </w14:solidFill>
          </w14:textFill>
        </w:rPr>
        <w:t>（代销</w:t>
      </w:r>
      <w:r>
        <w:rPr>
          <w:rFonts w:ascii="黑体" w:hAnsi="黑体" w:eastAsia="黑体"/>
          <w:b/>
          <w:color w:val="000000" w:themeColor="text1"/>
          <w:sz w:val="20"/>
          <w:szCs w:val="20"/>
          <w:highlight w:val="none"/>
          <w14:textFill>
            <w14:solidFill>
              <w14:schemeClr w14:val="tx1"/>
            </w14:solidFill>
          </w14:textFill>
        </w:rPr>
        <w:t>机构）风险：投资者</w:t>
      </w:r>
      <w:r>
        <w:rPr>
          <w:rFonts w:hint="eastAsia" w:ascii="黑体" w:hAnsi="黑体" w:eastAsia="黑体"/>
          <w:b/>
          <w:color w:val="000000" w:themeColor="text1"/>
          <w:sz w:val="20"/>
          <w:szCs w:val="20"/>
          <w:highlight w:val="none"/>
          <w14:textFill>
            <w14:solidFill>
              <w14:schemeClr w14:val="tx1"/>
            </w14:solidFill>
          </w14:textFill>
        </w:rPr>
        <w:t>通过</w:t>
      </w:r>
      <w:r>
        <w:rPr>
          <w:rFonts w:ascii="黑体" w:hAnsi="黑体" w:eastAsia="黑体"/>
          <w:b/>
          <w:color w:val="000000" w:themeColor="text1"/>
          <w:sz w:val="20"/>
          <w:szCs w:val="20"/>
          <w:highlight w:val="none"/>
          <w14:textFill>
            <w14:solidFill>
              <w14:schemeClr w14:val="tx1"/>
            </w14:solidFill>
          </w14:textFill>
        </w:rPr>
        <w:t>合作销售机构购买本理财产品</w:t>
      </w:r>
      <w:r>
        <w:rPr>
          <w:rFonts w:hint="eastAsia" w:ascii="黑体" w:hAnsi="黑体" w:eastAsia="黑体"/>
          <w:b/>
          <w:color w:val="000000" w:themeColor="text1"/>
          <w:sz w:val="20"/>
          <w:szCs w:val="20"/>
          <w:highlight w:val="none"/>
          <w14:textFill>
            <w14:solidFill>
              <w14:schemeClr w14:val="tx1"/>
            </w14:solidFill>
          </w14:textFill>
        </w:rPr>
        <w:t>的</w:t>
      </w:r>
      <w:r>
        <w:rPr>
          <w:rFonts w:ascii="黑体" w:hAnsi="黑体" w:eastAsia="黑体"/>
          <w:b/>
          <w:color w:val="000000" w:themeColor="text1"/>
          <w:sz w:val="20"/>
          <w:szCs w:val="20"/>
          <w:highlight w:val="none"/>
          <w14:textFill>
            <w14:solidFill>
              <w14:schemeClr w14:val="tx1"/>
            </w14:solidFill>
          </w14:textFill>
        </w:rPr>
        <w:t>，资金清算将通过合作销售机构进行</w:t>
      </w:r>
      <w:r>
        <w:rPr>
          <w:rFonts w:hint="eastAsia" w:ascii="黑体" w:hAnsi="黑体" w:eastAsia="黑体"/>
          <w:b/>
          <w:color w:val="000000" w:themeColor="text1"/>
          <w:sz w:val="20"/>
          <w:szCs w:val="20"/>
          <w:highlight w:val="none"/>
          <w14:textFill>
            <w14:solidFill>
              <w14:schemeClr w14:val="tx1"/>
            </w14:solidFill>
          </w14:textFill>
        </w:rPr>
        <w:t>，</w:t>
      </w:r>
      <w:r>
        <w:rPr>
          <w:rFonts w:ascii="黑体" w:hAnsi="黑体" w:eastAsia="黑体"/>
          <w:b/>
          <w:color w:val="000000" w:themeColor="text1"/>
          <w:sz w:val="20"/>
          <w:szCs w:val="20"/>
          <w:highlight w:val="none"/>
          <w14:textFill>
            <w14:solidFill>
              <w14:schemeClr w14:val="tx1"/>
            </w14:solidFill>
          </w14:textFill>
        </w:rPr>
        <w:t>如因合作销售机构</w:t>
      </w:r>
      <w:r>
        <w:rPr>
          <w:rFonts w:hint="eastAsia" w:ascii="黑体" w:hAnsi="黑体" w:eastAsia="黑体"/>
          <w:b/>
          <w:color w:val="000000" w:themeColor="text1"/>
          <w:sz w:val="20"/>
          <w:szCs w:val="20"/>
          <w:highlight w:val="none"/>
          <w14:textFill>
            <w14:solidFill>
              <w14:schemeClr w14:val="tx1"/>
            </w14:solidFill>
          </w14:textFill>
        </w:rPr>
        <w:t>资金清算</w:t>
      </w:r>
      <w:r>
        <w:rPr>
          <w:rFonts w:ascii="黑体" w:hAnsi="黑体" w:eastAsia="黑体"/>
          <w:b/>
          <w:color w:val="000000" w:themeColor="text1"/>
          <w:sz w:val="20"/>
          <w:szCs w:val="20"/>
          <w:highlight w:val="none"/>
          <w14:textFill>
            <w14:solidFill>
              <w14:schemeClr w14:val="tx1"/>
            </w14:solidFill>
          </w14:textFill>
        </w:rPr>
        <w:t>账户余额不足或合作销售机构未及时办理资金清算或违背相关合作协议约定、处理事务不当等，可能导致</w:t>
      </w:r>
      <w:r>
        <w:rPr>
          <w:rFonts w:hint="eastAsia" w:ascii="黑体" w:hAnsi="黑体" w:eastAsia="黑体"/>
          <w:b/>
          <w:color w:val="000000" w:themeColor="text1"/>
          <w:sz w:val="20"/>
          <w:szCs w:val="20"/>
          <w:highlight w:val="none"/>
          <w14:textFill>
            <w14:solidFill>
              <w14:schemeClr w14:val="tx1"/>
            </w14:solidFill>
          </w14:textFill>
        </w:rPr>
        <w:t>投资者</w:t>
      </w:r>
      <w:r>
        <w:rPr>
          <w:rFonts w:ascii="黑体" w:hAnsi="黑体" w:eastAsia="黑体"/>
          <w:b/>
          <w:color w:val="000000" w:themeColor="text1"/>
          <w:sz w:val="20"/>
          <w:szCs w:val="20"/>
          <w:highlight w:val="none"/>
          <w14:textFill>
            <w14:solidFill>
              <w14:schemeClr w14:val="tx1"/>
            </w14:solidFill>
          </w14:textFill>
        </w:rPr>
        <w:t>认购/申购失败或</w:t>
      </w:r>
      <w:r>
        <w:rPr>
          <w:rFonts w:hint="eastAsia" w:ascii="黑体" w:hAnsi="黑体" w:eastAsia="黑体"/>
          <w:b/>
          <w:color w:val="000000" w:themeColor="text1"/>
          <w:sz w:val="20"/>
          <w:szCs w:val="20"/>
          <w:highlight w:val="none"/>
          <w14:textFill>
            <w14:solidFill>
              <w14:schemeClr w14:val="tx1"/>
            </w14:solidFill>
          </w14:textFill>
        </w:rPr>
        <w:t>理财</w:t>
      </w:r>
      <w:r>
        <w:rPr>
          <w:rFonts w:ascii="黑体" w:hAnsi="黑体" w:eastAsia="黑体"/>
          <w:b/>
          <w:color w:val="000000" w:themeColor="text1"/>
          <w:sz w:val="20"/>
          <w:szCs w:val="20"/>
          <w:highlight w:val="none"/>
          <w14:textFill>
            <w14:solidFill>
              <w14:schemeClr w14:val="tx1"/>
            </w14:solidFill>
          </w14:textFill>
        </w:rPr>
        <w:t>资金遭受损失。</w:t>
      </w:r>
      <w:r>
        <w:rPr>
          <w:rFonts w:hint="eastAsia" w:ascii="黑体" w:hAnsi="黑体" w:eastAsia="黑体"/>
          <w:b/>
          <w:color w:val="000000" w:themeColor="text1"/>
          <w:sz w:val="20"/>
          <w:szCs w:val="20"/>
          <w:highlight w:val="none"/>
          <w14:textFill>
            <w14:solidFill>
              <w14:schemeClr w14:val="tx1"/>
            </w14:solidFill>
          </w14:textFill>
        </w:rPr>
        <w:t>在</w:t>
      </w:r>
      <w:r>
        <w:rPr>
          <w:rFonts w:ascii="黑体" w:hAnsi="黑体" w:eastAsia="黑体"/>
          <w:b/>
          <w:color w:val="000000" w:themeColor="text1"/>
          <w:sz w:val="20"/>
          <w:szCs w:val="20"/>
          <w:highlight w:val="none"/>
          <w14:textFill>
            <w14:solidFill>
              <w14:schemeClr w14:val="tx1"/>
            </w14:solidFill>
          </w14:textFill>
        </w:rPr>
        <w:t>认购/申购时，如果投资者在合作销售机构的资金账户余额</w:t>
      </w:r>
      <w:r>
        <w:rPr>
          <w:rFonts w:hint="eastAsia" w:ascii="黑体" w:hAnsi="黑体" w:eastAsia="黑体"/>
          <w:b/>
          <w:color w:val="000000" w:themeColor="text1"/>
          <w:sz w:val="20"/>
          <w:szCs w:val="20"/>
          <w:highlight w:val="none"/>
          <w14:textFill>
            <w14:solidFill>
              <w14:schemeClr w14:val="tx1"/>
            </w14:solidFill>
          </w14:textFill>
        </w:rPr>
        <w:t>不足</w:t>
      </w:r>
      <w:r>
        <w:rPr>
          <w:rFonts w:ascii="黑体" w:hAnsi="黑体" w:eastAsia="黑体"/>
          <w:b/>
          <w:color w:val="000000" w:themeColor="text1"/>
          <w:sz w:val="20"/>
          <w:szCs w:val="20"/>
          <w:highlight w:val="none"/>
          <w14:textFill>
            <w14:solidFill>
              <w14:schemeClr w14:val="tx1"/>
            </w14:solidFill>
          </w14:textFill>
        </w:rPr>
        <w:t>，或合作销售机构</w:t>
      </w:r>
      <w:r>
        <w:rPr>
          <w:rFonts w:hint="eastAsia" w:ascii="黑体" w:hAnsi="黑体" w:eastAsia="黑体"/>
          <w:b/>
          <w:color w:val="000000" w:themeColor="text1"/>
          <w:sz w:val="20"/>
          <w:szCs w:val="20"/>
          <w:highlight w:val="none"/>
          <w14:textFill>
            <w14:solidFill>
              <w14:schemeClr w14:val="tx1"/>
            </w14:solidFill>
          </w14:textFill>
        </w:rPr>
        <w:t>未及时</w:t>
      </w:r>
      <w:r>
        <w:rPr>
          <w:rFonts w:ascii="黑体" w:hAnsi="黑体" w:eastAsia="黑体"/>
          <w:b/>
          <w:color w:val="000000" w:themeColor="text1"/>
          <w:sz w:val="20"/>
          <w:szCs w:val="20"/>
          <w:highlight w:val="none"/>
          <w14:textFill>
            <w14:solidFill>
              <w14:schemeClr w14:val="tx1"/>
            </w14:solidFill>
          </w14:textFill>
        </w:rPr>
        <w:t>将投资者认购/申购资金划转至信银理财，将导致投资者无法完成认购/申购，因此造成的损失</w:t>
      </w:r>
      <w:r>
        <w:rPr>
          <w:rFonts w:hint="eastAsia" w:ascii="黑体" w:hAnsi="黑体" w:eastAsia="黑体"/>
          <w:b/>
          <w:color w:val="000000" w:themeColor="text1"/>
          <w:sz w:val="20"/>
          <w:szCs w:val="20"/>
          <w:highlight w:val="none"/>
          <w14:textFill>
            <w14:solidFill>
              <w14:schemeClr w14:val="tx1"/>
            </w14:solidFill>
          </w14:textFill>
        </w:rPr>
        <w:t>信银理财</w:t>
      </w:r>
      <w:r>
        <w:rPr>
          <w:rFonts w:ascii="黑体" w:hAnsi="黑体" w:eastAsia="黑体"/>
          <w:b/>
          <w:color w:val="000000" w:themeColor="text1"/>
          <w:sz w:val="20"/>
          <w:szCs w:val="20"/>
          <w:highlight w:val="none"/>
          <w14:textFill>
            <w14:solidFill>
              <w14:schemeClr w14:val="tx1"/>
            </w14:solidFill>
          </w14:textFill>
        </w:rPr>
        <w:t>不承担责任；在赎回和到期时，</w:t>
      </w:r>
      <w:r>
        <w:rPr>
          <w:rFonts w:hint="eastAsia" w:ascii="黑体" w:hAnsi="黑体" w:eastAsia="黑体"/>
          <w:b/>
          <w:color w:val="000000" w:themeColor="text1"/>
          <w:sz w:val="20"/>
          <w:szCs w:val="20"/>
          <w:highlight w:val="none"/>
          <w14:textFill>
            <w14:solidFill>
              <w14:schemeClr w14:val="tx1"/>
            </w14:solidFill>
          </w14:textFill>
        </w:rPr>
        <w:t>信银理财</w:t>
      </w:r>
      <w:r>
        <w:rPr>
          <w:rFonts w:ascii="黑体" w:hAnsi="黑体" w:eastAsia="黑体"/>
          <w:b/>
          <w:color w:val="000000" w:themeColor="text1"/>
          <w:sz w:val="20"/>
          <w:szCs w:val="20"/>
          <w:highlight w:val="none"/>
          <w14:textFill>
            <w14:solidFill>
              <w14:schemeClr w14:val="tx1"/>
            </w14:solidFill>
          </w14:textFill>
        </w:rPr>
        <w:t>将投资者应得资金划转至合作</w:t>
      </w:r>
      <w:r>
        <w:rPr>
          <w:rFonts w:hint="eastAsia" w:ascii="黑体" w:hAnsi="黑体" w:eastAsia="黑体"/>
          <w:b/>
          <w:color w:val="000000" w:themeColor="text1"/>
          <w:sz w:val="20"/>
          <w:szCs w:val="20"/>
          <w:highlight w:val="none"/>
          <w14:textFill>
            <w14:solidFill>
              <w14:schemeClr w14:val="tx1"/>
            </w14:solidFill>
          </w14:textFill>
        </w:rPr>
        <w:t>销售</w:t>
      </w:r>
      <w:r>
        <w:rPr>
          <w:rFonts w:ascii="黑体" w:hAnsi="黑体" w:eastAsia="黑体"/>
          <w:b/>
          <w:color w:val="000000" w:themeColor="text1"/>
          <w:sz w:val="20"/>
          <w:szCs w:val="20"/>
          <w:highlight w:val="none"/>
          <w14:textFill>
            <w14:solidFill>
              <w14:schemeClr w14:val="tx1"/>
            </w14:solidFill>
          </w14:textFill>
        </w:rPr>
        <w:t>机构</w:t>
      </w:r>
      <w:r>
        <w:rPr>
          <w:rFonts w:hint="eastAsia" w:ascii="黑体" w:hAnsi="黑体" w:eastAsia="黑体"/>
          <w:b/>
          <w:color w:val="000000" w:themeColor="text1"/>
          <w:sz w:val="20"/>
          <w:szCs w:val="20"/>
          <w:highlight w:val="none"/>
          <w14:textFill>
            <w14:solidFill>
              <w14:schemeClr w14:val="tx1"/>
            </w14:solidFill>
          </w14:textFill>
        </w:rPr>
        <w:t>指定账户</w:t>
      </w:r>
      <w:r>
        <w:rPr>
          <w:rFonts w:ascii="黑体" w:hAnsi="黑体" w:eastAsia="黑体"/>
          <w:b/>
          <w:color w:val="000000" w:themeColor="text1"/>
          <w:sz w:val="20"/>
          <w:szCs w:val="20"/>
          <w:highlight w:val="none"/>
          <w14:textFill>
            <w14:solidFill>
              <w14:schemeClr w14:val="tx1"/>
            </w14:solidFill>
          </w14:textFill>
        </w:rPr>
        <w:t>后，由合作销售机构将相应应得资金划转至投资者账户</w:t>
      </w:r>
      <w:r>
        <w:rPr>
          <w:rFonts w:hint="eastAsia" w:ascii="黑体" w:hAnsi="黑体" w:eastAsia="黑体"/>
          <w:b/>
          <w:color w:val="000000" w:themeColor="text1"/>
          <w:sz w:val="20"/>
          <w:szCs w:val="20"/>
          <w:highlight w:val="none"/>
          <w14:textFill>
            <w14:solidFill>
              <w14:schemeClr w14:val="tx1"/>
            </w14:solidFill>
          </w14:textFill>
        </w:rPr>
        <w:t>。</w:t>
      </w:r>
      <w:r>
        <w:rPr>
          <w:rFonts w:ascii="黑体" w:hAnsi="黑体" w:eastAsia="黑体"/>
          <w:b/>
          <w:color w:val="000000" w:themeColor="text1"/>
          <w:sz w:val="20"/>
          <w:szCs w:val="20"/>
          <w:highlight w:val="none"/>
          <w14:textFill>
            <w14:solidFill>
              <w14:schemeClr w14:val="tx1"/>
            </w14:solidFill>
          </w14:textFill>
        </w:rPr>
        <w:t>若</w:t>
      </w:r>
      <w:r>
        <w:rPr>
          <w:rFonts w:hint="eastAsia" w:ascii="黑体" w:hAnsi="黑体" w:eastAsia="黑体"/>
          <w:b/>
          <w:color w:val="000000" w:themeColor="text1"/>
          <w:sz w:val="20"/>
          <w:szCs w:val="20"/>
          <w:highlight w:val="none"/>
          <w14:textFill>
            <w14:solidFill>
              <w14:schemeClr w14:val="tx1"/>
            </w14:solidFill>
          </w14:textFill>
        </w:rPr>
        <w:t>合作</w:t>
      </w:r>
      <w:r>
        <w:rPr>
          <w:rFonts w:ascii="黑体" w:hAnsi="黑体" w:eastAsia="黑体"/>
          <w:b/>
          <w:color w:val="000000" w:themeColor="text1"/>
          <w:sz w:val="20"/>
          <w:szCs w:val="20"/>
          <w:highlight w:val="none"/>
          <w14:textFill>
            <w14:solidFill>
              <w14:schemeClr w14:val="tx1"/>
            </w14:solidFill>
          </w14:textFill>
        </w:rPr>
        <w:t>销售机构未及时进行划付，因此造成的</w:t>
      </w:r>
      <w:r>
        <w:rPr>
          <w:rFonts w:hint="eastAsia" w:ascii="黑体" w:hAnsi="黑体" w:eastAsia="黑体"/>
          <w:b/>
          <w:color w:val="000000" w:themeColor="text1"/>
          <w:sz w:val="20"/>
          <w:szCs w:val="20"/>
          <w:highlight w:val="none"/>
          <w14:textFill>
            <w14:solidFill>
              <w14:schemeClr w14:val="tx1"/>
            </w14:solidFill>
          </w14:textFill>
        </w:rPr>
        <w:t>损失信银理财</w:t>
      </w:r>
      <w:r>
        <w:rPr>
          <w:rFonts w:ascii="黑体" w:hAnsi="黑体" w:eastAsia="黑体"/>
          <w:b/>
          <w:color w:val="000000" w:themeColor="text1"/>
          <w:sz w:val="20"/>
          <w:szCs w:val="20"/>
          <w:highlight w:val="none"/>
          <w14:textFill>
            <w14:solidFill>
              <w14:schemeClr w14:val="tx1"/>
            </w14:solidFill>
          </w14:textFill>
        </w:rPr>
        <w:t>不承担任何责任。</w:t>
      </w:r>
    </w:p>
    <w:p w14:paraId="2727BA5F">
      <w:pPr>
        <w:spacing w:line="300" w:lineRule="atLeast"/>
        <w:ind w:firstLine="402" w:firstLineChars="200"/>
        <w:jc w:val="both"/>
        <w:rPr>
          <w:rFonts w:ascii="黑体" w:hAnsi="黑体" w:eastAsia="黑体"/>
          <w:b/>
          <w:color w:val="000000" w:themeColor="text1"/>
          <w:sz w:val="20"/>
          <w:szCs w:val="20"/>
          <w:highlight w:val="none"/>
          <w14:textFill>
            <w14:solidFill>
              <w14:schemeClr w14:val="tx1"/>
            </w14:solidFill>
          </w14:textFill>
        </w:rPr>
      </w:pPr>
      <w:r>
        <w:rPr>
          <w:rFonts w:ascii="黑体" w:hAnsi="黑体" w:eastAsia="黑体"/>
          <w:b/>
          <w:color w:val="000000" w:themeColor="text1"/>
          <w:sz w:val="20"/>
          <w:szCs w:val="20"/>
          <w:highlight w:val="none"/>
          <w14:textFill>
            <w14:solidFill>
              <w14:schemeClr w14:val="tx1"/>
            </w14:solidFill>
          </w14:textFill>
        </w:rPr>
        <w:t>1</w:t>
      </w:r>
      <w:r>
        <w:rPr>
          <w:rFonts w:hint="eastAsia" w:ascii="黑体" w:hAnsi="黑体" w:eastAsia="黑体"/>
          <w:b/>
          <w:color w:val="000000" w:themeColor="text1"/>
          <w:sz w:val="20"/>
          <w:szCs w:val="20"/>
          <w:highlight w:val="none"/>
          <w:lang w:val="en-US" w:eastAsia="zh-CN"/>
          <w14:textFill>
            <w14:solidFill>
              <w14:schemeClr w14:val="tx1"/>
            </w14:solidFill>
          </w14:textFill>
        </w:rPr>
        <w:t>2</w:t>
      </w:r>
      <w:r>
        <w:rPr>
          <w:rFonts w:hint="eastAsia" w:ascii="黑体" w:hAnsi="黑体" w:eastAsia="黑体"/>
          <w:b/>
          <w:color w:val="000000" w:themeColor="text1"/>
          <w:sz w:val="20"/>
          <w:szCs w:val="20"/>
          <w:highlight w:val="none"/>
          <w14:textFill>
            <w14:solidFill>
              <w14:schemeClr w14:val="tx1"/>
            </w14:solidFill>
          </w14:textFill>
        </w:rPr>
        <w:t>．操作风险：如本理财产品管理人、</w:t>
      </w:r>
      <w:r>
        <w:rPr>
          <w:rFonts w:ascii="黑体" w:hAnsi="黑体" w:eastAsia="黑体"/>
          <w:b/>
          <w:color w:val="000000" w:themeColor="text1"/>
          <w:sz w:val="20"/>
          <w:szCs w:val="20"/>
          <w:highlight w:val="none"/>
          <w14:textFill>
            <w14:solidFill>
              <w14:schemeClr w14:val="tx1"/>
            </w14:solidFill>
          </w14:textFill>
        </w:rPr>
        <w:t>代销机构</w:t>
      </w:r>
      <w:r>
        <w:rPr>
          <w:rFonts w:hint="eastAsia" w:ascii="黑体" w:hAnsi="黑体" w:eastAsia="黑体"/>
          <w:b/>
          <w:color w:val="000000" w:themeColor="text1"/>
          <w:sz w:val="20"/>
          <w:szCs w:val="20"/>
          <w:highlight w:val="none"/>
          <w14:textFill>
            <w14:solidFill>
              <w14:schemeClr w14:val="tx1"/>
            </w14:solidFill>
          </w14:textFill>
        </w:rPr>
        <w:t>由于内部作业、人员管理、系统操作及事务处理不当或失误等，可能导致本理财产品的本金及收益遭受损失。</w:t>
      </w:r>
    </w:p>
    <w:p w14:paraId="7D4352F1">
      <w:pPr>
        <w:spacing w:line="300" w:lineRule="atLeast"/>
        <w:ind w:firstLine="428" w:firstLineChars="213"/>
        <w:jc w:val="both"/>
        <w:rPr>
          <w:rFonts w:hint="eastAsia" w:ascii="黑体" w:hAnsi="黑体" w:eastAsia="黑体"/>
          <w:b/>
          <w:color w:val="000000" w:themeColor="text1"/>
          <w:sz w:val="20"/>
          <w:szCs w:val="20"/>
          <w:highlight w:val="none"/>
          <w:lang w:eastAsia="zh-CN"/>
          <w14:textFill>
            <w14:solidFill>
              <w14:schemeClr w14:val="tx1"/>
            </w14:solidFill>
          </w14:textFill>
        </w:rPr>
      </w:pPr>
      <w:r>
        <w:rPr>
          <w:rFonts w:hint="eastAsia" w:ascii="黑体" w:hAnsi="黑体" w:eastAsia="黑体"/>
          <w:b/>
          <w:color w:val="000000" w:themeColor="text1"/>
          <w:sz w:val="20"/>
          <w:szCs w:val="20"/>
          <w:highlight w:val="none"/>
          <w:lang w:eastAsia="zh-CN"/>
          <w14:textFill>
            <w14:solidFill>
              <w14:schemeClr w14:val="tx1"/>
            </w14:solidFill>
          </w14:textFill>
        </w:rPr>
        <w:t>1</w:t>
      </w:r>
      <w:r>
        <w:rPr>
          <w:rFonts w:hint="eastAsia" w:ascii="黑体" w:hAnsi="黑体" w:eastAsia="黑体"/>
          <w:b/>
          <w:color w:val="000000" w:themeColor="text1"/>
          <w:sz w:val="20"/>
          <w:szCs w:val="20"/>
          <w:highlight w:val="none"/>
          <w:lang w:val="en-US" w:eastAsia="zh-CN"/>
          <w14:textFill>
            <w14:solidFill>
              <w14:schemeClr w14:val="tx1"/>
            </w14:solidFill>
          </w14:textFill>
        </w:rPr>
        <w:t>3</w:t>
      </w:r>
      <w:r>
        <w:rPr>
          <w:rFonts w:hint="eastAsia" w:ascii="黑体" w:hAnsi="黑体" w:eastAsia="黑体"/>
          <w:b/>
          <w:color w:val="000000" w:themeColor="text1"/>
          <w:sz w:val="20"/>
          <w:szCs w:val="20"/>
          <w:highlight w:val="none"/>
          <w:lang w:eastAsia="zh-CN"/>
          <w14:textFill>
            <w14:solidFill>
              <w14:schemeClr w14:val="tx1"/>
            </w14:solidFill>
          </w14:textFill>
        </w:rPr>
        <w:t>.关联交易风险：在合法合规且履行应履行的内外部程序后，理财产品可能与管理人及其控股股东、实际控制人等发生关联交易。本理财产品可能通过管理人的关联方进行托管、销售或作为投资顾问（如有），本理财产品的销售机构、托管人及投资顾问（如有）以说明书披露为准。上述各方在业务执行及实施上具有隔离机制，并符合相关法律法规要求，且上述各方将依照恪尽职守、诚实信用、谨慎勤勉的原则进行业务操作，但仍可能存在利益冲突。如果发生道德风险等情形将对投资者权益产生不利影响。</w:t>
      </w:r>
    </w:p>
    <w:p w14:paraId="26A76E93">
      <w:pPr>
        <w:snapToGrid w:val="0"/>
        <w:ind w:firstLine="402" w:firstLineChars="200"/>
        <w:jc w:val="both"/>
        <w:rPr>
          <w:rFonts w:hint="eastAsia" w:ascii="黑体" w:hAnsi="黑体" w:eastAsia="黑体"/>
          <w:b/>
          <w:color w:val="000000" w:themeColor="text1"/>
          <w:sz w:val="20"/>
          <w:szCs w:val="20"/>
          <w:highlight w:val="none"/>
          <w:lang w:eastAsia="zh-CN"/>
          <w14:textFill>
            <w14:solidFill>
              <w14:schemeClr w14:val="tx1"/>
            </w14:solidFill>
          </w14:textFill>
        </w:rPr>
      </w:pPr>
      <w:r>
        <w:rPr>
          <w:rFonts w:hint="eastAsia" w:ascii="黑体" w:hAnsi="Times New Roman" w:eastAsia="黑体" w:cs="黑体"/>
          <w:b/>
          <w:color w:val="000000" w:themeColor="text1"/>
          <w:sz w:val="20"/>
          <w:szCs w:val="20"/>
          <w:highlight w:val="none"/>
          <w:lang w:eastAsia="zh-CN"/>
          <w14:textFill>
            <w14:solidFill>
              <w14:schemeClr w14:val="tx1"/>
            </w14:solidFill>
          </w14:textFill>
        </w:rPr>
        <w:t>1</w:t>
      </w:r>
      <w:r>
        <w:rPr>
          <w:rFonts w:hint="eastAsia" w:ascii="黑体" w:hAnsi="Times New Roman" w:eastAsia="黑体" w:cs="黑体"/>
          <w:b/>
          <w:color w:val="000000" w:themeColor="text1"/>
          <w:sz w:val="20"/>
          <w:szCs w:val="20"/>
          <w:highlight w:val="none"/>
          <w:lang w:val="en-US" w:eastAsia="zh-CN"/>
          <w14:textFill>
            <w14:solidFill>
              <w14:schemeClr w14:val="tx1"/>
            </w14:solidFill>
          </w14:textFill>
        </w:rPr>
        <w:t>4</w:t>
      </w:r>
      <w:r>
        <w:rPr>
          <w:rFonts w:hint="eastAsia" w:ascii="黑体" w:hAnsi="Times New Roman" w:eastAsia="黑体" w:cs="黑体"/>
          <w:b/>
          <w:color w:val="000000" w:themeColor="text1"/>
          <w:sz w:val="20"/>
          <w:szCs w:val="20"/>
          <w:highlight w:val="none"/>
          <w:lang w:eastAsia="zh-CN"/>
          <w14:textFill>
            <w14:solidFill>
              <w14:schemeClr w14:val="tx1"/>
            </w14:solidFill>
          </w14:textFill>
        </w:rPr>
        <w:t>．理财本金全部损失风险（最不利投资情形下的投资结果）：本产品不保证本金和收益，由于发生本产品风险提示的相应风险，包括但不限于市场价格波动导致本产品投资工具贬值，或者投资工具发生信用违约，或不可抗力风险导致相应损失，则有可能造成本产品投资资金部分或全部损失，最不利情形下投资者将可能损失全部本金及收益（如有）。</w:t>
      </w:r>
      <w:r>
        <w:rPr>
          <w:rFonts w:hint="eastAsia" w:ascii="黑体" w:hAnsi="Times New Roman" w:eastAsia="黑体" w:cs="黑体"/>
          <w:b/>
          <w:color w:val="000000" w:themeColor="text1"/>
          <w:sz w:val="20"/>
          <w:szCs w:val="20"/>
          <w:highlight w:val="none"/>
          <w14:textFill>
            <w14:solidFill>
              <w14:schemeClr w14:val="tx1"/>
            </w14:solidFill>
          </w14:textFill>
        </w:rPr>
        <w:t xml:space="preserve"> </w:t>
      </w:r>
    </w:p>
    <w:p w14:paraId="597E3557">
      <w:pPr>
        <w:spacing w:line="300" w:lineRule="atLeast"/>
        <w:ind w:firstLine="402" w:firstLineChars="200"/>
        <w:jc w:val="both"/>
        <w:rPr>
          <w:rFonts w:hint="eastAsia" w:ascii="黑体" w:hAnsi="黑体" w:eastAsia="黑体"/>
          <w:b/>
          <w:color w:val="000000" w:themeColor="text1"/>
          <w:sz w:val="20"/>
          <w:szCs w:val="20"/>
          <w:highlight w:val="none"/>
          <w14:textFill>
            <w14:solidFill>
              <w14:schemeClr w14:val="tx1"/>
            </w14:solidFill>
          </w14:textFill>
        </w:rPr>
      </w:pPr>
      <w:r>
        <w:rPr>
          <w:rFonts w:hint="eastAsia" w:ascii="黑体" w:hAnsi="黑体" w:eastAsia="黑体"/>
          <w:b/>
          <w:color w:val="000000" w:themeColor="text1"/>
          <w:sz w:val="20"/>
          <w:szCs w:val="20"/>
          <w:highlight w:val="none"/>
          <w14:textFill>
            <w14:solidFill>
              <w14:schemeClr w14:val="tx1"/>
            </w14:solidFill>
          </w14:textFill>
        </w:rPr>
        <w:t>以上风险事项仅为列举性质，未能详尽列明投资本产品可能面临的全部风险和可能导致投资者投资本金及收益损失的所有因素，请投资者充分评估投资风险。理财产品管理人承诺以诚实守信、勤勉尽职的原则管理和运用理财产品资金，在理财产品募集、存续、终止各环节实施全面风险管理，对产品面临的上述风险持续进行识别、评估、监测、报告，对不同风险特性采用分散、对冲、转移、规避、补偿或缓释等手段对风险进行控制。管理人上述风险管控措施为管理人基于正常市场环境及合理预期而设，不构成管理人对理财产品风险的完全消除或对理财产品本金安全和理财产品收益的任何承诺与保证。理财产品在实际运作中仍可能因市场、政策、不可抗力等各类因素而遭受超出管理人风险控制措施覆盖范围的风险事件，从而导致理财产品净值波动乃至本金损失。</w:t>
      </w:r>
    </w:p>
    <w:p w14:paraId="1EFB08A7">
      <w:pPr>
        <w:snapToGrid w:val="0"/>
        <w:ind w:left="-2" w:leftChars="-1" w:right="53" w:rightChars="22"/>
        <w:rPr>
          <w:rFonts w:ascii="黑体" w:hAnsi="Times New Roman" w:eastAsia="黑体" w:cs="黑体"/>
          <w:b/>
          <w:sz w:val="20"/>
          <w:szCs w:val="20"/>
          <w:highlight w:val="none"/>
        </w:rPr>
      </w:pPr>
      <w:r>
        <w:rPr>
          <w:rFonts w:hint="eastAsia" w:ascii="黑体" w:hAnsi="Times New Roman" w:eastAsia="黑体" w:cs="黑体"/>
          <w:b/>
          <w:sz w:val="20"/>
          <w:szCs w:val="20"/>
          <w:highlight w:val="none"/>
        </w:rPr>
        <w:t xml:space="preserve"> </w:t>
      </w:r>
    </w:p>
    <w:p w14:paraId="39FC3FE9">
      <w:pPr>
        <w:snapToGrid w:val="0"/>
        <w:ind w:left="-2" w:leftChars="-1" w:right="53" w:rightChars="22"/>
        <w:rPr>
          <w:rFonts w:ascii="黑体" w:hAnsi="Times New Roman" w:eastAsia="黑体" w:cs="黑体"/>
          <w:b/>
          <w:bCs/>
          <w:color w:val="000000" w:themeColor="text1"/>
          <w:sz w:val="20"/>
          <w:szCs w:val="20"/>
          <w:highlight w:val="none"/>
          <w14:textFill>
            <w14:solidFill>
              <w14:schemeClr w14:val="tx1"/>
            </w14:solidFill>
          </w14:textFill>
        </w:rPr>
      </w:pPr>
      <w:r>
        <w:rPr>
          <w:rFonts w:hint="eastAsia" w:ascii="黑体" w:hAnsi="Times New Roman" w:eastAsia="黑体" w:cs="黑体"/>
          <w:b/>
          <w:bCs/>
          <w:color w:val="000000" w:themeColor="text1"/>
          <w:sz w:val="20"/>
          <w:szCs w:val="20"/>
          <w:highlight w:val="none"/>
          <w14:textFill>
            <w14:solidFill>
              <w14:schemeClr w14:val="tx1"/>
            </w14:solidFill>
          </w14:textFill>
        </w:rPr>
        <w:t>释义与定义：</w:t>
      </w:r>
    </w:p>
    <w:p w14:paraId="54DA1103">
      <w:p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在</w:t>
      </w:r>
      <w:r>
        <w:rPr>
          <w:rFonts w:ascii="黑体" w:hAnsi="黑体" w:eastAsia="黑体"/>
          <w:color w:val="000000" w:themeColor="text1"/>
          <w:sz w:val="20"/>
          <w:szCs w:val="20"/>
          <w:highlight w:val="none"/>
          <w14:textFill>
            <w14:solidFill>
              <w14:schemeClr w14:val="tx1"/>
            </w14:solidFill>
          </w14:textFill>
        </w:rPr>
        <w:t>本产品说明书中，除非上下文另有明确约定，下列用词将具有如下含义：</w:t>
      </w:r>
    </w:p>
    <w:p w14:paraId="61EBCF46">
      <w:pPr>
        <w:pStyle w:val="19"/>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1．信银理财有限责任公司（简称“信银理财”）：为中信银行股份有限公司经国务院银行业监督管理机构批准设立的主要从事理财业务的金融机构。</w:t>
      </w:r>
    </w:p>
    <w:p w14:paraId="00C55943">
      <w:pPr>
        <w:pStyle w:val="19"/>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2．理财业务：指信银理财接受投资者委托，按照与投资者约定的投资策略、风险承担和收益分配方式，对受托的投资者财产进行投资和管理的金融服务。</w:t>
      </w:r>
    </w:p>
    <w:p w14:paraId="558556EE">
      <w:pPr>
        <w:pStyle w:val="19"/>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3．理财产品/产品：是指信银理财按照约定条件和实际投资收益情况向投资者支付收益、不保证本金支付和收益水平的非保本理财产品。根据募集方式、运作方式、投资性质的不同，理财产品分为多种类型。</w:t>
      </w:r>
    </w:p>
    <w:p w14:paraId="6BAE6F00">
      <w:pPr>
        <w:pStyle w:val="19"/>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4．投资者/客户：指符合相关法律法规、监管规定要求的，可以购买理财产品的自然人、法人和非法人组织。其中，个人投资者指符合相关法律法规、监管规定要求的，经管理人或代销机构的个人投资者投资风险承受能力评估体系评定为适合的自然人；机构投资者指符合相关法律法规、监管规定要求的法人和非法人组织。个人投资者和机构投资者合称投资者。</w:t>
      </w:r>
    </w:p>
    <w:p w14:paraId="15255A76">
      <w:pPr>
        <w:pStyle w:val="19"/>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5．理财产品资产净值</w:t>
      </w:r>
      <w:r>
        <w:rPr>
          <w:rFonts w:ascii="黑体" w:hAnsi="黑体" w:eastAsia="黑体"/>
          <w:color w:val="000000" w:themeColor="text1"/>
          <w:sz w:val="20"/>
          <w:szCs w:val="20"/>
          <w:highlight w:val="none"/>
          <w14:textFill>
            <w14:solidFill>
              <w14:schemeClr w14:val="tx1"/>
            </w14:solidFill>
          </w14:textFill>
        </w:rPr>
        <w:t>/资产净值</w:t>
      </w:r>
      <w:r>
        <w:rPr>
          <w:rFonts w:hint="eastAsia" w:ascii="黑体" w:hAnsi="黑体" w:eastAsia="黑体"/>
          <w:color w:val="000000" w:themeColor="text1"/>
          <w:sz w:val="20"/>
          <w:szCs w:val="20"/>
          <w:highlight w:val="none"/>
          <w14:textFill>
            <w14:solidFill>
              <w14:schemeClr w14:val="tx1"/>
            </w14:solidFill>
          </w14:textFill>
        </w:rPr>
        <w:t>/净</w:t>
      </w:r>
      <w:r>
        <w:rPr>
          <w:rFonts w:ascii="黑体" w:hAnsi="黑体" w:eastAsia="黑体"/>
          <w:color w:val="000000" w:themeColor="text1"/>
          <w:sz w:val="20"/>
          <w:szCs w:val="20"/>
          <w:highlight w:val="none"/>
          <w14:textFill>
            <w14:solidFill>
              <w14:schemeClr w14:val="tx1"/>
            </w14:solidFill>
          </w14:textFill>
        </w:rPr>
        <w:t>资产：资产净值=产品资产总值-产品负</w:t>
      </w:r>
      <w:r>
        <w:rPr>
          <w:rFonts w:hint="eastAsia" w:ascii="黑体" w:hAnsi="黑体" w:eastAsia="黑体"/>
          <w:color w:val="000000" w:themeColor="text1"/>
          <w:sz w:val="20"/>
          <w:szCs w:val="20"/>
          <w:highlight w:val="none"/>
          <w14:textFill>
            <w14:solidFill>
              <w14:schemeClr w14:val="tx1"/>
            </w14:solidFill>
          </w14:textFill>
        </w:rPr>
        <w:t>债总值。产品资产总值是指产品拥有的各类有价证券、银行存款、应收款项及其他资产的价值总和。产品负债总值是指产品运作及融资时形成的负债价值总和，包括融资资金本息、应付各项费用、应付税金及其他应付款项等。</w:t>
      </w:r>
    </w:p>
    <w:p w14:paraId="5FC36E95">
      <w:pPr>
        <w:snapToGrid w:val="0"/>
        <w:ind w:firstLine="400" w:firstLineChars="200"/>
        <w:jc w:val="both"/>
        <w:rPr>
          <w:rFonts w:ascii="黑体" w:hAnsi="Times New Roman"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6．</w:t>
      </w:r>
      <w:r>
        <w:rPr>
          <w:rFonts w:ascii="黑体" w:hAnsi="黑体" w:eastAsia="黑体"/>
          <w:color w:val="000000" w:themeColor="text1"/>
          <w:sz w:val="20"/>
          <w:szCs w:val="20"/>
          <w:highlight w:val="none"/>
          <w14:textFill>
            <w14:solidFill>
              <w14:schemeClr w14:val="tx1"/>
            </w14:solidFill>
          </w14:textFill>
        </w:rPr>
        <w:t>理财产品单位净值/单位净值</w:t>
      </w:r>
      <w:r>
        <w:rPr>
          <w:rFonts w:hint="eastAsia" w:ascii="黑体" w:hAnsi="黑体" w:eastAsia="黑体"/>
          <w:color w:val="000000" w:themeColor="text1"/>
          <w:sz w:val="20"/>
          <w:szCs w:val="20"/>
          <w:highlight w:val="none"/>
          <w14:textFill>
            <w14:solidFill>
              <w14:schemeClr w14:val="tx1"/>
            </w14:solidFill>
          </w14:textFill>
        </w:rPr>
        <w:t>/份额净值</w:t>
      </w:r>
      <w:r>
        <w:rPr>
          <w:rFonts w:ascii="黑体" w:hAnsi="黑体" w:eastAsia="黑体"/>
          <w:color w:val="000000" w:themeColor="text1"/>
          <w:sz w:val="20"/>
          <w:szCs w:val="20"/>
          <w:highlight w:val="none"/>
          <w14:textFill>
            <w14:solidFill>
              <w14:schemeClr w14:val="tx1"/>
            </w14:solidFill>
          </w14:textFill>
        </w:rPr>
        <w:t>：指理财产品份额的单位净值，即每1</w:t>
      </w:r>
      <w:r>
        <w:rPr>
          <w:rFonts w:hint="eastAsia" w:ascii="黑体" w:hAnsi="黑体" w:eastAsia="黑体"/>
          <w:color w:val="000000" w:themeColor="text1"/>
          <w:sz w:val="20"/>
          <w:szCs w:val="20"/>
          <w:highlight w:val="none"/>
          <w14:textFill>
            <w14:solidFill>
              <w14:schemeClr w14:val="tx1"/>
            </w14:solidFill>
          </w14:textFill>
        </w:rPr>
        <w:t>份理财产品份额以人民币计价的价格。理财产品单位净值</w:t>
      </w:r>
      <w:r>
        <w:rPr>
          <w:rFonts w:ascii="黑体" w:hAnsi="黑体" w:eastAsia="黑体"/>
          <w:color w:val="000000" w:themeColor="text1"/>
          <w:sz w:val="20"/>
          <w:szCs w:val="20"/>
          <w:highlight w:val="none"/>
          <w14:textFill>
            <w14:solidFill>
              <w14:schemeClr w14:val="tx1"/>
            </w14:solidFill>
          </w14:textFill>
        </w:rPr>
        <w:t>=当日理财产品资产净值/当日理财产品存续份额，投资者按该</w:t>
      </w:r>
      <w:r>
        <w:rPr>
          <w:rFonts w:hint="eastAsia" w:ascii="黑体" w:hAnsi="黑体" w:eastAsia="黑体"/>
          <w:color w:val="000000" w:themeColor="text1"/>
          <w:sz w:val="20"/>
          <w:szCs w:val="20"/>
          <w:highlight w:val="none"/>
          <w14:textFill>
            <w14:solidFill>
              <w14:schemeClr w14:val="tx1"/>
            </w14:solidFill>
          </w14:textFill>
        </w:rPr>
        <w:t>理财产品单位净值进行理财产品申购、赎回。</w:t>
      </w:r>
      <w:r>
        <w:rPr>
          <w:rFonts w:ascii="黑体" w:hAnsi="Times New Roman" w:eastAsia="黑体"/>
          <w:color w:val="000000" w:themeColor="text1"/>
          <w:sz w:val="20"/>
          <w:szCs w:val="20"/>
          <w:highlight w:val="none"/>
          <w14:textFill>
            <w14:solidFill>
              <w14:schemeClr w14:val="tx1"/>
            </w14:solidFill>
          </w14:textFill>
        </w:rPr>
        <w:t> </w:t>
      </w:r>
    </w:p>
    <w:p w14:paraId="0386829B">
      <w:pPr>
        <w:pStyle w:val="19"/>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7．理财</w:t>
      </w:r>
      <w:r>
        <w:rPr>
          <w:rFonts w:ascii="黑体" w:hAnsi="黑体" w:eastAsia="黑体"/>
          <w:color w:val="000000" w:themeColor="text1"/>
          <w:sz w:val="20"/>
          <w:szCs w:val="20"/>
          <w:highlight w:val="none"/>
          <w14:textFill>
            <w14:solidFill>
              <w14:schemeClr w14:val="tx1"/>
            </w14:solidFill>
          </w14:textFill>
        </w:rPr>
        <w:t>产品本金</w:t>
      </w:r>
      <w:r>
        <w:rPr>
          <w:rFonts w:hint="eastAsia" w:ascii="黑体" w:hAnsi="黑体" w:eastAsia="黑体"/>
          <w:color w:val="000000" w:themeColor="text1"/>
          <w:sz w:val="20"/>
          <w:szCs w:val="20"/>
          <w:highlight w:val="none"/>
          <w14:textFill>
            <w14:solidFill>
              <w14:schemeClr w14:val="tx1"/>
            </w14:solidFill>
          </w14:textFill>
        </w:rPr>
        <w:t>/投资本金/本金</w:t>
      </w:r>
      <w:r>
        <w:rPr>
          <w:rFonts w:ascii="黑体" w:hAnsi="黑体" w:eastAsia="黑体"/>
          <w:color w:val="000000" w:themeColor="text1"/>
          <w:sz w:val="20"/>
          <w:szCs w:val="20"/>
          <w:highlight w:val="none"/>
          <w14:textFill>
            <w14:solidFill>
              <w14:schemeClr w14:val="tx1"/>
            </w14:solidFill>
          </w14:textFill>
        </w:rPr>
        <w:t>：指投资者为认购</w:t>
      </w:r>
      <w:r>
        <w:rPr>
          <w:rFonts w:hint="eastAsia" w:ascii="黑体" w:hAnsi="黑体" w:eastAsia="黑体"/>
          <w:color w:val="000000" w:themeColor="text1"/>
          <w:sz w:val="20"/>
          <w:szCs w:val="20"/>
          <w:highlight w:val="none"/>
          <w14:textFill>
            <w14:solidFill>
              <w14:schemeClr w14:val="tx1"/>
            </w14:solidFill>
          </w14:textFill>
        </w:rPr>
        <w:t>/申购</w:t>
      </w:r>
      <w:r>
        <w:rPr>
          <w:rFonts w:ascii="黑体" w:hAnsi="黑体" w:eastAsia="黑体"/>
          <w:color w:val="000000" w:themeColor="text1"/>
          <w:sz w:val="20"/>
          <w:szCs w:val="20"/>
          <w:highlight w:val="none"/>
          <w14:textFill>
            <w14:solidFill>
              <w14:schemeClr w14:val="tx1"/>
            </w14:solidFill>
          </w14:textFill>
        </w:rPr>
        <w:t>理财</w:t>
      </w:r>
      <w:r>
        <w:rPr>
          <w:rFonts w:hint="eastAsia" w:ascii="黑体" w:hAnsi="黑体" w:eastAsia="黑体"/>
          <w:color w:val="000000" w:themeColor="text1"/>
          <w:sz w:val="20"/>
          <w:szCs w:val="20"/>
          <w:highlight w:val="none"/>
          <w14:textFill>
            <w14:solidFill>
              <w14:schemeClr w14:val="tx1"/>
            </w14:solidFill>
          </w14:textFill>
        </w:rPr>
        <w:t>产品</w:t>
      </w:r>
      <w:r>
        <w:rPr>
          <w:rFonts w:ascii="黑体" w:hAnsi="黑体" w:eastAsia="黑体"/>
          <w:color w:val="000000" w:themeColor="text1"/>
          <w:sz w:val="20"/>
          <w:szCs w:val="20"/>
          <w:highlight w:val="none"/>
          <w14:textFill>
            <w14:solidFill>
              <w14:schemeClr w14:val="tx1"/>
            </w14:solidFill>
          </w14:textFill>
        </w:rPr>
        <w:t>份额而向理财产品管理人交付的货币资金</w:t>
      </w:r>
      <w:r>
        <w:rPr>
          <w:rFonts w:hint="eastAsia" w:ascii="黑体" w:hAnsi="黑体" w:eastAsia="黑体"/>
          <w:color w:val="000000" w:themeColor="text1"/>
          <w:sz w:val="20"/>
          <w:szCs w:val="20"/>
          <w:highlight w:val="none"/>
          <w14:textFill>
            <w14:solidFill>
              <w14:schemeClr w14:val="tx1"/>
            </w14:solidFill>
          </w14:textFill>
        </w:rPr>
        <w:t>，扣除</w:t>
      </w:r>
      <w:r>
        <w:rPr>
          <w:rFonts w:ascii="黑体" w:hAnsi="黑体" w:eastAsia="黑体"/>
          <w:color w:val="000000" w:themeColor="text1"/>
          <w:sz w:val="20"/>
          <w:szCs w:val="20"/>
          <w:highlight w:val="none"/>
          <w14:textFill>
            <w14:solidFill>
              <w14:schemeClr w14:val="tx1"/>
            </w14:solidFill>
          </w14:textFill>
        </w:rPr>
        <w:t>认购费</w:t>
      </w:r>
      <w:r>
        <w:rPr>
          <w:rFonts w:hint="eastAsia" w:ascii="黑体" w:hAnsi="黑体" w:eastAsia="黑体"/>
          <w:color w:val="000000" w:themeColor="text1"/>
          <w:sz w:val="20"/>
          <w:szCs w:val="20"/>
          <w:highlight w:val="none"/>
          <w14:textFill>
            <w14:solidFill>
              <w14:schemeClr w14:val="tx1"/>
            </w14:solidFill>
          </w14:textFill>
        </w:rPr>
        <w:t>/申购费</w:t>
      </w:r>
      <w:r>
        <w:rPr>
          <w:rFonts w:ascii="黑体" w:hAnsi="黑体" w:eastAsia="黑体"/>
          <w:color w:val="000000" w:themeColor="text1"/>
          <w:sz w:val="20"/>
          <w:szCs w:val="20"/>
          <w:highlight w:val="none"/>
          <w14:textFill>
            <w14:solidFill>
              <w14:schemeClr w14:val="tx1"/>
            </w14:solidFill>
          </w14:textFill>
        </w:rPr>
        <w:t>后即投资者的投资</w:t>
      </w:r>
      <w:r>
        <w:rPr>
          <w:rFonts w:hint="eastAsia" w:ascii="黑体" w:hAnsi="黑体" w:eastAsia="黑体"/>
          <w:color w:val="000000" w:themeColor="text1"/>
          <w:sz w:val="20"/>
          <w:szCs w:val="20"/>
          <w:highlight w:val="none"/>
          <w14:textFill>
            <w14:solidFill>
              <w14:schemeClr w14:val="tx1"/>
            </w14:solidFill>
          </w14:textFill>
        </w:rPr>
        <w:t>本金。</w:t>
      </w:r>
      <w:r>
        <w:rPr>
          <w:rFonts w:ascii="黑体" w:hAnsi="黑体" w:eastAsia="黑体"/>
          <w:color w:val="000000" w:themeColor="text1"/>
          <w:sz w:val="20"/>
          <w:szCs w:val="20"/>
          <w:highlight w:val="none"/>
          <w14:textFill>
            <w14:solidFill>
              <w14:schemeClr w14:val="tx1"/>
            </w14:solidFill>
          </w14:textFill>
        </w:rPr>
        <w:t>本金</w:t>
      </w:r>
      <w:r>
        <w:rPr>
          <w:rFonts w:hint="eastAsia" w:ascii="黑体" w:hAnsi="黑体" w:eastAsia="黑体"/>
          <w:color w:val="000000" w:themeColor="text1"/>
          <w:sz w:val="20"/>
          <w:szCs w:val="20"/>
          <w:highlight w:val="none"/>
          <w14:textFill>
            <w14:solidFill>
              <w14:schemeClr w14:val="tx1"/>
            </w14:solidFill>
          </w14:textFill>
        </w:rPr>
        <w:t>的</w:t>
      </w:r>
      <w:r>
        <w:rPr>
          <w:rFonts w:ascii="黑体" w:hAnsi="黑体" w:eastAsia="黑体"/>
          <w:color w:val="000000" w:themeColor="text1"/>
          <w:sz w:val="20"/>
          <w:szCs w:val="20"/>
          <w:highlight w:val="none"/>
          <w14:textFill>
            <w14:solidFill>
              <w14:schemeClr w14:val="tx1"/>
            </w14:solidFill>
          </w14:textFill>
        </w:rPr>
        <w:t>称谓</w:t>
      </w:r>
      <w:r>
        <w:rPr>
          <w:rFonts w:ascii="黑体" w:hAnsi="黑体" w:eastAsia="黑体"/>
          <w:sz w:val="20"/>
          <w:szCs w:val="20"/>
          <w:highlight w:val="none"/>
        </w:rPr>
        <w:t>仅为产品估值和核算方便而设，</w:t>
      </w:r>
      <w:r>
        <w:rPr>
          <w:rFonts w:hint="eastAsia" w:ascii="黑体" w:hAnsi="黑体" w:eastAsia="黑体"/>
          <w:color w:val="000000" w:themeColor="text1"/>
          <w:sz w:val="20"/>
          <w:szCs w:val="20"/>
          <w:highlight w:val="none"/>
          <w14:textFill>
            <w14:solidFill>
              <w14:schemeClr w14:val="tx1"/>
            </w14:solidFill>
          </w14:textFill>
        </w:rPr>
        <w:t>不代表对</w:t>
      </w:r>
      <w:r>
        <w:rPr>
          <w:rFonts w:ascii="黑体" w:hAnsi="黑体" w:eastAsia="黑体"/>
          <w:color w:val="000000" w:themeColor="text1"/>
          <w:sz w:val="20"/>
          <w:szCs w:val="20"/>
          <w:highlight w:val="none"/>
          <w14:textFill>
            <w14:solidFill>
              <w14:schemeClr w14:val="tx1"/>
            </w14:solidFill>
          </w14:textFill>
        </w:rPr>
        <w:t>投资资金不受损失的承诺。</w:t>
      </w:r>
    </w:p>
    <w:p w14:paraId="4D3B2779">
      <w:pPr>
        <w:pStyle w:val="19"/>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8．理财产品</w:t>
      </w:r>
      <w:r>
        <w:rPr>
          <w:rFonts w:ascii="黑体" w:hAnsi="黑体" w:eastAsia="黑体"/>
          <w:color w:val="000000" w:themeColor="text1"/>
          <w:sz w:val="20"/>
          <w:szCs w:val="20"/>
          <w:highlight w:val="none"/>
          <w14:textFill>
            <w14:solidFill>
              <w14:schemeClr w14:val="tx1"/>
            </w14:solidFill>
          </w14:textFill>
        </w:rPr>
        <w:t>收益</w:t>
      </w:r>
      <w:r>
        <w:rPr>
          <w:rFonts w:hint="eastAsia" w:ascii="黑体" w:hAnsi="黑体" w:eastAsia="黑体"/>
          <w:color w:val="000000" w:themeColor="text1"/>
          <w:sz w:val="20"/>
          <w:szCs w:val="20"/>
          <w:highlight w:val="none"/>
          <w14:textFill>
            <w14:solidFill>
              <w14:schemeClr w14:val="tx1"/>
            </w14:solidFill>
          </w14:textFill>
        </w:rPr>
        <w:t>/投资</w:t>
      </w:r>
      <w:r>
        <w:rPr>
          <w:rFonts w:ascii="黑体" w:hAnsi="黑体" w:eastAsia="黑体"/>
          <w:color w:val="000000" w:themeColor="text1"/>
          <w:sz w:val="20"/>
          <w:szCs w:val="20"/>
          <w:highlight w:val="none"/>
          <w14:textFill>
            <w14:solidFill>
              <w14:schemeClr w14:val="tx1"/>
            </w14:solidFill>
          </w14:textFill>
        </w:rPr>
        <w:t>收益</w:t>
      </w:r>
      <w:r>
        <w:rPr>
          <w:rFonts w:hint="eastAsia" w:ascii="黑体" w:hAnsi="黑体" w:eastAsia="黑体"/>
          <w:color w:val="000000" w:themeColor="text1"/>
          <w:sz w:val="20"/>
          <w:szCs w:val="20"/>
          <w:highlight w:val="none"/>
          <w14:textFill>
            <w14:solidFill>
              <w14:schemeClr w14:val="tx1"/>
            </w14:solidFill>
          </w14:textFill>
        </w:rPr>
        <w:t>/收益</w:t>
      </w:r>
      <w:r>
        <w:rPr>
          <w:rFonts w:ascii="黑体" w:hAnsi="黑体" w:eastAsia="黑体"/>
          <w:color w:val="000000" w:themeColor="text1"/>
          <w:sz w:val="20"/>
          <w:szCs w:val="20"/>
          <w:highlight w:val="none"/>
          <w14:textFill>
            <w14:solidFill>
              <w14:schemeClr w14:val="tx1"/>
            </w14:solidFill>
          </w14:textFill>
        </w:rPr>
        <w:t>：</w:t>
      </w:r>
      <w:r>
        <w:rPr>
          <w:rFonts w:hint="eastAsia" w:ascii="黑体" w:hAnsi="黑体" w:eastAsia="黑体"/>
          <w:color w:val="000000" w:themeColor="text1"/>
          <w:sz w:val="20"/>
          <w:szCs w:val="20"/>
          <w:highlight w:val="none"/>
          <w14:textFill>
            <w14:solidFill>
              <w14:schemeClr w14:val="tx1"/>
            </w14:solidFill>
          </w14:textFill>
        </w:rPr>
        <w:t>指</w:t>
      </w:r>
      <w:r>
        <w:rPr>
          <w:rFonts w:ascii="黑体" w:hAnsi="黑体" w:eastAsia="黑体"/>
          <w:color w:val="000000" w:themeColor="text1"/>
          <w:sz w:val="20"/>
          <w:szCs w:val="20"/>
          <w:highlight w:val="none"/>
          <w14:textFill>
            <w14:solidFill>
              <w14:schemeClr w14:val="tx1"/>
            </w14:solidFill>
          </w14:textFill>
        </w:rPr>
        <w:t>投资者投资理财产品获得的投资收益。</w:t>
      </w:r>
    </w:p>
    <w:p w14:paraId="60DA1335">
      <w:pPr>
        <w:pStyle w:val="19"/>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ascii="黑体" w:hAnsi="黑体" w:eastAsia="黑体"/>
          <w:color w:val="000000" w:themeColor="text1"/>
          <w:sz w:val="20"/>
          <w:szCs w:val="20"/>
          <w:highlight w:val="none"/>
          <w14:textFill>
            <w14:solidFill>
              <w14:schemeClr w14:val="tx1"/>
            </w14:solidFill>
          </w14:textFill>
        </w:rPr>
        <w:t>9</w:t>
      </w:r>
      <w:r>
        <w:rPr>
          <w:rFonts w:hint="eastAsia" w:ascii="黑体" w:hAnsi="黑体" w:eastAsia="黑体"/>
          <w:color w:val="000000" w:themeColor="text1"/>
          <w:sz w:val="20"/>
          <w:szCs w:val="20"/>
          <w:highlight w:val="none"/>
          <w14:textFill>
            <w14:solidFill>
              <w14:schemeClr w14:val="tx1"/>
            </w14:solidFill>
          </w14:textFill>
        </w:rPr>
        <w:t>．合作销售机构/代销机构：指</w:t>
      </w:r>
      <w:r>
        <w:rPr>
          <w:rFonts w:ascii="黑体" w:hAnsi="黑体" w:eastAsia="黑体"/>
          <w:color w:val="000000" w:themeColor="text1"/>
          <w:sz w:val="20"/>
          <w:szCs w:val="20"/>
          <w:highlight w:val="none"/>
          <w14:textFill>
            <w14:solidFill>
              <w14:schemeClr w14:val="tx1"/>
            </w14:solidFill>
          </w14:textFill>
        </w:rPr>
        <w:t>接受</w:t>
      </w:r>
      <w:r>
        <w:rPr>
          <w:rFonts w:hint="eastAsia" w:ascii="黑体" w:hAnsi="黑体" w:eastAsia="黑体"/>
          <w:color w:val="000000" w:themeColor="text1"/>
          <w:sz w:val="20"/>
          <w:szCs w:val="20"/>
          <w:highlight w:val="none"/>
          <w14:textFill>
            <w14:solidFill>
              <w14:schemeClr w14:val="tx1"/>
            </w14:solidFill>
          </w14:textFill>
        </w:rPr>
        <w:t>信银</w:t>
      </w:r>
      <w:r>
        <w:rPr>
          <w:rFonts w:ascii="黑体" w:hAnsi="黑体" w:eastAsia="黑体"/>
          <w:color w:val="000000" w:themeColor="text1"/>
          <w:sz w:val="20"/>
          <w:szCs w:val="20"/>
          <w:highlight w:val="none"/>
          <w14:textFill>
            <w14:solidFill>
              <w14:schemeClr w14:val="tx1"/>
            </w14:solidFill>
          </w14:textFill>
        </w:rPr>
        <w:t>理财委托</w:t>
      </w:r>
      <w:r>
        <w:rPr>
          <w:rFonts w:hint="eastAsia" w:ascii="黑体" w:hAnsi="黑体" w:eastAsia="黑体"/>
          <w:color w:val="000000" w:themeColor="text1"/>
          <w:sz w:val="20"/>
          <w:szCs w:val="20"/>
          <w:highlight w:val="none"/>
          <w14:textFill>
            <w14:solidFill>
              <w14:schemeClr w14:val="tx1"/>
            </w14:solidFill>
          </w14:textFill>
        </w:rPr>
        <w:t>在</w:t>
      </w:r>
      <w:r>
        <w:rPr>
          <w:rFonts w:ascii="黑体" w:hAnsi="黑体" w:eastAsia="黑体"/>
          <w:color w:val="000000" w:themeColor="text1"/>
          <w:sz w:val="20"/>
          <w:szCs w:val="20"/>
          <w:highlight w:val="none"/>
          <w14:textFill>
            <w14:solidFill>
              <w14:schemeClr w14:val="tx1"/>
            </w14:solidFill>
          </w14:textFill>
        </w:rPr>
        <w:t>其销售渠道</w:t>
      </w:r>
      <w:r>
        <w:rPr>
          <w:rFonts w:hint="eastAsia" w:ascii="黑体" w:hAnsi="黑体" w:eastAsia="黑体"/>
          <w:color w:val="000000" w:themeColor="text1"/>
          <w:sz w:val="20"/>
          <w:szCs w:val="20"/>
          <w:highlight w:val="none"/>
          <w14:textFill>
            <w14:solidFill>
              <w14:schemeClr w14:val="tx1"/>
            </w14:solidFill>
          </w14:textFill>
        </w:rPr>
        <w:t>代理</w:t>
      </w:r>
      <w:r>
        <w:rPr>
          <w:rFonts w:ascii="黑体" w:hAnsi="黑体" w:eastAsia="黑体"/>
          <w:color w:val="000000" w:themeColor="text1"/>
          <w:sz w:val="20"/>
          <w:szCs w:val="20"/>
          <w:highlight w:val="none"/>
          <w14:textFill>
            <w14:solidFill>
              <w14:schemeClr w14:val="tx1"/>
            </w14:solidFill>
          </w14:textFill>
        </w:rPr>
        <w:t>销售信银理财依法发行的理财产品的机构。</w:t>
      </w:r>
    </w:p>
    <w:p w14:paraId="1FF2223E">
      <w:pPr>
        <w:pStyle w:val="19"/>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ascii="黑体" w:hAnsi="黑体" w:eastAsia="黑体"/>
          <w:color w:val="000000" w:themeColor="text1"/>
          <w:sz w:val="20"/>
          <w:szCs w:val="20"/>
          <w:highlight w:val="none"/>
          <w14:textFill>
            <w14:solidFill>
              <w14:schemeClr w14:val="tx1"/>
            </w14:solidFill>
          </w14:textFill>
        </w:rPr>
        <w:t>10</w:t>
      </w:r>
      <w:r>
        <w:rPr>
          <w:rFonts w:hint="eastAsia" w:ascii="黑体" w:hAnsi="黑体" w:eastAsia="黑体"/>
          <w:color w:val="000000" w:themeColor="text1"/>
          <w:sz w:val="20"/>
          <w:szCs w:val="20"/>
          <w:highlight w:val="none"/>
          <w14:textFill>
            <w14:solidFill>
              <w14:schemeClr w14:val="tx1"/>
            </w14:solidFill>
          </w14:textFill>
        </w:rPr>
        <w:t>．监管</w:t>
      </w:r>
      <w:r>
        <w:rPr>
          <w:rFonts w:ascii="黑体" w:hAnsi="黑体" w:eastAsia="黑体"/>
          <w:color w:val="000000" w:themeColor="text1"/>
          <w:sz w:val="20"/>
          <w:szCs w:val="20"/>
          <w:highlight w:val="none"/>
          <w14:textFill>
            <w14:solidFill>
              <w14:schemeClr w14:val="tx1"/>
            </w14:solidFill>
          </w14:textFill>
        </w:rPr>
        <w:t>机构：</w:t>
      </w:r>
      <w:r>
        <w:rPr>
          <w:rFonts w:hint="eastAsia" w:ascii="黑体" w:hAnsi="黑体" w:eastAsia="黑体"/>
          <w:color w:val="000000" w:themeColor="text1"/>
          <w:sz w:val="20"/>
          <w:szCs w:val="20"/>
          <w:highlight w:val="none"/>
          <w14:textFill>
            <w14:solidFill>
              <w14:schemeClr w14:val="tx1"/>
            </w14:solidFill>
          </w14:textFill>
        </w:rPr>
        <w:t>指对管理人（包括理财产品管理人、理财</w:t>
      </w:r>
      <w:r>
        <w:rPr>
          <w:rFonts w:ascii="黑体" w:hAnsi="黑体" w:eastAsia="黑体"/>
          <w:color w:val="000000" w:themeColor="text1"/>
          <w:sz w:val="20"/>
          <w:szCs w:val="20"/>
          <w:highlight w:val="none"/>
          <w14:textFill>
            <w14:solidFill>
              <w14:schemeClr w14:val="tx1"/>
            </w14:solidFill>
          </w14:textFill>
        </w:rPr>
        <w:t>产品</w:t>
      </w:r>
      <w:r>
        <w:rPr>
          <w:rFonts w:hint="eastAsia" w:ascii="黑体" w:hAnsi="黑体" w:eastAsia="黑体"/>
          <w:color w:val="000000" w:themeColor="text1"/>
          <w:sz w:val="20"/>
          <w:szCs w:val="20"/>
          <w:highlight w:val="none"/>
          <w14:textFill>
            <w14:solidFill>
              <w14:schemeClr w14:val="tx1"/>
            </w14:solidFill>
          </w14:textFill>
        </w:rPr>
        <w:t>所投资的资管产品的管理人</w:t>
      </w:r>
      <w:r>
        <w:rPr>
          <w:rFonts w:ascii="黑体" w:hAnsi="黑体" w:eastAsia="黑体"/>
          <w:color w:val="000000" w:themeColor="text1"/>
          <w:sz w:val="20"/>
          <w:szCs w:val="20"/>
          <w:highlight w:val="none"/>
          <w14:textFill>
            <w14:solidFill>
              <w14:schemeClr w14:val="tx1"/>
            </w14:solidFill>
          </w14:textFill>
        </w:rPr>
        <w:t>/</w:t>
      </w:r>
      <w:r>
        <w:rPr>
          <w:rFonts w:hint="eastAsia" w:ascii="黑体" w:hAnsi="黑体" w:eastAsia="黑体"/>
          <w:color w:val="000000" w:themeColor="text1"/>
          <w:sz w:val="20"/>
          <w:szCs w:val="20"/>
          <w:highlight w:val="none"/>
          <w14:textFill>
            <w14:solidFill>
              <w14:schemeClr w14:val="tx1"/>
            </w14:solidFill>
          </w14:textFill>
        </w:rPr>
        <w:t>受托人、相关投资顾问（如有）等）实施监督管理的机构，包括但不限于中国人民银行、国家金融监督管理总局、中国证券监督管理委员会、外汇管理局、银行业理财登记托管中心等</w:t>
      </w:r>
      <w:r>
        <w:rPr>
          <w:rFonts w:ascii="黑体" w:hAnsi="黑体" w:eastAsia="黑体"/>
          <w:color w:val="000000" w:themeColor="text1"/>
          <w:sz w:val="20"/>
          <w:szCs w:val="20"/>
          <w:highlight w:val="none"/>
          <w14:textFill>
            <w14:solidFill>
              <w14:schemeClr w14:val="tx1"/>
            </w14:solidFill>
          </w14:textFill>
        </w:rPr>
        <w:t>。</w:t>
      </w:r>
    </w:p>
    <w:p w14:paraId="6E805E99">
      <w:pPr>
        <w:pStyle w:val="19"/>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ascii="黑体" w:hAnsi="黑体" w:eastAsia="黑体"/>
          <w:color w:val="000000" w:themeColor="text1"/>
          <w:sz w:val="20"/>
          <w:szCs w:val="20"/>
          <w:highlight w:val="none"/>
          <w14:textFill>
            <w14:solidFill>
              <w14:schemeClr w14:val="tx1"/>
            </w14:solidFill>
          </w14:textFill>
        </w:rPr>
        <w:t>11</w:t>
      </w:r>
      <w:r>
        <w:rPr>
          <w:rFonts w:hint="eastAsia" w:ascii="黑体" w:hAnsi="黑体" w:eastAsia="黑体"/>
          <w:color w:val="000000" w:themeColor="text1"/>
          <w:sz w:val="20"/>
          <w:szCs w:val="20"/>
          <w:highlight w:val="none"/>
          <w14:textFill>
            <w14:solidFill>
              <w14:schemeClr w14:val="tx1"/>
            </w14:solidFill>
          </w14:textFill>
        </w:rPr>
        <w:t>．适用</w:t>
      </w:r>
      <w:r>
        <w:rPr>
          <w:rFonts w:ascii="黑体" w:hAnsi="黑体" w:eastAsia="黑体"/>
          <w:color w:val="000000" w:themeColor="text1"/>
          <w:sz w:val="20"/>
          <w:szCs w:val="20"/>
          <w:highlight w:val="none"/>
          <w14:textFill>
            <w14:solidFill>
              <w14:schemeClr w14:val="tx1"/>
            </w14:solidFill>
          </w14:textFill>
        </w:rPr>
        <w:t>法律：</w:t>
      </w:r>
      <w:r>
        <w:rPr>
          <w:rFonts w:hint="eastAsia" w:ascii="黑体" w:hAnsi="黑体" w:eastAsia="黑体"/>
          <w:color w:val="000000" w:themeColor="text1"/>
          <w:sz w:val="20"/>
          <w:szCs w:val="20"/>
          <w:highlight w:val="none"/>
          <w14:textFill>
            <w14:solidFill>
              <w14:schemeClr w14:val="tx1"/>
            </w14:solidFill>
          </w14:textFill>
        </w:rPr>
        <w:t>指中国任何立法机构、政府部门、银行间交易商协会、证券交易所、证券登记结算机构、基金业协会依法颁布的，适用于本理财产品相关事宜的法律、行政法规、地方法规、部委规章、地方政府规章、规范性文件、规则、通知、须知、业务指南、指引或操作规程，及其有效的修改、更新或补充。</w:t>
      </w:r>
    </w:p>
    <w:p w14:paraId="27D7A9E4">
      <w:pPr>
        <w:pStyle w:val="19"/>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1</w:t>
      </w:r>
      <w:r>
        <w:rPr>
          <w:rFonts w:ascii="黑体" w:hAnsi="黑体" w:eastAsia="黑体"/>
          <w:color w:val="000000" w:themeColor="text1"/>
          <w:sz w:val="20"/>
          <w:szCs w:val="20"/>
          <w:highlight w:val="none"/>
          <w14:textFill>
            <w14:solidFill>
              <w14:schemeClr w14:val="tx1"/>
            </w14:solidFill>
          </w14:textFill>
        </w:rPr>
        <w:t>2</w:t>
      </w:r>
      <w:r>
        <w:rPr>
          <w:rFonts w:hint="eastAsia" w:ascii="黑体" w:hAnsi="黑体" w:eastAsia="黑体"/>
          <w:color w:val="000000" w:themeColor="text1"/>
          <w:sz w:val="20"/>
          <w:szCs w:val="20"/>
          <w:highlight w:val="none"/>
          <w14:textFill>
            <w14:solidFill>
              <w14:schemeClr w14:val="tx1"/>
            </w14:solidFill>
          </w14:textFill>
        </w:rPr>
        <w:t>．不可抗力：指理财</w:t>
      </w:r>
      <w:r>
        <w:rPr>
          <w:rFonts w:ascii="黑体" w:hAnsi="黑体" w:eastAsia="黑体"/>
          <w:color w:val="000000" w:themeColor="text1"/>
          <w:sz w:val="20"/>
          <w:szCs w:val="20"/>
          <w:highlight w:val="none"/>
          <w14:textFill>
            <w14:solidFill>
              <w14:schemeClr w14:val="tx1"/>
            </w14:solidFill>
          </w14:textFill>
        </w:rPr>
        <w:t>产品</w:t>
      </w:r>
      <w:r>
        <w:rPr>
          <w:rFonts w:hint="eastAsia" w:ascii="黑体" w:hAnsi="黑体" w:eastAsia="黑体"/>
          <w:color w:val="000000" w:themeColor="text1"/>
          <w:sz w:val="20"/>
          <w:szCs w:val="20"/>
          <w:highlight w:val="none"/>
          <w14:textFill>
            <w14:solidFill>
              <w14:schemeClr w14:val="tx1"/>
            </w14:solidFill>
          </w14:textFill>
        </w:rPr>
        <w:t>当事各方不能预见、不能避免且不能克服的客观情况，该事件妨碍、影响或延误任何一方依相关理财产品文件履行其全部或部分义务。该事件包括但不限于：</w:t>
      </w:r>
    </w:p>
    <w:p w14:paraId="1E3AA946">
      <w:pPr>
        <w:pStyle w:val="19"/>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w:t>
      </w:r>
      <w:r>
        <w:rPr>
          <w:rFonts w:ascii="黑体" w:hAnsi="黑体" w:eastAsia="黑体"/>
          <w:color w:val="000000" w:themeColor="text1"/>
          <w:sz w:val="20"/>
          <w:szCs w:val="20"/>
          <w:highlight w:val="none"/>
          <w14:textFill>
            <w14:solidFill>
              <w14:schemeClr w14:val="tx1"/>
            </w14:solidFill>
          </w14:textFill>
        </w:rPr>
        <w:t>1</w:t>
      </w:r>
      <w:r>
        <w:rPr>
          <w:rFonts w:hint="eastAsia" w:ascii="黑体" w:hAnsi="黑体" w:eastAsia="黑体"/>
          <w:color w:val="000000" w:themeColor="text1"/>
          <w:sz w:val="20"/>
          <w:szCs w:val="20"/>
          <w:highlight w:val="none"/>
          <w14:textFill>
            <w14:solidFill>
              <w14:schemeClr w14:val="tx1"/>
            </w14:solidFill>
          </w14:textFill>
        </w:rPr>
        <w:t>）地震、台风、海啸、洪水、火灾、停电、瘟疫；</w:t>
      </w:r>
    </w:p>
    <w:p w14:paraId="4B5E6658">
      <w:pPr>
        <w:pStyle w:val="19"/>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w:t>
      </w:r>
      <w:r>
        <w:rPr>
          <w:rFonts w:ascii="黑体" w:hAnsi="黑体" w:eastAsia="黑体"/>
          <w:color w:val="000000" w:themeColor="text1"/>
          <w:sz w:val="20"/>
          <w:szCs w:val="20"/>
          <w:highlight w:val="none"/>
          <w14:textFill>
            <w14:solidFill>
              <w14:schemeClr w14:val="tx1"/>
            </w14:solidFill>
          </w14:textFill>
        </w:rPr>
        <w:t>2</w:t>
      </w:r>
      <w:r>
        <w:rPr>
          <w:rFonts w:hint="eastAsia" w:ascii="黑体" w:hAnsi="黑体" w:eastAsia="黑体"/>
          <w:color w:val="000000" w:themeColor="text1"/>
          <w:sz w:val="20"/>
          <w:szCs w:val="20"/>
          <w:highlight w:val="none"/>
          <w14:textFill>
            <w14:solidFill>
              <w14:schemeClr w14:val="tx1"/>
            </w14:solidFill>
          </w14:textFill>
        </w:rPr>
        <w:t>）战争、政变、恐怖主义行动、骚乱、罢工；</w:t>
      </w:r>
    </w:p>
    <w:p w14:paraId="59851AF1">
      <w:pPr>
        <w:pStyle w:val="19"/>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w:t>
      </w:r>
      <w:r>
        <w:rPr>
          <w:rFonts w:ascii="黑体" w:hAnsi="黑体" w:eastAsia="黑体"/>
          <w:color w:val="000000" w:themeColor="text1"/>
          <w:sz w:val="20"/>
          <w:szCs w:val="20"/>
          <w:highlight w:val="none"/>
          <w14:textFill>
            <w14:solidFill>
              <w14:schemeClr w14:val="tx1"/>
            </w14:solidFill>
          </w14:textFill>
        </w:rPr>
        <w:t>3</w:t>
      </w:r>
      <w:r>
        <w:rPr>
          <w:rFonts w:hint="eastAsia" w:ascii="黑体" w:hAnsi="黑体" w:eastAsia="黑体"/>
          <w:color w:val="000000" w:themeColor="text1"/>
          <w:sz w:val="20"/>
          <w:szCs w:val="20"/>
          <w:highlight w:val="none"/>
          <w14:textFill>
            <w14:solidFill>
              <w14:schemeClr w14:val="tx1"/>
            </w14:solidFill>
          </w14:textFill>
        </w:rPr>
        <w:t>）新的适用法律或国家政策的颁布或实施、对原适用法律或国家政策的修改；</w:t>
      </w:r>
    </w:p>
    <w:p w14:paraId="61DCC2E3">
      <w:pPr>
        <w:pStyle w:val="19"/>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w:t>
      </w:r>
      <w:r>
        <w:rPr>
          <w:rFonts w:ascii="黑体" w:hAnsi="黑体" w:eastAsia="黑体"/>
          <w:color w:val="000000" w:themeColor="text1"/>
          <w:sz w:val="20"/>
          <w:szCs w:val="20"/>
          <w:highlight w:val="none"/>
          <w14:textFill>
            <w14:solidFill>
              <w14:schemeClr w14:val="tx1"/>
            </w14:solidFill>
          </w14:textFill>
        </w:rPr>
        <w:t>4</w:t>
      </w:r>
      <w:r>
        <w:rPr>
          <w:rFonts w:hint="eastAsia" w:ascii="黑体" w:hAnsi="黑体" w:eastAsia="黑体"/>
          <w:color w:val="000000" w:themeColor="text1"/>
          <w:sz w:val="20"/>
          <w:szCs w:val="20"/>
          <w:highlight w:val="none"/>
          <w14:textFill>
            <w14:solidFill>
              <w14:schemeClr w14:val="tx1"/>
            </w14:solidFill>
          </w14:textFill>
        </w:rPr>
        <w:t>）金融管理部门强制要求（该等强制要求不可归咎于任何一方）；</w:t>
      </w:r>
      <w:r>
        <w:rPr>
          <w:rFonts w:ascii="黑体" w:hAnsi="黑体" w:eastAsia="黑体"/>
          <w:color w:val="000000" w:themeColor="text1"/>
          <w:sz w:val="20"/>
          <w:szCs w:val="20"/>
          <w:highlight w:val="none"/>
          <w14:textFill>
            <w14:solidFill>
              <w14:schemeClr w14:val="tx1"/>
            </w14:solidFill>
          </w14:textFill>
        </w:rPr>
        <w:t xml:space="preserve"> </w:t>
      </w:r>
    </w:p>
    <w:p w14:paraId="32761158">
      <w:pPr>
        <w:pStyle w:val="19"/>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w:t>
      </w:r>
      <w:r>
        <w:rPr>
          <w:rFonts w:ascii="黑体" w:hAnsi="黑体" w:eastAsia="黑体"/>
          <w:color w:val="000000" w:themeColor="text1"/>
          <w:sz w:val="20"/>
          <w:szCs w:val="20"/>
          <w:highlight w:val="none"/>
          <w14:textFill>
            <w14:solidFill>
              <w14:schemeClr w14:val="tx1"/>
            </w14:solidFill>
          </w14:textFill>
        </w:rPr>
        <w:t>5</w:t>
      </w:r>
      <w:r>
        <w:rPr>
          <w:rFonts w:hint="eastAsia" w:ascii="黑体" w:hAnsi="黑体" w:eastAsia="黑体"/>
          <w:color w:val="000000" w:themeColor="text1"/>
          <w:sz w:val="20"/>
          <w:szCs w:val="20"/>
          <w:highlight w:val="none"/>
          <w14:textFill>
            <w14:solidFill>
              <w14:schemeClr w14:val="tx1"/>
            </w14:solidFill>
          </w14:textFill>
        </w:rPr>
        <w:t>）因理财产品各方和</w:t>
      </w:r>
      <w:r>
        <w:rPr>
          <w:rFonts w:ascii="黑体" w:hAnsi="黑体" w:eastAsia="黑体"/>
          <w:color w:val="000000" w:themeColor="text1"/>
          <w:sz w:val="20"/>
          <w:szCs w:val="20"/>
          <w:highlight w:val="none"/>
          <w14:textFill>
            <w14:solidFill>
              <w14:schemeClr w14:val="tx1"/>
            </w14:solidFill>
          </w14:textFill>
        </w:rPr>
        <w:t>/</w:t>
      </w:r>
      <w:r>
        <w:rPr>
          <w:rFonts w:hint="eastAsia" w:ascii="黑体" w:hAnsi="黑体" w:eastAsia="黑体"/>
          <w:color w:val="000000" w:themeColor="text1"/>
          <w:sz w:val="20"/>
          <w:szCs w:val="20"/>
          <w:highlight w:val="none"/>
          <w14:textFill>
            <w14:solidFill>
              <w14:schemeClr w14:val="tx1"/>
            </w14:solidFill>
          </w14:textFill>
        </w:rPr>
        <w:t>或其关联方运营网络系统遭受黑客攻击、电信部门技术调整或故障等原因而造成的理财产品各方和</w:t>
      </w:r>
      <w:r>
        <w:rPr>
          <w:rFonts w:ascii="黑体" w:hAnsi="黑体" w:eastAsia="黑体"/>
          <w:color w:val="000000" w:themeColor="text1"/>
          <w:sz w:val="20"/>
          <w:szCs w:val="20"/>
          <w:highlight w:val="none"/>
          <w14:textFill>
            <w14:solidFill>
              <w14:schemeClr w14:val="tx1"/>
            </w14:solidFill>
          </w14:textFill>
        </w:rPr>
        <w:t>/</w:t>
      </w:r>
      <w:r>
        <w:rPr>
          <w:rFonts w:hint="eastAsia" w:ascii="黑体" w:hAnsi="黑体" w:eastAsia="黑体"/>
          <w:color w:val="000000" w:themeColor="text1"/>
          <w:sz w:val="20"/>
          <w:szCs w:val="20"/>
          <w:highlight w:val="none"/>
          <w14:textFill>
            <w14:solidFill>
              <w14:schemeClr w14:val="tx1"/>
            </w14:solidFill>
          </w14:textFill>
        </w:rPr>
        <w:t>或其关联方之服务、营业的中断或者延迟。</w:t>
      </w:r>
    </w:p>
    <w:p w14:paraId="3884196B">
      <w:pPr>
        <w:pStyle w:val="19"/>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13．摆动定价机制：是指当产品遭遇大额认购或赎回时，通过调整理财产品份额净值的方式，将理财产品调整投资组合的市场冲击成本分配给实际认购、赎回的投资者，从而减少对存量理财产品份额持有人利益的不利影响。</w:t>
      </w:r>
    </w:p>
    <w:p w14:paraId="7508A29F">
      <w:pPr>
        <w:pStyle w:val="19"/>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14．流动性受限资产：是指由于法律法规、监管、合同或操作障碍等原因无法以合理价格予以变现的资产，包括到期日在</w:t>
      </w:r>
      <w:r>
        <w:rPr>
          <w:rFonts w:ascii="黑体" w:hAnsi="黑体" w:eastAsia="黑体"/>
          <w:color w:val="000000" w:themeColor="text1"/>
          <w:sz w:val="20"/>
          <w:szCs w:val="20"/>
          <w:highlight w:val="none"/>
          <w14:textFill>
            <w14:solidFill>
              <w14:schemeClr w14:val="tx1"/>
            </w14:solidFill>
          </w14:textFill>
        </w:rPr>
        <w:t>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14:paraId="104E464C">
      <w:pPr>
        <w:pStyle w:val="19"/>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1</w:t>
      </w:r>
      <w:r>
        <w:rPr>
          <w:rFonts w:ascii="黑体" w:hAnsi="黑体" w:eastAsia="黑体"/>
          <w:color w:val="000000" w:themeColor="text1"/>
          <w:sz w:val="20"/>
          <w:szCs w:val="20"/>
          <w:highlight w:val="none"/>
          <w14:textFill>
            <w14:solidFill>
              <w14:schemeClr w14:val="tx1"/>
            </w14:solidFill>
          </w14:textFill>
        </w:rPr>
        <w:t>5</w:t>
      </w:r>
      <w:r>
        <w:rPr>
          <w:rFonts w:hint="eastAsia" w:ascii="黑体" w:hAnsi="黑体" w:eastAsia="黑体"/>
          <w:color w:val="000000" w:themeColor="text1"/>
          <w:sz w:val="20"/>
          <w:szCs w:val="20"/>
          <w:highlight w:val="none"/>
          <w14:textFill>
            <w14:solidFill>
              <w14:schemeClr w14:val="tx1"/>
            </w14:solidFill>
          </w14:textFill>
        </w:rPr>
        <w:t>．</w:t>
      </w:r>
      <w:r>
        <w:rPr>
          <w:rFonts w:ascii="黑体" w:hAnsi="黑体" w:eastAsia="黑体"/>
          <w:color w:val="000000" w:themeColor="text1"/>
          <w:sz w:val="20"/>
          <w:szCs w:val="20"/>
          <w:highlight w:val="none"/>
          <w14:textFill>
            <w14:solidFill>
              <w14:schemeClr w14:val="tx1"/>
            </w14:solidFill>
          </w14:textFill>
        </w:rPr>
        <w:t>7个工作日可变现资产</w:t>
      </w:r>
      <w:r>
        <w:rPr>
          <w:rFonts w:hint="eastAsia" w:ascii="黑体" w:hAnsi="黑体" w:eastAsia="黑体"/>
          <w:color w:val="000000" w:themeColor="text1"/>
          <w:sz w:val="20"/>
          <w:szCs w:val="20"/>
          <w:highlight w:val="none"/>
          <w14:textFill>
            <w14:solidFill>
              <w14:schemeClr w14:val="tx1"/>
            </w14:solidFill>
          </w14:textFill>
        </w:rPr>
        <w:t>：</w:t>
      </w:r>
      <w:r>
        <w:rPr>
          <w:rFonts w:ascii="黑体" w:hAnsi="黑体" w:eastAsia="黑体"/>
          <w:color w:val="000000" w:themeColor="text1"/>
          <w:sz w:val="20"/>
          <w:szCs w:val="20"/>
          <w:highlight w:val="none"/>
          <w14:textFill>
            <w14:solidFill>
              <w14:schemeClr w14:val="tx1"/>
            </w14:solidFill>
          </w14:textFill>
        </w:rPr>
        <w:t>包括可在交易所、银行间市场正常交易的股票、债券、非金融企业债务融资工具、期货及期权合约以及同业存单，7个工作日内到期或可支取的买入返售、银行存款，7个工作日内能够确认收到的各类应收款项等。</w:t>
      </w:r>
    </w:p>
    <w:p w14:paraId="1F3EF46B">
      <w:pPr>
        <w:pStyle w:val="19"/>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ascii="黑体" w:hAnsi="黑体" w:eastAsia="黑体"/>
          <w:color w:val="000000" w:themeColor="text1"/>
          <w:sz w:val="20"/>
          <w:szCs w:val="20"/>
          <w:highlight w:val="none"/>
          <w14:textFill>
            <w14:solidFill>
              <w14:schemeClr w14:val="tx1"/>
            </w14:solidFill>
          </w14:textFill>
        </w:rPr>
        <w:t>16</w:t>
      </w:r>
      <w:r>
        <w:rPr>
          <w:rFonts w:hint="eastAsia" w:ascii="黑体" w:hAnsi="黑体" w:eastAsia="黑体"/>
          <w:color w:val="000000" w:themeColor="text1"/>
          <w:sz w:val="20"/>
          <w:szCs w:val="20"/>
          <w:highlight w:val="none"/>
          <w14:textFill>
            <w14:solidFill>
              <w14:schemeClr w14:val="tx1"/>
            </w14:solidFill>
          </w14:textFill>
        </w:rPr>
        <w:t>．定期开放周期：</w:t>
      </w:r>
      <w:r>
        <w:rPr>
          <w:rFonts w:ascii="黑体" w:hAnsi="黑体" w:eastAsia="黑体"/>
          <w:color w:val="000000" w:themeColor="text1"/>
          <w:sz w:val="20"/>
          <w:szCs w:val="20"/>
          <w:highlight w:val="none"/>
          <w14:textFill>
            <w14:solidFill>
              <w14:schemeClr w14:val="tx1"/>
            </w14:solidFill>
          </w14:textFill>
        </w:rPr>
        <w:t>指定期开放式理财产品</w:t>
      </w:r>
      <w:r>
        <w:rPr>
          <w:rFonts w:hint="eastAsia" w:ascii="黑体" w:hAnsi="黑体" w:eastAsia="黑体"/>
          <w:color w:val="000000" w:themeColor="text1"/>
          <w:sz w:val="20"/>
          <w:szCs w:val="20"/>
          <w:highlight w:val="none"/>
          <w14:textFill>
            <w14:solidFill>
              <w14:schemeClr w14:val="tx1"/>
            </w14:solidFill>
          </w14:textFill>
        </w:rPr>
        <w:t>2个</w:t>
      </w:r>
      <w:r>
        <w:rPr>
          <w:rFonts w:ascii="黑体" w:hAnsi="黑体" w:eastAsia="黑体"/>
          <w:color w:val="000000" w:themeColor="text1"/>
          <w:sz w:val="20"/>
          <w:szCs w:val="20"/>
          <w:highlight w:val="none"/>
          <w14:textFill>
            <w14:solidFill>
              <w14:schemeClr w14:val="tx1"/>
            </w14:solidFill>
          </w14:textFill>
        </w:rPr>
        <w:t>开放期的最短间隔天数。</w:t>
      </w:r>
    </w:p>
    <w:p w14:paraId="437B9E3A">
      <w:pPr>
        <w:pStyle w:val="19"/>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17．信银理财电子渠道：指信银理财官方网站（</w:t>
      </w:r>
      <w:r>
        <w:rPr>
          <w:rStyle w:val="11"/>
          <w:rFonts w:ascii="黑体" w:hAnsi="黑体" w:eastAsia="黑体"/>
          <w:sz w:val="20"/>
          <w:szCs w:val="20"/>
          <w:highlight w:val="none"/>
        </w:rPr>
        <w:fldChar w:fldCharType="begin"/>
      </w:r>
      <w:r>
        <w:rPr>
          <w:rStyle w:val="11"/>
          <w:rFonts w:ascii="黑体" w:hAnsi="黑体" w:eastAsia="黑体"/>
          <w:sz w:val="20"/>
          <w:szCs w:val="20"/>
          <w:highlight w:val="none"/>
        </w:rPr>
        <w:instrText xml:space="preserve"> HYPERLINK "http://www.citic-wealth.com" </w:instrText>
      </w:r>
      <w:r>
        <w:rPr>
          <w:rStyle w:val="11"/>
          <w:rFonts w:ascii="黑体" w:hAnsi="黑体" w:eastAsia="黑体"/>
          <w:sz w:val="20"/>
          <w:szCs w:val="20"/>
          <w:highlight w:val="none"/>
        </w:rPr>
        <w:fldChar w:fldCharType="separate"/>
      </w:r>
      <w:r>
        <w:rPr>
          <w:rStyle w:val="11"/>
          <w:rFonts w:ascii="黑体" w:hAnsi="黑体" w:eastAsia="黑体"/>
          <w:sz w:val="20"/>
          <w:szCs w:val="20"/>
          <w:highlight w:val="none"/>
        </w:rPr>
        <w:t>http://www.citic-wealth.com</w:t>
      </w:r>
      <w:r>
        <w:rPr>
          <w:rStyle w:val="11"/>
          <w:rFonts w:ascii="黑体" w:hAnsi="黑体" w:eastAsia="黑体"/>
          <w:sz w:val="20"/>
          <w:szCs w:val="20"/>
          <w:highlight w:val="none"/>
        </w:rPr>
        <w:fldChar w:fldCharType="end"/>
      </w:r>
      <w:r>
        <w:rPr>
          <w:rFonts w:hint="eastAsia" w:ascii="黑体" w:hAnsi="黑体" w:eastAsia="黑体"/>
          <w:color w:val="000000" w:themeColor="text1"/>
          <w:sz w:val="20"/>
          <w:szCs w:val="20"/>
          <w:highlight w:val="none"/>
          <w14:textFill>
            <w14:solidFill>
              <w14:schemeClr w14:val="tx1"/>
            </w14:solidFill>
          </w14:textFill>
        </w:rPr>
        <w:t>）</w:t>
      </w:r>
      <w:r>
        <w:rPr>
          <w:rFonts w:ascii="黑体" w:hAnsi="黑体" w:eastAsia="黑体"/>
          <w:color w:val="000000" w:themeColor="text1"/>
          <w:sz w:val="20"/>
          <w:szCs w:val="20"/>
          <w:highlight w:val="none"/>
          <w14:textFill>
            <w14:solidFill>
              <w14:schemeClr w14:val="tx1"/>
            </w14:solidFill>
          </w14:textFill>
        </w:rPr>
        <w:t>、信银理财APP。</w:t>
      </w:r>
    </w:p>
    <w:p w14:paraId="462C70A2">
      <w:pPr>
        <w:pStyle w:val="19"/>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18．信银理财直销渠道：指信银理财电子渠道及营业场所。</w:t>
      </w:r>
    </w:p>
    <w:p w14:paraId="53B64CE9">
      <w:pPr>
        <w:pStyle w:val="19"/>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19．销售机构：指信银理财及代销机构</w:t>
      </w:r>
      <w:r>
        <w:rPr>
          <w:rFonts w:hint="eastAsia" w:ascii="黑体" w:hAnsi="黑体" w:eastAsia="黑体"/>
          <w:color w:val="000000" w:themeColor="text1"/>
          <w:sz w:val="20"/>
          <w:szCs w:val="20"/>
          <w:highlight w:val="none"/>
          <w:lang w:eastAsia="zh-CN"/>
          <w14:textFill>
            <w14:solidFill>
              <w14:schemeClr w14:val="tx1"/>
            </w14:solidFill>
          </w14:textFill>
        </w:rPr>
        <w:t>，</w:t>
      </w:r>
      <w:r>
        <w:rPr>
          <w:rFonts w:hint="eastAsia" w:ascii="黑体" w:hAnsi="黑体" w:eastAsia="黑体"/>
          <w:color w:val="000000" w:themeColor="text1"/>
          <w:sz w:val="20"/>
          <w:szCs w:val="20"/>
          <w:highlight w:val="none"/>
          <w:lang w:val="en-US" w:eastAsia="zh-CN"/>
          <w14:textFill>
            <w14:solidFill>
              <w14:schemeClr w14:val="tx1"/>
            </w14:solidFill>
          </w14:textFill>
        </w:rPr>
        <w:t>具体</w:t>
      </w:r>
      <w:r>
        <w:rPr>
          <w:rFonts w:hint="eastAsia" w:ascii="黑体" w:hAnsi="黑体" w:eastAsia="黑体"/>
          <w:b w:val="0"/>
          <w:color w:val="000000" w:themeColor="text1"/>
          <w:sz w:val="20"/>
          <w:szCs w:val="20"/>
          <w:highlight w:val="none"/>
          <w:lang w:val="en-US" w:eastAsia="zh-CN"/>
          <w14:textFill>
            <w14:solidFill>
              <w14:schemeClr w14:val="tx1"/>
            </w14:solidFill>
          </w14:textFill>
        </w:rPr>
        <w:t>详见说明书披露</w:t>
      </w:r>
      <w:r>
        <w:rPr>
          <w:rFonts w:hint="eastAsia" w:ascii="黑体" w:hAnsi="黑体" w:eastAsia="黑体"/>
          <w:color w:val="000000" w:themeColor="text1"/>
          <w:sz w:val="20"/>
          <w:szCs w:val="20"/>
          <w:highlight w:val="none"/>
          <w14:textFill>
            <w14:solidFill>
              <w14:schemeClr w14:val="tx1"/>
            </w14:solidFill>
          </w14:textFill>
        </w:rPr>
        <w:t>。</w:t>
      </w:r>
    </w:p>
    <w:p w14:paraId="28C8D591">
      <w:pPr>
        <w:pStyle w:val="19"/>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20．理财产品合同：指本理财产品的《信银理财理财产品说明书》、《信银理财理财产品风险揭示书》和《信银理财理财产品投资协议书》及其不时有效修订与补充。</w:t>
      </w:r>
    </w:p>
    <w:p w14:paraId="32D4C934">
      <w:pPr>
        <w:pStyle w:val="19"/>
        <w:numPr>
          <w:ilvl w:val="255"/>
          <w:numId w:val="0"/>
        </w:numPr>
        <w:spacing w:line="300" w:lineRule="atLeast"/>
        <w:ind w:firstLine="400" w:firstLineChars="200"/>
        <w:jc w:val="both"/>
        <w:rPr>
          <w:rFonts w:hint="eastAsia"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21．销售文件：指本理财产品的理财产品合同及《信银理财理财产品销售总协议》（含附件：客户权益须知专页）（或合作销售机构向投资者提供的理财产品销售协议文本）等文件及其不时有效修订与补充。</w:t>
      </w:r>
    </w:p>
    <w:p w14:paraId="3957F209">
      <w:pPr>
        <w:pStyle w:val="19"/>
        <w:numPr>
          <w:ilvl w:val="255"/>
          <w:numId w:val="0"/>
        </w:numPr>
        <w:spacing w:line="300" w:lineRule="atLeast"/>
        <w:ind w:right="36" w:firstLine="400" w:firstLineChars="200"/>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lang w:val="en-US" w:eastAsia="zh-CN"/>
          <w14:textFill>
            <w14:solidFill>
              <w14:schemeClr w14:val="tx1"/>
            </w14:solidFill>
          </w14:textFill>
        </w:rPr>
        <w:t>22</w:t>
      </w:r>
      <w:r>
        <w:rPr>
          <w:rFonts w:ascii="黑体" w:hAnsi="黑体" w:eastAsia="黑体"/>
          <w:color w:val="000000" w:themeColor="text1"/>
          <w:sz w:val="20"/>
          <w:szCs w:val="20"/>
          <w:highlight w:val="none"/>
          <w14:textFill>
            <w14:solidFill>
              <w14:schemeClr w14:val="tx1"/>
            </w14:solidFill>
          </w14:textFill>
        </w:rPr>
        <w:t>．收益分配基准日：指本理财产品管理人以该日日终产品份额净值计算并确定可供分配的投资收益的日期。</w:t>
      </w:r>
      <w:r>
        <w:rPr>
          <w:rFonts w:ascii="黑体" w:hAnsi="黑体" w:eastAsia="黑体"/>
          <w:color w:val="000000" w:themeColor="text1"/>
          <w:sz w:val="20"/>
          <w:szCs w:val="20"/>
          <w:highlight w:val="none"/>
          <w14:textFill>
            <w14:solidFill>
              <w14:schemeClr w14:val="tx1"/>
            </w14:solidFill>
          </w14:textFill>
        </w:rPr>
        <w:br w:type="textWrapping"/>
      </w:r>
      <w:r>
        <w:rPr>
          <w:rFonts w:ascii="黑体" w:hAnsi="黑体" w:eastAsia="黑体"/>
          <w:color w:val="000000" w:themeColor="text1"/>
          <w:sz w:val="20"/>
          <w:szCs w:val="20"/>
          <w:highlight w:val="none"/>
          <w14:textFill>
            <w14:solidFill>
              <w14:schemeClr w14:val="tx1"/>
            </w14:solidFill>
          </w14:textFill>
        </w:rPr>
        <w:t xml:space="preserve">    2</w:t>
      </w:r>
      <w:r>
        <w:rPr>
          <w:rFonts w:hint="eastAsia" w:ascii="黑体" w:hAnsi="黑体" w:eastAsia="黑体"/>
          <w:color w:val="000000" w:themeColor="text1"/>
          <w:sz w:val="20"/>
          <w:szCs w:val="20"/>
          <w:highlight w:val="none"/>
          <w:lang w:val="en-US" w:eastAsia="zh-CN"/>
          <w14:textFill>
            <w14:solidFill>
              <w14:schemeClr w14:val="tx1"/>
            </w14:solidFill>
          </w14:textFill>
        </w:rPr>
        <w:t>3</w:t>
      </w:r>
      <w:r>
        <w:rPr>
          <w:rFonts w:ascii="黑体" w:hAnsi="黑体" w:eastAsia="黑体"/>
          <w:color w:val="000000" w:themeColor="text1"/>
          <w:sz w:val="20"/>
          <w:szCs w:val="20"/>
          <w:highlight w:val="none"/>
          <w14:textFill>
            <w14:solidFill>
              <w14:schemeClr w14:val="tx1"/>
            </w14:solidFill>
          </w14:textFill>
        </w:rPr>
        <w:t>．权益登记日：指本理财产品管理人以该日日终登记在册的本理财产品份额全体持有人确定收益分配对象的日期。</w:t>
      </w:r>
    </w:p>
    <w:p w14:paraId="696650E2">
      <w:pPr>
        <w:pStyle w:val="19"/>
        <w:numPr>
          <w:ilvl w:val="255"/>
          <w:numId w:val="0"/>
        </w:numPr>
        <w:spacing w:line="300" w:lineRule="atLeast"/>
        <w:ind w:firstLine="400" w:firstLineChars="200"/>
        <w:jc w:val="both"/>
        <w:rPr>
          <w:rFonts w:hint="eastAsia" w:ascii="黑体" w:hAnsi="黑体" w:eastAsia="黑体"/>
          <w:color w:val="000000" w:themeColor="text1"/>
          <w:sz w:val="20"/>
          <w:szCs w:val="20"/>
          <w:highlight w:val="none"/>
          <w14:textFill>
            <w14:solidFill>
              <w14:schemeClr w14:val="tx1"/>
            </w14:solidFill>
          </w14:textFill>
        </w:rPr>
      </w:pPr>
    </w:p>
    <w:p w14:paraId="2A0D9DE7">
      <w:pPr>
        <w:snapToGrid w:val="0"/>
        <w:ind w:left="-2" w:leftChars="-1" w:right="53" w:rightChars="22" w:firstLine="400" w:firstLineChars="200"/>
        <w:rPr>
          <w:rFonts w:ascii="黑体" w:hAnsi="Times New Roman" w:eastAsia="黑体"/>
          <w:color w:val="000000" w:themeColor="text1"/>
          <w:sz w:val="20"/>
          <w:szCs w:val="20"/>
          <w:highlight w:val="none"/>
          <w14:textFill>
            <w14:solidFill>
              <w14:schemeClr w14:val="tx1"/>
            </w14:solidFill>
          </w14:textFill>
        </w:rPr>
      </w:pPr>
    </w:p>
    <w:p w14:paraId="713B1968">
      <w:pPr>
        <w:snapToGrid w:val="0"/>
        <w:ind w:left="-2" w:leftChars="-1" w:right="53" w:rightChars="22"/>
        <w:rPr>
          <w:rFonts w:ascii="黑体" w:hAnsi="Times New Roman" w:eastAsia="黑体" w:cs="黑体"/>
          <w:b/>
          <w:bCs/>
          <w:color w:val="000000" w:themeColor="text1"/>
          <w:sz w:val="20"/>
          <w:szCs w:val="20"/>
          <w:highlight w:val="none"/>
          <w14:textFill>
            <w14:solidFill>
              <w14:schemeClr w14:val="tx1"/>
            </w14:solidFill>
          </w14:textFill>
        </w:rPr>
      </w:pPr>
      <w:r>
        <w:rPr>
          <w:rFonts w:ascii="黑体" w:hAnsi="Times New Roman" w:eastAsia="黑体" w:cs="黑体"/>
          <w:b/>
          <w:bCs/>
          <w:color w:val="000000" w:themeColor="text1"/>
          <w:sz w:val="20"/>
          <w:szCs w:val="20"/>
          <w:highlight w:val="none"/>
          <w14:textFill>
            <w14:solidFill>
              <w14:schemeClr w14:val="tx1"/>
            </w14:solidFill>
          </w14:textFill>
        </w:rPr>
        <w:t> </w:t>
      </w:r>
      <w:r>
        <w:rPr>
          <w:rFonts w:hint="eastAsia" w:ascii="黑体" w:hAnsi="Times New Roman" w:eastAsia="黑体" w:cs="黑体"/>
          <w:b/>
          <w:bCs/>
          <w:color w:val="000000" w:themeColor="text1"/>
          <w:sz w:val="20"/>
          <w:szCs w:val="20"/>
          <w:highlight w:val="none"/>
          <w14:textFill>
            <w14:solidFill>
              <w14:schemeClr w14:val="tx1"/>
            </w14:solidFill>
          </w14:textFill>
        </w:rPr>
        <w:t>理财产品风险评级及</w:t>
      </w:r>
      <w:r>
        <w:rPr>
          <w:rFonts w:ascii="黑体" w:hAnsi="Times New Roman" w:eastAsia="黑体" w:cs="黑体"/>
          <w:b/>
          <w:bCs/>
          <w:color w:val="000000" w:themeColor="text1"/>
          <w:sz w:val="20"/>
          <w:szCs w:val="20"/>
          <w:highlight w:val="none"/>
          <w14:textFill>
            <w14:solidFill>
              <w14:schemeClr w14:val="tx1"/>
            </w14:solidFill>
          </w14:textFill>
        </w:rPr>
        <w:t>与投资者</w:t>
      </w:r>
      <w:r>
        <w:rPr>
          <w:rFonts w:hint="eastAsia" w:ascii="黑体" w:hAnsi="Times New Roman" w:eastAsia="黑体" w:cs="黑体"/>
          <w:b/>
          <w:bCs/>
          <w:color w:val="000000" w:themeColor="text1"/>
          <w:sz w:val="20"/>
          <w:szCs w:val="20"/>
          <w:highlight w:val="none"/>
          <w14:textFill>
            <w14:solidFill>
              <w14:schemeClr w14:val="tx1"/>
            </w14:solidFill>
          </w14:textFill>
        </w:rPr>
        <w:t>类型</w:t>
      </w:r>
      <w:r>
        <w:rPr>
          <w:rFonts w:ascii="黑体" w:hAnsi="Times New Roman" w:eastAsia="黑体" w:cs="黑体"/>
          <w:b/>
          <w:bCs/>
          <w:color w:val="000000" w:themeColor="text1"/>
          <w:sz w:val="20"/>
          <w:szCs w:val="20"/>
          <w:highlight w:val="none"/>
          <w14:textFill>
            <w14:solidFill>
              <w14:schemeClr w14:val="tx1"/>
            </w14:solidFill>
          </w14:textFill>
        </w:rPr>
        <w:t>对应关系</w:t>
      </w:r>
      <w:r>
        <w:rPr>
          <w:rFonts w:hint="eastAsia" w:ascii="黑体" w:hAnsi="Times New Roman" w:eastAsia="黑体" w:cs="黑体"/>
          <w:b/>
          <w:bCs/>
          <w:color w:val="000000" w:themeColor="text1"/>
          <w:sz w:val="20"/>
          <w:szCs w:val="20"/>
          <w:highlight w:val="none"/>
          <w14:textFill>
            <w14:solidFill>
              <w14:schemeClr w14:val="tx1"/>
            </w14:solidFill>
          </w14:textFill>
        </w:rPr>
        <w:t>：</w:t>
      </w:r>
    </w:p>
    <w:p w14:paraId="20EB8872">
      <w:pPr>
        <w:snapToGrid w:val="0"/>
        <w:ind w:left="-2" w:leftChars="-1" w:right="53" w:rightChars="22"/>
        <w:rPr>
          <w:rFonts w:ascii="黑体" w:hAnsi="Times New Roman" w:eastAsia="黑体" w:cs="黑体"/>
          <w:b/>
          <w:bCs/>
          <w:color w:val="000000" w:themeColor="text1"/>
          <w:sz w:val="20"/>
          <w:szCs w:val="20"/>
          <w:highlight w:val="none"/>
          <w14:textFill>
            <w14:solidFill>
              <w14:schemeClr w14:val="tx1"/>
            </w14:solidFill>
          </w14:textFill>
        </w:rPr>
      </w:pP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62"/>
        <w:gridCol w:w="2554"/>
        <w:gridCol w:w="3412"/>
      </w:tblGrid>
      <w:tr w14:paraId="76C91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2710" w:type="dxa"/>
            <w:vAlign w:val="center"/>
          </w:tcPr>
          <w:p w14:paraId="1DC15DD9">
            <w:pPr>
              <w:adjustRightInd w:val="0"/>
              <w:jc w:val="center"/>
              <w:textAlignment w:val="baseline"/>
              <w:outlineLvl w:val="0"/>
              <w:rPr>
                <w:rFonts w:ascii="楷体" w:hAnsi="楷体" w:eastAsia="楷体" w:cs="楷体"/>
                <w:b/>
                <w:color w:val="000000"/>
                <w:highlight w:val="none"/>
              </w:rPr>
            </w:pPr>
            <w:r>
              <w:rPr>
                <w:rFonts w:hint="eastAsia" w:ascii="楷体" w:hAnsi="楷体" w:eastAsia="楷体" w:cs="楷体"/>
                <w:b/>
                <w:color w:val="000000"/>
                <w:highlight w:val="none"/>
              </w:rPr>
              <w:t>产品</w:t>
            </w:r>
            <w:r>
              <w:rPr>
                <w:rFonts w:ascii="楷体" w:hAnsi="楷体" w:eastAsia="楷体" w:cs="楷体"/>
                <w:b/>
                <w:color w:val="000000"/>
                <w:highlight w:val="none"/>
              </w:rPr>
              <w:t>风险评级</w:t>
            </w:r>
          </w:p>
        </w:tc>
        <w:tc>
          <w:tcPr>
            <w:tcW w:w="2710" w:type="dxa"/>
            <w:vAlign w:val="center"/>
          </w:tcPr>
          <w:p w14:paraId="2CF7DE56">
            <w:pPr>
              <w:adjustRightInd w:val="0"/>
              <w:jc w:val="center"/>
              <w:textAlignment w:val="baseline"/>
              <w:outlineLvl w:val="0"/>
              <w:rPr>
                <w:rFonts w:ascii="楷体" w:hAnsi="楷体" w:eastAsia="楷体" w:cs="楷体"/>
                <w:b/>
                <w:color w:val="000000"/>
                <w:highlight w:val="none"/>
              </w:rPr>
            </w:pPr>
            <w:r>
              <w:rPr>
                <w:rFonts w:ascii="楷体" w:hAnsi="楷体" w:eastAsia="楷体" w:cs="楷体"/>
                <w:b/>
                <w:color w:val="000000"/>
                <w:highlight w:val="none"/>
              </w:rPr>
              <w:t>风险程度</w:t>
            </w:r>
          </w:p>
        </w:tc>
        <w:tc>
          <w:tcPr>
            <w:tcW w:w="3619" w:type="dxa"/>
            <w:vAlign w:val="center"/>
          </w:tcPr>
          <w:p w14:paraId="6138E29B">
            <w:pPr>
              <w:adjustRightInd w:val="0"/>
              <w:jc w:val="center"/>
              <w:textAlignment w:val="baseline"/>
              <w:outlineLvl w:val="0"/>
              <w:rPr>
                <w:rFonts w:ascii="楷体" w:hAnsi="楷体" w:eastAsia="楷体" w:cs="楷体"/>
                <w:b/>
                <w:color w:val="000000"/>
                <w:highlight w:val="none"/>
              </w:rPr>
            </w:pPr>
            <w:r>
              <w:rPr>
                <w:rFonts w:hint="eastAsia" w:ascii="楷体" w:hAnsi="楷体" w:eastAsia="楷体" w:cs="楷体"/>
                <w:b/>
                <w:color w:val="000000"/>
                <w:kern w:val="2"/>
                <w:highlight w:val="none"/>
              </w:rPr>
              <w:t>适合投资者类型</w:t>
            </w:r>
          </w:p>
        </w:tc>
      </w:tr>
      <w:tr w14:paraId="6CAA1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2710" w:type="dxa"/>
            <w:vAlign w:val="center"/>
          </w:tcPr>
          <w:p w14:paraId="5AC170B6">
            <w:pPr>
              <w:adjustRightInd w:val="0"/>
              <w:jc w:val="center"/>
              <w:textAlignment w:val="baseline"/>
              <w:outlineLvl w:val="0"/>
              <w:rPr>
                <w:rFonts w:ascii="楷体" w:hAnsi="楷体" w:eastAsia="楷体" w:cs="楷体"/>
                <w:color w:val="000000"/>
                <w:szCs w:val="21"/>
                <w:highlight w:val="none"/>
              </w:rPr>
            </w:pPr>
            <w:r>
              <w:rPr>
                <w:rFonts w:ascii="楷体" w:hAnsi="楷体" w:eastAsia="楷体" w:cs="楷体"/>
                <w:color w:val="000000"/>
                <w:szCs w:val="21"/>
                <w:highlight w:val="none"/>
              </w:rPr>
              <w:t>PR1级</w:t>
            </w:r>
          </w:p>
        </w:tc>
        <w:tc>
          <w:tcPr>
            <w:tcW w:w="2710" w:type="dxa"/>
            <w:vAlign w:val="center"/>
          </w:tcPr>
          <w:p w14:paraId="3DB1228D">
            <w:pPr>
              <w:adjustRightInd w:val="0"/>
              <w:jc w:val="center"/>
              <w:textAlignment w:val="baseline"/>
              <w:outlineLvl w:val="0"/>
              <w:rPr>
                <w:rFonts w:ascii="楷体" w:hAnsi="楷体" w:eastAsia="楷体" w:cs="楷体"/>
                <w:color w:val="000000"/>
                <w:szCs w:val="21"/>
                <w:highlight w:val="none"/>
              </w:rPr>
            </w:pPr>
            <w:r>
              <w:rPr>
                <w:rFonts w:ascii="楷体" w:hAnsi="楷体" w:eastAsia="楷体" w:cs="楷体"/>
                <w:color w:val="000000"/>
                <w:szCs w:val="21"/>
                <w:highlight w:val="none"/>
              </w:rPr>
              <w:t>低</w:t>
            </w:r>
          </w:p>
        </w:tc>
        <w:tc>
          <w:tcPr>
            <w:tcW w:w="3619" w:type="dxa"/>
            <w:vAlign w:val="center"/>
          </w:tcPr>
          <w:p w14:paraId="0BED80B1">
            <w:pPr>
              <w:adjustRightInd w:val="0"/>
              <w:jc w:val="center"/>
              <w:textAlignment w:val="baseline"/>
              <w:outlineLvl w:val="0"/>
              <w:rPr>
                <w:rFonts w:ascii="楷体" w:hAnsi="楷体" w:eastAsia="楷体" w:cs="楷体"/>
                <w:color w:val="000000"/>
                <w:szCs w:val="21"/>
                <w:highlight w:val="none"/>
              </w:rPr>
            </w:pPr>
            <w:r>
              <w:rPr>
                <w:rFonts w:hint="eastAsia" w:ascii="楷体" w:hAnsi="楷体" w:eastAsia="楷体" w:cs="楷体"/>
                <w:color w:val="000000"/>
                <w:kern w:val="2"/>
                <w:sz w:val="21"/>
                <w:szCs w:val="21"/>
                <w:highlight w:val="none"/>
              </w:rPr>
              <w:t>谨慎型、稳健型、平衡型、进取型、激进型</w:t>
            </w:r>
          </w:p>
        </w:tc>
      </w:tr>
      <w:tr w14:paraId="411E1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2710" w:type="dxa"/>
            <w:vAlign w:val="center"/>
          </w:tcPr>
          <w:p w14:paraId="62980124">
            <w:pPr>
              <w:adjustRightInd w:val="0"/>
              <w:jc w:val="center"/>
              <w:textAlignment w:val="baseline"/>
              <w:outlineLvl w:val="0"/>
              <w:rPr>
                <w:rFonts w:ascii="楷体" w:hAnsi="楷体" w:eastAsia="楷体" w:cs="楷体"/>
                <w:color w:val="000000"/>
                <w:szCs w:val="21"/>
                <w:highlight w:val="none"/>
              </w:rPr>
            </w:pPr>
            <w:r>
              <w:rPr>
                <w:rFonts w:ascii="楷体" w:hAnsi="楷体" w:eastAsia="楷体" w:cs="楷体"/>
                <w:color w:val="000000"/>
                <w:szCs w:val="21"/>
                <w:highlight w:val="none"/>
              </w:rPr>
              <w:t>PR2级</w:t>
            </w:r>
          </w:p>
        </w:tc>
        <w:tc>
          <w:tcPr>
            <w:tcW w:w="2710" w:type="dxa"/>
            <w:vAlign w:val="center"/>
          </w:tcPr>
          <w:p w14:paraId="63A52535">
            <w:pPr>
              <w:adjustRightInd w:val="0"/>
              <w:jc w:val="center"/>
              <w:textAlignment w:val="baseline"/>
              <w:outlineLvl w:val="0"/>
              <w:rPr>
                <w:rFonts w:ascii="楷体" w:hAnsi="楷体" w:eastAsia="楷体" w:cs="楷体"/>
                <w:color w:val="000000"/>
                <w:szCs w:val="21"/>
                <w:highlight w:val="none"/>
              </w:rPr>
            </w:pPr>
            <w:r>
              <w:rPr>
                <w:rFonts w:ascii="楷体" w:hAnsi="楷体" w:eastAsia="楷体" w:cs="楷体"/>
                <w:color w:val="000000"/>
                <w:szCs w:val="21"/>
                <w:highlight w:val="none"/>
              </w:rPr>
              <w:t>中低</w:t>
            </w:r>
          </w:p>
        </w:tc>
        <w:tc>
          <w:tcPr>
            <w:tcW w:w="3619" w:type="dxa"/>
            <w:vAlign w:val="center"/>
          </w:tcPr>
          <w:p w14:paraId="3116FD9D">
            <w:pPr>
              <w:adjustRightInd w:val="0"/>
              <w:jc w:val="center"/>
              <w:textAlignment w:val="baseline"/>
              <w:outlineLvl w:val="0"/>
              <w:rPr>
                <w:rFonts w:ascii="楷体" w:hAnsi="楷体" w:eastAsia="楷体" w:cs="楷体"/>
                <w:color w:val="000000"/>
                <w:szCs w:val="21"/>
                <w:highlight w:val="none"/>
              </w:rPr>
            </w:pPr>
            <w:r>
              <w:rPr>
                <w:rFonts w:hint="eastAsia" w:ascii="楷体" w:hAnsi="楷体" w:eastAsia="楷体" w:cs="楷体"/>
                <w:color w:val="000000"/>
                <w:kern w:val="2"/>
                <w:sz w:val="21"/>
                <w:szCs w:val="21"/>
                <w:highlight w:val="none"/>
              </w:rPr>
              <w:t>稳健型、平衡型、进取型、激进型</w:t>
            </w:r>
          </w:p>
        </w:tc>
      </w:tr>
      <w:tr w14:paraId="549BE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2710" w:type="dxa"/>
            <w:vAlign w:val="center"/>
          </w:tcPr>
          <w:p w14:paraId="76B0D747">
            <w:pPr>
              <w:adjustRightInd w:val="0"/>
              <w:jc w:val="center"/>
              <w:textAlignment w:val="baseline"/>
              <w:outlineLvl w:val="0"/>
              <w:rPr>
                <w:rFonts w:ascii="楷体" w:hAnsi="楷体" w:eastAsia="楷体" w:cs="楷体"/>
                <w:color w:val="000000"/>
                <w:szCs w:val="21"/>
                <w:highlight w:val="none"/>
              </w:rPr>
            </w:pPr>
            <w:r>
              <w:rPr>
                <w:rFonts w:ascii="楷体" w:hAnsi="楷体" w:eastAsia="楷体" w:cs="楷体"/>
                <w:color w:val="000000"/>
                <w:szCs w:val="21"/>
                <w:highlight w:val="none"/>
              </w:rPr>
              <w:t>PR3级</w:t>
            </w:r>
          </w:p>
        </w:tc>
        <w:tc>
          <w:tcPr>
            <w:tcW w:w="2710" w:type="dxa"/>
            <w:vAlign w:val="center"/>
          </w:tcPr>
          <w:p w14:paraId="5B43058C">
            <w:pPr>
              <w:adjustRightInd w:val="0"/>
              <w:jc w:val="center"/>
              <w:textAlignment w:val="baseline"/>
              <w:outlineLvl w:val="0"/>
              <w:rPr>
                <w:rFonts w:ascii="楷体" w:hAnsi="楷体" w:eastAsia="楷体" w:cs="楷体"/>
                <w:color w:val="000000"/>
                <w:szCs w:val="21"/>
                <w:highlight w:val="none"/>
              </w:rPr>
            </w:pPr>
            <w:r>
              <w:rPr>
                <w:rFonts w:hint="eastAsia" w:ascii="楷体" w:hAnsi="楷体" w:eastAsia="楷体" w:cs="楷体"/>
                <w:color w:val="000000"/>
                <w:szCs w:val="21"/>
                <w:highlight w:val="none"/>
              </w:rPr>
              <w:t>中等</w:t>
            </w:r>
          </w:p>
        </w:tc>
        <w:tc>
          <w:tcPr>
            <w:tcW w:w="3619" w:type="dxa"/>
            <w:vAlign w:val="center"/>
          </w:tcPr>
          <w:p w14:paraId="2D06ED90">
            <w:pPr>
              <w:adjustRightInd w:val="0"/>
              <w:jc w:val="center"/>
              <w:textAlignment w:val="baseline"/>
              <w:outlineLvl w:val="0"/>
              <w:rPr>
                <w:rFonts w:ascii="楷体" w:hAnsi="楷体" w:eastAsia="楷体" w:cs="楷体"/>
                <w:color w:val="000000"/>
                <w:szCs w:val="21"/>
                <w:highlight w:val="none"/>
              </w:rPr>
            </w:pPr>
            <w:r>
              <w:rPr>
                <w:rFonts w:hint="eastAsia" w:ascii="楷体" w:hAnsi="楷体" w:eastAsia="楷体" w:cs="楷体"/>
                <w:color w:val="000000"/>
                <w:kern w:val="2"/>
                <w:sz w:val="21"/>
                <w:szCs w:val="21"/>
                <w:highlight w:val="none"/>
              </w:rPr>
              <w:t>平衡型、进取型、激进型</w:t>
            </w:r>
          </w:p>
        </w:tc>
      </w:tr>
      <w:tr w14:paraId="7F551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2710" w:type="dxa"/>
            <w:vAlign w:val="center"/>
          </w:tcPr>
          <w:p w14:paraId="5E00010C">
            <w:pPr>
              <w:adjustRightInd w:val="0"/>
              <w:jc w:val="center"/>
              <w:textAlignment w:val="baseline"/>
              <w:outlineLvl w:val="0"/>
              <w:rPr>
                <w:rFonts w:ascii="楷体" w:hAnsi="楷体" w:eastAsia="楷体" w:cs="楷体"/>
                <w:color w:val="000000"/>
                <w:szCs w:val="21"/>
                <w:highlight w:val="none"/>
              </w:rPr>
            </w:pPr>
            <w:r>
              <w:rPr>
                <w:rFonts w:ascii="楷体" w:hAnsi="楷体" w:eastAsia="楷体" w:cs="楷体"/>
                <w:color w:val="000000"/>
                <w:szCs w:val="21"/>
                <w:highlight w:val="none"/>
              </w:rPr>
              <w:t>PR4级</w:t>
            </w:r>
          </w:p>
        </w:tc>
        <w:tc>
          <w:tcPr>
            <w:tcW w:w="2710" w:type="dxa"/>
            <w:vAlign w:val="center"/>
          </w:tcPr>
          <w:p w14:paraId="7A964031">
            <w:pPr>
              <w:adjustRightInd w:val="0"/>
              <w:jc w:val="center"/>
              <w:textAlignment w:val="baseline"/>
              <w:outlineLvl w:val="0"/>
              <w:rPr>
                <w:rFonts w:ascii="楷体" w:hAnsi="楷体" w:eastAsia="楷体" w:cs="楷体"/>
                <w:color w:val="000000"/>
                <w:szCs w:val="21"/>
                <w:highlight w:val="none"/>
              </w:rPr>
            </w:pPr>
            <w:r>
              <w:rPr>
                <w:rFonts w:hint="eastAsia" w:ascii="楷体" w:hAnsi="楷体" w:eastAsia="楷体" w:cs="楷体"/>
                <w:color w:val="000000"/>
                <w:szCs w:val="21"/>
                <w:highlight w:val="none"/>
              </w:rPr>
              <w:t>中高</w:t>
            </w:r>
          </w:p>
        </w:tc>
        <w:tc>
          <w:tcPr>
            <w:tcW w:w="3619" w:type="dxa"/>
            <w:vAlign w:val="center"/>
          </w:tcPr>
          <w:p w14:paraId="6837CE07">
            <w:pPr>
              <w:adjustRightInd w:val="0"/>
              <w:jc w:val="center"/>
              <w:textAlignment w:val="baseline"/>
              <w:outlineLvl w:val="0"/>
              <w:rPr>
                <w:rFonts w:ascii="楷体" w:hAnsi="楷体" w:eastAsia="楷体" w:cs="楷体"/>
                <w:color w:val="000000"/>
                <w:szCs w:val="21"/>
                <w:highlight w:val="none"/>
              </w:rPr>
            </w:pPr>
            <w:r>
              <w:rPr>
                <w:rFonts w:hint="eastAsia" w:ascii="楷体" w:hAnsi="楷体" w:eastAsia="楷体" w:cs="楷体"/>
                <w:color w:val="000000"/>
                <w:kern w:val="2"/>
                <w:sz w:val="21"/>
                <w:szCs w:val="21"/>
                <w:highlight w:val="none"/>
              </w:rPr>
              <w:t>进取型、激进型</w:t>
            </w:r>
          </w:p>
        </w:tc>
      </w:tr>
      <w:tr w14:paraId="76586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2710" w:type="dxa"/>
            <w:vAlign w:val="center"/>
          </w:tcPr>
          <w:p w14:paraId="01E27C2D">
            <w:pPr>
              <w:adjustRightInd w:val="0"/>
              <w:jc w:val="center"/>
              <w:textAlignment w:val="baseline"/>
              <w:outlineLvl w:val="0"/>
              <w:rPr>
                <w:rFonts w:ascii="楷体" w:hAnsi="楷体" w:eastAsia="楷体" w:cs="楷体"/>
                <w:color w:val="000000"/>
                <w:szCs w:val="21"/>
                <w:highlight w:val="none"/>
              </w:rPr>
            </w:pPr>
            <w:r>
              <w:rPr>
                <w:rFonts w:ascii="楷体" w:hAnsi="楷体" w:eastAsia="楷体" w:cs="楷体"/>
                <w:color w:val="000000"/>
                <w:szCs w:val="21"/>
                <w:highlight w:val="none"/>
              </w:rPr>
              <w:t>PR5级</w:t>
            </w:r>
          </w:p>
        </w:tc>
        <w:tc>
          <w:tcPr>
            <w:tcW w:w="2710" w:type="dxa"/>
            <w:vAlign w:val="center"/>
          </w:tcPr>
          <w:p w14:paraId="2A6B6CE9">
            <w:pPr>
              <w:adjustRightInd w:val="0"/>
              <w:jc w:val="center"/>
              <w:textAlignment w:val="baseline"/>
              <w:outlineLvl w:val="0"/>
              <w:rPr>
                <w:rFonts w:ascii="楷体" w:hAnsi="楷体" w:eastAsia="楷体" w:cs="楷体"/>
                <w:color w:val="000000"/>
                <w:szCs w:val="21"/>
                <w:highlight w:val="none"/>
              </w:rPr>
            </w:pPr>
            <w:r>
              <w:rPr>
                <w:rFonts w:ascii="楷体" w:hAnsi="楷体" w:eastAsia="楷体" w:cs="楷体"/>
                <w:color w:val="000000"/>
                <w:szCs w:val="21"/>
                <w:highlight w:val="none"/>
              </w:rPr>
              <w:t>高</w:t>
            </w:r>
          </w:p>
        </w:tc>
        <w:tc>
          <w:tcPr>
            <w:tcW w:w="3619" w:type="dxa"/>
            <w:vAlign w:val="center"/>
          </w:tcPr>
          <w:p w14:paraId="0D39B7C0">
            <w:pPr>
              <w:adjustRightInd w:val="0"/>
              <w:jc w:val="center"/>
              <w:textAlignment w:val="baseline"/>
              <w:outlineLvl w:val="0"/>
              <w:rPr>
                <w:rFonts w:ascii="楷体" w:hAnsi="楷体" w:eastAsia="楷体" w:cs="楷体"/>
                <w:color w:val="000000"/>
                <w:szCs w:val="21"/>
                <w:highlight w:val="none"/>
              </w:rPr>
            </w:pPr>
            <w:r>
              <w:rPr>
                <w:rFonts w:hint="eastAsia" w:ascii="楷体" w:hAnsi="楷体" w:eastAsia="楷体" w:cs="楷体"/>
                <w:color w:val="000000"/>
                <w:kern w:val="2"/>
                <w:sz w:val="21"/>
                <w:szCs w:val="21"/>
                <w:highlight w:val="none"/>
              </w:rPr>
              <w:t>激进型</w:t>
            </w:r>
          </w:p>
        </w:tc>
      </w:tr>
    </w:tbl>
    <w:p w14:paraId="09A823A5">
      <w:pPr>
        <w:snapToGrid w:val="0"/>
        <w:ind w:left="-2" w:leftChars="-1" w:right="53" w:rightChars="22" w:firstLine="0"/>
        <w:outlineLvl w:val="9"/>
        <w:rPr>
          <w:rFonts w:hint="eastAsia" w:ascii="黑体" w:hAnsi="Times New Roman" w:eastAsia="黑体" w:cs="黑体"/>
          <w:b/>
          <w:bCs/>
          <w:color w:val="auto"/>
          <w:sz w:val="20"/>
          <w:szCs w:val="20"/>
          <w:highlight w:val="none"/>
          <w:lang w:val="en-US" w:eastAsia="zh-CN"/>
        </w:rPr>
      </w:pPr>
    </w:p>
    <w:p w14:paraId="473106F2">
      <w:pPr>
        <w:snapToGrid w:val="0"/>
        <w:ind w:left="-2" w:leftChars="-1" w:right="53" w:rightChars="22" w:firstLine="0"/>
        <w:outlineLvl w:val="9"/>
        <w:rPr>
          <w:rFonts w:hint="eastAsia" w:ascii="黑体" w:hAnsi="Times New Roman" w:eastAsia="黑体" w:cs="黑体"/>
          <w:b/>
          <w:bCs/>
          <w:color w:val="auto"/>
          <w:sz w:val="20"/>
          <w:szCs w:val="20"/>
          <w:highlight w:val="none"/>
          <w:lang w:val="en-US" w:eastAsia="zh-CN"/>
        </w:rPr>
      </w:pPr>
      <w:r>
        <w:rPr>
          <w:rFonts w:hint="eastAsia" w:ascii="黑体" w:hAnsi="Times New Roman" w:eastAsia="黑体" w:cs="黑体"/>
          <w:b/>
          <w:bCs/>
          <w:color w:val="auto"/>
          <w:sz w:val="20"/>
          <w:szCs w:val="20"/>
          <w:highlight w:val="none"/>
          <w:lang w:val="en-US" w:eastAsia="zh-CN"/>
        </w:rPr>
        <w:t>投资者通过本产品合作销售机构办理的，以合作销售机构的投资者风险测评结果、产品风险评级以及二者的对应关系为准。</w:t>
      </w:r>
    </w:p>
    <w:p w14:paraId="3C861CED">
      <w:pPr>
        <w:snapToGrid w:val="0"/>
        <w:ind w:left="-2" w:leftChars="-1" w:right="53" w:rightChars="22" w:firstLine="0"/>
        <w:outlineLvl w:val="9"/>
        <w:rPr>
          <w:rFonts w:hint="eastAsia" w:ascii="黑体" w:hAnsi="Times New Roman" w:eastAsia="黑体" w:cs="黑体"/>
          <w:b/>
          <w:bCs/>
          <w:color w:val="auto"/>
          <w:sz w:val="20"/>
          <w:szCs w:val="20"/>
          <w:highlight w:val="none"/>
          <w:lang w:val="en-US" w:eastAsia="zh-CN"/>
        </w:rPr>
      </w:pPr>
    </w:p>
    <w:p w14:paraId="05690E95">
      <w:pPr>
        <w:snapToGrid w:val="0"/>
        <w:ind w:left="433" w:right="53" w:rightChars="22" w:hanging="435"/>
        <w:outlineLvl w:val="0"/>
        <w:rPr>
          <w:rFonts w:ascii="黑体" w:hAnsi="Times New Roman" w:eastAsia="黑体" w:cs="黑体"/>
          <w:color w:val="000000" w:themeColor="text1"/>
          <w:sz w:val="20"/>
          <w:szCs w:val="20"/>
          <w:highlight w:val="none"/>
          <w14:textFill>
            <w14:solidFill>
              <w14:schemeClr w14:val="tx1"/>
            </w14:solidFill>
          </w14:textFill>
        </w:rPr>
      </w:pPr>
      <w:r>
        <w:rPr>
          <w:rFonts w:hint="eastAsia" w:ascii="黑体" w:hAnsi="Times New Roman" w:eastAsia="黑体" w:cs="黑体"/>
          <w:color w:val="000000" w:themeColor="text1"/>
          <w:sz w:val="20"/>
          <w:szCs w:val="20"/>
          <w:highlight w:val="none"/>
          <w14:textFill>
            <w14:solidFill>
              <w14:schemeClr w14:val="tx1"/>
            </w14:solidFill>
          </w14:textFill>
        </w:rPr>
        <w:t>一、</w:t>
      </w:r>
      <w:r>
        <w:rPr>
          <w:rFonts w:ascii="Times New Roman" w:hAnsi="Times New Roman" w:eastAsia="黑体"/>
          <w:color w:val="000000" w:themeColor="text1"/>
          <w:sz w:val="14"/>
          <w:szCs w:val="14"/>
          <w:highlight w:val="none"/>
          <w14:textFill>
            <w14:solidFill>
              <w14:schemeClr w14:val="tx1"/>
            </w14:solidFill>
          </w14:textFill>
        </w:rPr>
        <w:t xml:space="preserve"> </w:t>
      </w:r>
      <w:r>
        <w:rPr>
          <w:rFonts w:hint="eastAsia" w:ascii="黑体" w:hAnsi="Times New Roman" w:eastAsia="黑体" w:cs="黑体"/>
          <w:color w:val="000000" w:themeColor="text1"/>
          <w:sz w:val="20"/>
          <w:szCs w:val="20"/>
          <w:highlight w:val="none"/>
          <w14:textFill>
            <w14:solidFill>
              <w14:schemeClr w14:val="tx1"/>
            </w14:solidFill>
          </w14:textFill>
        </w:rPr>
        <w:t>产品投资范围</w:t>
      </w:r>
    </w:p>
    <w:p w14:paraId="09A6C5D0">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1．产品</w:t>
      </w:r>
      <w:r>
        <w:rPr>
          <w:rFonts w:ascii="楷体_GB2312" w:eastAsia="楷体_GB2312"/>
          <w:color w:val="000000" w:themeColor="text1"/>
          <w:sz w:val="20"/>
          <w:szCs w:val="20"/>
          <w:highlight w:val="none"/>
          <w14:textFill>
            <w14:solidFill>
              <w14:schemeClr w14:val="tx1"/>
            </w14:solidFill>
          </w14:textFill>
        </w:rPr>
        <w:t>投资策略：</w:t>
      </w:r>
    </w:p>
    <w:p w14:paraId="14B6C245">
      <w:pPr>
        <w:spacing w:line="300" w:lineRule="exact"/>
        <w:ind w:firstLine="4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hAnsi="楷体_GB2312" w:eastAsia="楷体_GB2312"/>
          <w:color w:val="000000" w:themeColor="text1"/>
          <w:sz w:val="20"/>
          <w:szCs w:val="20"/>
          <w:highlight w:val="none"/>
          <w14:textFill>
            <w14:solidFill>
              <w14:schemeClr w14:val="tx1"/>
            </w14:solidFill>
          </w14:textFill>
        </w:rPr>
        <w:t>本产品通过综合分析经济形势、货币政策、利率走势、行业状况、信用风险等因素，立足于经济周期的不同阶段自上而下判断利率趋势及行业趋势，并基于内部信用评级体系自下而上分析企业的市场地位、管理水平、发展趋势和财务状况等，以此作为产品投资的重要依据。产品拟通过投资存款、债券等资产，以票息收入作为实现产品相对稳定收益的基础。</w:t>
      </w:r>
    </w:p>
    <w:p w14:paraId="7F189D0C">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2</w:t>
      </w:r>
      <w:r>
        <w:rPr>
          <w:rFonts w:ascii="楷体_GB2312" w:eastAsia="楷体_GB2312"/>
          <w:color w:val="000000" w:themeColor="text1"/>
          <w:sz w:val="20"/>
          <w:szCs w:val="20"/>
          <w:highlight w:val="none"/>
          <w14:textFill>
            <w14:solidFill>
              <w14:schemeClr w14:val="tx1"/>
            </w14:solidFill>
          </w14:textFill>
        </w:rPr>
        <w:t>．</w:t>
      </w:r>
      <w:r>
        <w:rPr>
          <w:rFonts w:hint="eastAsia" w:ascii="楷体_GB2312" w:eastAsia="楷体_GB2312"/>
          <w:color w:val="000000" w:themeColor="text1"/>
          <w:sz w:val="20"/>
          <w:szCs w:val="20"/>
          <w:highlight w:val="none"/>
          <w14:textFill>
            <w14:solidFill>
              <w14:schemeClr w14:val="tx1"/>
            </w14:solidFill>
          </w14:textFill>
        </w:rPr>
        <w:t>本理财产品存续期间，投资于以下投资对象：</w:t>
      </w:r>
    </w:p>
    <w:p w14:paraId="2ECA3686">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（1）债权类资产</w:t>
      </w:r>
    </w:p>
    <w:p w14:paraId="2E2D19DE">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a</w:t>
      </w:r>
      <w:r>
        <w:rPr>
          <w:rFonts w:ascii="楷体_GB2312" w:eastAsia="楷体_GB2312"/>
          <w:color w:val="000000" w:themeColor="text1"/>
          <w:sz w:val="20"/>
          <w:szCs w:val="20"/>
          <w:highlight w:val="none"/>
          <w14:textFill>
            <w14:solidFill>
              <w14:schemeClr w14:val="tx1"/>
            </w14:solidFill>
          </w14:textFill>
        </w:rPr>
        <w:t>.</w:t>
      </w:r>
      <w:r>
        <w:rPr>
          <w:rFonts w:hint="eastAsia" w:ascii="楷体_GB2312" w:eastAsia="楷体_GB2312"/>
          <w:color w:val="000000" w:themeColor="text1"/>
          <w:sz w:val="20"/>
          <w:szCs w:val="20"/>
          <w:highlight w:val="none"/>
          <w14:textFill>
            <w14:solidFill>
              <w14:schemeClr w14:val="tx1"/>
            </w14:solidFill>
          </w14:textFill>
        </w:rPr>
        <w:t>货币市场类：现金</w:t>
      </w:r>
      <w:r>
        <w:rPr>
          <w:rFonts w:ascii="楷体_GB2312" w:eastAsia="楷体_GB2312"/>
          <w:color w:val="000000" w:themeColor="text1"/>
          <w:sz w:val="20"/>
          <w:szCs w:val="20"/>
          <w:highlight w:val="none"/>
          <w14:textFill>
            <w14:solidFill>
              <w14:schemeClr w14:val="tx1"/>
            </w14:solidFill>
          </w14:textFill>
        </w:rPr>
        <w:t>、</w:t>
      </w:r>
      <w:r>
        <w:rPr>
          <w:rFonts w:hint="eastAsia" w:ascii="楷体_GB2312" w:eastAsia="楷体_GB2312"/>
          <w:color w:val="000000" w:themeColor="text1"/>
          <w:sz w:val="20"/>
          <w:szCs w:val="20"/>
          <w:highlight w:val="none"/>
          <w14:textFill>
            <w14:solidFill>
              <w14:schemeClr w14:val="tx1"/>
            </w14:solidFill>
          </w14:textFill>
        </w:rPr>
        <w:t>存款、大额</w:t>
      </w:r>
      <w:r>
        <w:rPr>
          <w:rFonts w:ascii="楷体_GB2312" w:eastAsia="楷体_GB2312"/>
          <w:color w:val="000000" w:themeColor="text1"/>
          <w:sz w:val="20"/>
          <w:szCs w:val="20"/>
          <w:highlight w:val="none"/>
          <w14:textFill>
            <w14:solidFill>
              <w14:schemeClr w14:val="tx1"/>
            </w14:solidFill>
          </w14:textFill>
        </w:rPr>
        <w:t>存单、同业存单、</w:t>
      </w:r>
      <w:r>
        <w:rPr>
          <w:rFonts w:hint="eastAsia" w:ascii="楷体_GB2312" w:eastAsia="楷体_GB2312"/>
          <w:color w:val="000000" w:themeColor="text1"/>
          <w:sz w:val="20"/>
          <w:szCs w:val="20"/>
          <w:highlight w:val="none"/>
          <w14:textFill>
            <w14:solidFill>
              <w14:schemeClr w14:val="tx1"/>
            </w14:solidFill>
          </w14:textFill>
        </w:rPr>
        <w:t>货币基金、质押式回购和其他货币市场类资产；</w:t>
      </w:r>
    </w:p>
    <w:p w14:paraId="7DB77DC1">
      <w:pPr>
        <w:spacing w:line="300" w:lineRule="exact"/>
        <w:ind w:firstLine="422"/>
        <w:jc w:val="both"/>
        <w:rPr>
          <w:rFonts w:ascii="Times New Roman" w:hAnsi="Times New Roman"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b.固定收益类：国债</w:t>
      </w:r>
      <w:r>
        <w:rPr>
          <w:rFonts w:ascii="楷体_GB2312" w:eastAsia="楷体_GB2312"/>
          <w:color w:val="000000" w:themeColor="text1"/>
          <w:sz w:val="20"/>
          <w:szCs w:val="20"/>
          <w:highlight w:val="none"/>
          <w14:textFill>
            <w14:solidFill>
              <w14:schemeClr w14:val="tx1"/>
            </w14:solidFill>
          </w14:textFill>
        </w:rPr>
        <w:t>、地方政府债券、中央银行票据、政府机构债券、金融债券、公司信用类债券、在银行间市场和证券交易所市场发行的</w:t>
      </w:r>
      <w:r>
        <w:rPr>
          <w:rFonts w:hint="eastAsia" w:ascii="楷体_GB2312" w:eastAsia="楷体_GB2312"/>
          <w:color w:val="000000" w:themeColor="text1"/>
          <w:sz w:val="20"/>
          <w:szCs w:val="20"/>
          <w:highlight w:val="none"/>
          <w14:textFill>
            <w14:solidFill>
              <w14:schemeClr w14:val="tx1"/>
            </w14:solidFill>
          </w14:textFill>
        </w:rPr>
        <w:t>资产支持证券、非公开定向债务融资工具、债券型</w:t>
      </w:r>
      <w:r>
        <w:rPr>
          <w:rFonts w:ascii="楷体_GB2312" w:eastAsia="楷体_GB2312"/>
          <w:color w:val="000000" w:themeColor="text1"/>
          <w:sz w:val="20"/>
          <w:szCs w:val="20"/>
          <w:highlight w:val="none"/>
          <w14:textFill>
            <w14:solidFill>
              <w14:schemeClr w14:val="tx1"/>
            </w14:solidFill>
          </w14:textFill>
        </w:rPr>
        <w:t>证券投资</w:t>
      </w:r>
      <w:r>
        <w:rPr>
          <w:rFonts w:hint="eastAsia" w:ascii="楷体_GB2312" w:eastAsia="楷体_GB2312"/>
          <w:color w:val="000000" w:themeColor="text1"/>
          <w:sz w:val="20"/>
          <w:szCs w:val="20"/>
          <w:highlight w:val="none"/>
          <w14:textFill>
            <w14:solidFill>
              <w14:schemeClr w14:val="tx1"/>
            </w14:solidFill>
          </w14:textFill>
        </w:rPr>
        <w:t>基金、</w:t>
      </w:r>
      <w:r>
        <w:rPr>
          <w:rFonts w:ascii="楷体_GB2312" w:eastAsia="楷体_GB2312"/>
          <w:color w:val="000000" w:themeColor="text1"/>
          <w:sz w:val="20"/>
          <w:szCs w:val="20"/>
          <w:highlight w:val="none"/>
          <w14:textFill>
            <w14:solidFill>
              <w14:schemeClr w14:val="tx1"/>
            </w14:solidFill>
          </w14:textFill>
        </w:rPr>
        <w:t>非标准化债权类资产</w:t>
      </w:r>
      <w:r>
        <w:rPr>
          <w:rFonts w:hint="eastAsia" w:ascii="楷体_GB2312" w:eastAsia="楷体_GB2312"/>
          <w:color w:val="000000" w:themeColor="text1"/>
          <w:sz w:val="20"/>
          <w:szCs w:val="20"/>
          <w:highlight w:val="none"/>
          <w14:textFill>
            <w14:solidFill>
              <w14:schemeClr w14:val="tx1"/>
            </w14:solidFill>
          </w14:textFill>
        </w:rPr>
        <w:t>和其他固定收益类资产；</w:t>
      </w:r>
    </w:p>
    <w:p w14:paraId="44676B12">
      <w:pPr>
        <w:spacing w:line="300" w:lineRule="exact"/>
        <w:ind w:firstLine="422"/>
        <w:jc w:val="both"/>
        <w:rPr>
          <w:rFonts w:ascii="Times New Roman" w:hAnsi="Times New Roman" w:eastAsia="楷体_GB2312"/>
          <w:color w:val="000000" w:themeColor="text1"/>
          <w:sz w:val="20"/>
          <w:szCs w:val="20"/>
          <w:highlight w:val="none"/>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（2）</w:t>
      </w:r>
      <w:r>
        <w:rPr>
          <w:rFonts w:hint="eastAsia" w:ascii="Times New Roman" w:hAnsi="Times New Roman" w:eastAsia="楷体_GB2312"/>
          <w:color w:val="000000" w:themeColor="text1"/>
          <w:sz w:val="20"/>
          <w:szCs w:val="20"/>
          <w:highlight w:val="none"/>
          <w14:textFill>
            <w14:solidFill>
              <w14:schemeClr w14:val="tx1"/>
            </w14:solidFill>
          </w14:textFill>
        </w:rPr>
        <w:t>权益</w:t>
      </w:r>
      <w:r>
        <w:rPr>
          <w:rFonts w:ascii="Times New Roman" w:hAnsi="Times New Roman" w:eastAsia="楷体_GB2312"/>
          <w:color w:val="000000" w:themeColor="text1"/>
          <w:sz w:val="20"/>
          <w:szCs w:val="20"/>
          <w:highlight w:val="none"/>
          <w14:textFill>
            <w14:solidFill>
              <w14:schemeClr w14:val="tx1"/>
            </w14:solidFill>
          </w14:textFill>
        </w:rPr>
        <w:t>类</w:t>
      </w:r>
      <w:r>
        <w:rPr>
          <w:rFonts w:hint="eastAsia" w:ascii="Times New Roman" w:hAnsi="Times New Roman" w:eastAsia="楷体_GB2312"/>
          <w:color w:val="000000" w:themeColor="text1"/>
          <w:sz w:val="20"/>
          <w:szCs w:val="20"/>
          <w:highlight w:val="none"/>
          <w14:textFill>
            <w14:solidFill>
              <w14:schemeClr w14:val="tx1"/>
            </w14:solidFill>
          </w14:textFill>
        </w:rPr>
        <w:t>资产</w:t>
      </w:r>
      <w:r>
        <w:rPr>
          <w:rFonts w:ascii="Times New Roman" w:hAnsi="Times New Roman" w:eastAsia="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上市</w:t>
      </w:r>
      <w:r>
        <w:rPr>
          <w:rFonts w:ascii="楷体_GB2312" w:eastAsia="楷体_GB2312" w:cs="楷体_GB2312"/>
          <w:color w:val="000000" w:themeColor="text1"/>
          <w:sz w:val="20"/>
          <w:szCs w:val="20"/>
          <w:highlight w:val="none"/>
          <w14:textFill>
            <w14:solidFill>
              <w14:schemeClr w14:val="tx1"/>
            </w14:solidFill>
          </w14:textFill>
        </w:rPr>
        <w:t>交易</w:t>
      </w:r>
      <w:r>
        <w:rPr>
          <w:rFonts w:hint="eastAsia" w:ascii="楷体_GB2312" w:eastAsia="楷体_GB2312" w:cs="楷体_GB2312"/>
          <w:color w:val="000000" w:themeColor="text1"/>
          <w:sz w:val="20"/>
          <w:szCs w:val="20"/>
          <w:highlight w:val="none"/>
          <w14:textFill>
            <w14:solidFill>
              <w14:schemeClr w14:val="tx1"/>
            </w14:solidFill>
          </w14:textFill>
        </w:rPr>
        <w:t>的</w:t>
      </w:r>
      <w:r>
        <w:rPr>
          <w:rFonts w:ascii="楷体_GB2312" w:eastAsia="楷体_GB2312" w:cs="楷体_GB2312"/>
          <w:color w:val="000000" w:themeColor="text1"/>
          <w:sz w:val="20"/>
          <w:szCs w:val="20"/>
          <w:highlight w:val="none"/>
          <w14:textFill>
            <w14:solidFill>
              <w14:schemeClr w14:val="tx1"/>
            </w14:solidFill>
          </w14:textFill>
        </w:rPr>
        <w:t>股票以及法律法规允许或监管部门批准的其他具备权益特征的资产和资产组合</w:t>
      </w:r>
      <w:r>
        <w:rPr>
          <w:rFonts w:ascii="Times New Roman" w:hAnsi="Times New Roman" w:eastAsia="楷体_GB2312"/>
          <w:color w:val="000000" w:themeColor="text1"/>
          <w:sz w:val="20"/>
          <w:szCs w:val="20"/>
          <w:highlight w:val="none"/>
          <w14:textFill>
            <w14:solidFill>
              <w14:schemeClr w14:val="tx1"/>
            </w14:solidFill>
          </w14:textFill>
        </w:rPr>
        <w:t>。</w:t>
      </w:r>
    </w:p>
    <w:p w14:paraId="68B78336">
      <w:pPr>
        <w:spacing w:line="300" w:lineRule="exact"/>
        <w:ind w:firstLine="422"/>
        <w:jc w:val="both"/>
        <w:rPr>
          <w:rFonts w:ascii="Times New Roman" w:hAnsi="Times New Roman" w:eastAsia="楷体_GB2312"/>
          <w:color w:val="000000" w:themeColor="text1"/>
          <w:sz w:val="20"/>
          <w:szCs w:val="20"/>
          <w:highlight w:val="none"/>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（3）</w:t>
      </w:r>
      <w:r>
        <w:rPr>
          <w:rFonts w:hint="eastAsia" w:ascii="Times New Roman" w:hAnsi="Times New Roman" w:eastAsia="楷体_GB2312"/>
          <w:color w:val="000000" w:themeColor="text1"/>
          <w:sz w:val="20"/>
          <w:szCs w:val="20"/>
          <w:highlight w:val="none"/>
          <w14:textFill>
            <w14:solidFill>
              <w14:schemeClr w14:val="tx1"/>
            </w14:solidFill>
          </w14:textFill>
        </w:rPr>
        <w:t>商品</w:t>
      </w:r>
      <w:r>
        <w:rPr>
          <w:rFonts w:ascii="Times New Roman" w:hAnsi="Times New Roman" w:eastAsia="楷体_GB2312"/>
          <w:color w:val="000000" w:themeColor="text1"/>
          <w:sz w:val="20"/>
          <w:szCs w:val="20"/>
          <w:highlight w:val="none"/>
          <w14:textFill>
            <w14:solidFill>
              <w14:schemeClr w14:val="tx1"/>
            </w14:solidFill>
          </w14:textFill>
        </w:rPr>
        <w:t>及</w:t>
      </w:r>
      <w:r>
        <w:rPr>
          <w:rFonts w:hint="eastAsia" w:ascii="Times New Roman" w:hAnsi="Times New Roman" w:eastAsia="楷体_GB2312"/>
          <w:color w:val="000000" w:themeColor="text1"/>
          <w:sz w:val="20"/>
          <w:szCs w:val="20"/>
          <w:highlight w:val="none"/>
          <w14:textFill>
            <w14:solidFill>
              <w14:schemeClr w14:val="tx1"/>
            </w14:solidFill>
          </w14:textFill>
        </w:rPr>
        <w:t>金融</w:t>
      </w:r>
      <w:r>
        <w:rPr>
          <w:rFonts w:ascii="Times New Roman" w:hAnsi="Times New Roman" w:eastAsia="楷体_GB2312"/>
          <w:color w:val="000000" w:themeColor="text1"/>
          <w:sz w:val="20"/>
          <w:szCs w:val="20"/>
          <w:highlight w:val="none"/>
          <w14:textFill>
            <w14:solidFill>
              <w14:schemeClr w14:val="tx1"/>
            </w14:solidFill>
          </w14:textFill>
        </w:rPr>
        <w:t>衍生品类资产：</w:t>
      </w:r>
      <w:r>
        <w:rPr>
          <w:rFonts w:hint="eastAsia" w:ascii="Times New Roman" w:hAnsi="Times New Roman" w:eastAsia="楷体_GB2312"/>
          <w:color w:val="000000" w:themeColor="text1"/>
          <w:sz w:val="20"/>
          <w:szCs w:val="20"/>
          <w:highlight w:val="none"/>
          <w14:textFill>
            <w14:solidFill>
              <w14:schemeClr w14:val="tx1"/>
            </w14:solidFill>
          </w14:textFill>
        </w:rPr>
        <w:t>商品现货，互换</w:t>
      </w:r>
      <w:r>
        <w:rPr>
          <w:rFonts w:ascii="Times New Roman" w:hAnsi="Times New Roman" w:eastAsia="楷体_GB2312"/>
          <w:color w:val="000000" w:themeColor="text1"/>
          <w:sz w:val="20"/>
          <w:szCs w:val="20"/>
          <w:highlight w:val="none"/>
          <w14:textFill>
            <w14:solidFill>
              <w14:schemeClr w14:val="tx1"/>
            </w14:solidFill>
          </w14:textFill>
        </w:rPr>
        <w:t>、</w:t>
      </w:r>
      <w:r>
        <w:rPr>
          <w:rFonts w:hint="eastAsia" w:ascii="Times New Roman" w:hAnsi="Times New Roman" w:eastAsia="楷体_GB2312"/>
          <w:color w:val="000000" w:themeColor="text1"/>
          <w:sz w:val="20"/>
          <w:szCs w:val="20"/>
          <w:highlight w:val="none"/>
          <w14:textFill>
            <w14:solidFill>
              <w14:schemeClr w14:val="tx1"/>
            </w14:solidFill>
          </w14:textFill>
        </w:rPr>
        <w:t>远期、掉期、期货、期权、信用风险缓释工具等衍生工具及其他资产或者资产组合（管理人将通过其他资产管理产品以及其他符合法律法规的投资渠道和方式实现对商品及金融衍生品类资产的投资）。</w:t>
      </w:r>
    </w:p>
    <w:p w14:paraId="1496556E">
      <w:pPr>
        <w:spacing w:line="300" w:lineRule="exact"/>
        <w:ind w:firstLine="400" w:firstLineChars="200"/>
        <w:jc w:val="both"/>
        <w:rPr>
          <w:rFonts w:ascii="Times New Roman" w:hAnsi="Times New Roman" w:eastAsia="楷体_GB2312"/>
          <w:color w:val="000000" w:themeColor="text1"/>
          <w:sz w:val="20"/>
          <w:szCs w:val="20"/>
          <w:highlight w:val="none"/>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3．</w:t>
      </w:r>
      <w:r>
        <w:rPr>
          <w:rFonts w:hint="eastAsia" w:ascii="Times New Roman" w:hAnsi="Times New Roman" w:eastAsia="楷体_GB2312"/>
          <w:color w:val="000000" w:themeColor="text1"/>
          <w:sz w:val="20"/>
          <w:szCs w:val="20"/>
          <w:highlight w:val="none"/>
          <w14:textFill>
            <w14:solidFill>
              <w14:schemeClr w14:val="tx1"/>
            </w14:solidFill>
          </w14:textFill>
        </w:rPr>
        <w:t>各</w:t>
      </w:r>
      <w:r>
        <w:rPr>
          <w:rFonts w:ascii="Times New Roman" w:hAnsi="Times New Roman" w:eastAsia="楷体_GB2312"/>
          <w:color w:val="000000" w:themeColor="text1"/>
          <w:sz w:val="20"/>
          <w:szCs w:val="20"/>
          <w:highlight w:val="none"/>
          <w14:textFill>
            <w14:solidFill>
              <w14:schemeClr w14:val="tx1"/>
            </w14:solidFill>
          </w14:textFill>
        </w:rPr>
        <w:t>投资对象投资比例为：</w:t>
      </w:r>
    </w:p>
    <w:tbl>
      <w:tblPr>
        <w:tblStyle w:val="8"/>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713"/>
        <w:gridCol w:w="3815"/>
      </w:tblGrid>
      <w:tr w14:paraId="1294D8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63" w:type="pct"/>
            <w:vAlign w:val="center"/>
          </w:tcPr>
          <w:p w14:paraId="302C1B45">
            <w:pPr>
              <w:ind w:right="29" w:rightChars="12"/>
              <w:jc w:val="center"/>
              <w:rPr>
                <w:rFonts w:ascii="楷体" w:hAnsi="楷体" w:eastAsia="楷体"/>
                <w:b/>
                <w:bCs/>
                <w:color w:val="000000" w:themeColor="text1"/>
                <w:sz w:val="20"/>
                <w:szCs w:val="20"/>
                <w:highlight w:val="none"/>
                <w14:textFill>
                  <w14:solidFill>
                    <w14:schemeClr w14:val="tx1"/>
                  </w14:solidFill>
                </w14:textFill>
              </w:rPr>
            </w:pPr>
            <w:r>
              <w:rPr>
                <w:rFonts w:hint="eastAsia" w:ascii="楷体" w:hAnsi="楷体" w:eastAsia="楷体"/>
                <w:b/>
                <w:bCs/>
                <w:color w:val="000000" w:themeColor="text1"/>
                <w:sz w:val="20"/>
                <w:szCs w:val="20"/>
                <w:highlight w:val="none"/>
                <w14:textFill>
                  <w14:solidFill>
                    <w14:schemeClr w14:val="tx1"/>
                  </w14:solidFill>
                </w14:textFill>
              </w:rPr>
              <w:t>资产种类</w:t>
            </w:r>
          </w:p>
        </w:tc>
        <w:tc>
          <w:tcPr>
            <w:tcW w:w="2237" w:type="pct"/>
            <w:vAlign w:val="center"/>
          </w:tcPr>
          <w:p w14:paraId="5B168248">
            <w:pPr>
              <w:ind w:right="29" w:rightChars="12"/>
              <w:jc w:val="center"/>
              <w:rPr>
                <w:rFonts w:ascii="楷体" w:hAnsi="楷体" w:eastAsia="楷体"/>
                <w:b/>
                <w:bCs/>
                <w:color w:val="000000" w:themeColor="text1"/>
                <w:sz w:val="20"/>
                <w:szCs w:val="20"/>
                <w:highlight w:val="none"/>
                <w14:textFill>
                  <w14:solidFill>
                    <w14:schemeClr w14:val="tx1"/>
                  </w14:solidFill>
                </w14:textFill>
              </w:rPr>
            </w:pPr>
            <w:r>
              <w:rPr>
                <w:rFonts w:hint="eastAsia" w:ascii="楷体" w:hAnsi="楷体" w:eastAsia="楷体"/>
                <w:b/>
                <w:bCs/>
                <w:color w:val="000000" w:themeColor="text1"/>
                <w:sz w:val="20"/>
                <w:szCs w:val="20"/>
                <w:highlight w:val="none"/>
                <w14:textFill>
                  <w14:solidFill>
                    <w14:schemeClr w14:val="tx1"/>
                  </w14:solidFill>
                </w14:textFill>
              </w:rPr>
              <w:t>投资比例</w:t>
            </w:r>
          </w:p>
        </w:tc>
      </w:tr>
      <w:tr w14:paraId="6AAEF2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63" w:type="pct"/>
            <w:vAlign w:val="center"/>
          </w:tcPr>
          <w:p w14:paraId="601BFF89">
            <w:pPr>
              <w:ind w:right="29" w:rightChars="12"/>
              <w:jc w:val="center"/>
              <w:rPr>
                <w:rFonts w:ascii="楷体" w:hAnsi="楷体" w:eastAsia="楷体"/>
                <w:color w:val="000000" w:themeColor="text1"/>
                <w:sz w:val="20"/>
                <w:szCs w:val="20"/>
                <w:highlight w:val="none"/>
                <w14:textFill>
                  <w14:solidFill>
                    <w14:schemeClr w14:val="tx1"/>
                  </w14:solidFill>
                </w14:textFill>
              </w:rPr>
            </w:pPr>
            <w:r>
              <w:rPr>
                <w:rFonts w:hint="eastAsia" w:ascii="楷体" w:hAnsi="楷体" w:eastAsia="楷体"/>
                <w:color w:val="000000" w:themeColor="text1"/>
                <w:sz w:val="20"/>
                <w:szCs w:val="20"/>
                <w:highlight w:val="none"/>
                <w14:textFill>
                  <w14:solidFill>
                    <w14:schemeClr w14:val="tx1"/>
                  </w14:solidFill>
                </w14:textFill>
              </w:rPr>
              <w:t>债权类资产</w:t>
            </w:r>
          </w:p>
        </w:tc>
        <w:tc>
          <w:tcPr>
            <w:tcW w:w="2237" w:type="pct"/>
            <w:vAlign w:val="center"/>
          </w:tcPr>
          <w:p w14:paraId="1A4666E1">
            <w:pPr>
              <w:ind w:right="29" w:rightChars="12"/>
              <w:jc w:val="center"/>
              <w:rPr>
                <w:rFonts w:ascii="楷体" w:hAnsi="楷体" w:eastAsia="楷体"/>
                <w:color w:val="000000" w:themeColor="text1"/>
                <w:sz w:val="20"/>
                <w:szCs w:val="20"/>
                <w:highlight w:val="none"/>
                <w14:textFill>
                  <w14:solidFill>
                    <w14:schemeClr w14:val="tx1"/>
                  </w14:solidFill>
                </w14:textFill>
              </w:rPr>
            </w:pPr>
            <w:r>
              <w:rPr>
                <w:rFonts w:hint="eastAsia" w:ascii="楷体" w:hAnsi="楷体" w:eastAsia="楷体"/>
                <w:color w:val="000000" w:themeColor="text1"/>
                <w:sz w:val="20"/>
                <w:szCs w:val="20"/>
                <w:highlight w:val="none"/>
                <w14:textFill>
                  <w14:solidFill>
                    <w14:schemeClr w14:val="tx1"/>
                  </w14:solidFill>
                </w14:textFill>
              </w:rPr>
              <w:t>【</w:t>
            </w:r>
            <w:r>
              <w:rPr>
                <w:rFonts w:ascii="楷体" w:hAnsi="楷体" w:eastAsia="楷体"/>
                <w:color w:val="000000" w:themeColor="text1"/>
                <w:sz w:val="20"/>
                <w:szCs w:val="20"/>
                <w:highlight w:val="none"/>
                <w14:textFill>
                  <w14:solidFill>
                    <w14:schemeClr w14:val="tx1"/>
                  </w14:solidFill>
                </w14:textFill>
              </w:rPr>
              <w:t>100%</w:t>
            </w:r>
            <w:r>
              <w:rPr>
                <w:rFonts w:hint="eastAsia" w:ascii="楷体" w:hAnsi="楷体" w:eastAsia="楷体"/>
                <w:color w:val="000000" w:themeColor="text1"/>
                <w:sz w:val="20"/>
                <w:szCs w:val="20"/>
                <w:highlight w:val="none"/>
                <w14:textFill>
                  <w14:solidFill>
                    <w14:schemeClr w14:val="tx1"/>
                  </w14:solidFill>
                </w14:textFill>
              </w:rPr>
              <w:t>】</w:t>
            </w:r>
          </w:p>
        </w:tc>
      </w:tr>
      <w:tr w14:paraId="6170D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63" w:type="pct"/>
            <w:vAlign w:val="center"/>
          </w:tcPr>
          <w:p w14:paraId="15C9AE6C">
            <w:pPr>
              <w:ind w:right="29" w:rightChars="12"/>
              <w:jc w:val="center"/>
              <w:rPr>
                <w:rFonts w:ascii="楷体" w:hAnsi="楷体" w:eastAsia="楷体"/>
                <w:color w:val="000000" w:themeColor="text1"/>
                <w:sz w:val="20"/>
                <w:szCs w:val="20"/>
                <w:highlight w:val="none"/>
                <w14:textFill>
                  <w14:solidFill>
                    <w14:schemeClr w14:val="tx1"/>
                  </w14:solidFill>
                </w14:textFill>
              </w:rPr>
            </w:pPr>
            <w:r>
              <w:rPr>
                <w:rFonts w:hint="eastAsia" w:ascii="楷体" w:hAnsi="楷体" w:eastAsia="楷体"/>
                <w:color w:val="000000" w:themeColor="text1"/>
                <w:sz w:val="20"/>
                <w:szCs w:val="20"/>
                <w:highlight w:val="none"/>
                <w14:textFill>
                  <w14:solidFill>
                    <w14:schemeClr w14:val="tx1"/>
                  </w14:solidFill>
                </w14:textFill>
              </w:rPr>
              <w:t>其中</w:t>
            </w:r>
            <w:r>
              <w:rPr>
                <w:rFonts w:ascii="楷体" w:hAnsi="楷体" w:eastAsia="楷体"/>
                <w:color w:val="000000" w:themeColor="text1"/>
                <w:sz w:val="20"/>
                <w:szCs w:val="20"/>
                <w:highlight w:val="none"/>
                <w14:textFill>
                  <w14:solidFill>
                    <w14:schemeClr w14:val="tx1"/>
                  </w14:solidFill>
                </w14:textFill>
              </w:rPr>
              <w:t>，非标准化债权类资产</w:t>
            </w:r>
          </w:p>
        </w:tc>
        <w:tc>
          <w:tcPr>
            <w:tcW w:w="2237" w:type="pct"/>
            <w:vAlign w:val="center"/>
          </w:tcPr>
          <w:p w14:paraId="7E98D76F">
            <w:pPr>
              <w:ind w:right="29" w:rightChars="12"/>
              <w:jc w:val="center"/>
              <w:rPr>
                <w:rFonts w:ascii="楷体" w:hAnsi="楷体" w:eastAsia="楷体"/>
                <w:color w:val="000000" w:themeColor="text1"/>
                <w:sz w:val="20"/>
                <w:szCs w:val="20"/>
                <w:highlight w:val="none"/>
                <w14:textFill>
                  <w14:solidFill>
                    <w14:schemeClr w14:val="tx1"/>
                  </w14:solidFill>
                </w14:textFill>
              </w:rPr>
            </w:pPr>
            <w:r>
              <w:rPr>
                <w:rFonts w:hint="eastAsia" w:ascii="楷体" w:hAnsi="楷体" w:eastAsia="楷体"/>
                <w:color w:val="000000" w:themeColor="text1"/>
                <w:sz w:val="20"/>
                <w:szCs w:val="20"/>
                <w:highlight w:val="none"/>
                <w14:textFill>
                  <w14:solidFill>
                    <w14:schemeClr w14:val="tx1"/>
                  </w14:solidFill>
                </w14:textFill>
              </w:rPr>
              <w:t>【0%</w:t>
            </w:r>
            <w:r>
              <w:rPr>
                <w:rFonts w:ascii="楷体" w:hAnsi="楷体" w:eastAsia="楷体"/>
                <w:color w:val="000000" w:themeColor="text1"/>
                <w:sz w:val="20"/>
                <w:szCs w:val="20"/>
                <w:highlight w:val="none"/>
                <w14:textFill>
                  <w14:solidFill>
                    <w14:schemeClr w14:val="tx1"/>
                  </w14:solidFill>
                </w14:textFill>
              </w:rPr>
              <w:t>】</w:t>
            </w:r>
          </w:p>
        </w:tc>
      </w:tr>
      <w:tr w14:paraId="01D3C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63" w:type="pct"/>
            <w:vAlign w:val="center"/>
          </w:tcPr>
          <w:p w14:paraId="7CD069F6">
            <w:pPr>
              <w:ind w:right="29" w:rightChars="12"/>
              <w:jc w:val="center"/>
              <w:rPr>
                <w:rFonts w:ascii="楷体" w:hAnsi="楷体" w:eastAsia="楷体"/>
                <w:color w:val="000000" w:themeColor="text1"/>
                <w:sz w:val="20"/>
                <w:szCs w:val="20"/>
                <w:highlight w:val="none"/>
                <w14:textFill>
                  <w14:solidFill>
                    <w14:schemeClr w14:val="tx1"/>
                  </w14:solidFill>
                </w14:textFill>
              </w:rPr>
            </w:pPr>
            <w:r>
              <w:rPr>
                <w:rFonts w:hint="eastAsia" w:ascii="楷体" w:hAnsi="楷体" w:eastAsia="楷体"/>
                <w:color w:val="000000" w:themeColor="text1"/>
                <w:sz w:val="20"/>
                <w:szCs w:val="20"/>
                <w:highlight w:val="none"/>
                <w14:textFill>
                  <w14:solidFill>
                    <w14:schemeClr w14:val="tx1"/>
                  </w14:solidFill>
                </w14:textFill>
              </w:rPr>
              <w:t>权益类资产</w:t>
            </w:r>
          </w:p>
        </w:tc>
        <w:tc>
          <w:tcPr>
            <w:tcW w:w="2237" w:type="pct"/>
            <w:vAlign w:val="center"/>
          </w:tcPr>
          <w:p w14:paraId="64438C50">
            <w:pPr>
              <w:ind w:right="29" w:rightChars="12"/>
              <w:jc w:val="center"/>
              <w:rPr>
                <w:rFonts w:ascii="楷体" w:hAnsi="楷体" w:eastAsia="楷体"/>
                <w:color w:val="000000" w:themeColor="text1"/>
                <w:sz w:val="20"/>
                <w:szCs w:val="20"/>
                <w:highlight w:val="none"/>
                <w14:textFill>
                  <w14:solidFill>
                    <w14:schemeClr w14:val="tx1"/>
                  </w14:solidFill>
                </w14:textFill>
              </w:rPr>
            </w:pPr>
            <w:r>
              <w:rPr>
                <w:rFonts w:hint="eastAsia" w:ascii="楷体" w:hAnsi="楷体" w:eastAsia="楷体"/>
                <w:color w:val="000000" w:themeColor="text1"/>
                <w:sz w:val="20"/>
                <w:szCs w:val="20"/>
                <w:highlight w:val="none"/>
                <w14:textFill>
                  <w14:solidFill>
                    <w14:schemeClr w14:val="tx1"/>
                  </w14:solidFill>
                </w14:textFill>
              </w:rPr>
              <w:t>【0%】</w:t>
            </w:r>
          </w:p>
        </w:tc>
      </w:tr>
      <w:tr w14:paraId="4B5B8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63" w:type="pct"/>
            <w:vAlign w:val="center"/>
          </w:tcPr>
          <w:p w14:paraId="05110173">
            <w:pPr>
              <w:ind w:right="29" w:rightChars="12"/>
              <w:jc w:val="center"/>
              <w:rPr>
                <w:rFonts w:ascii="楷体" w:hAnsi="楷体" w:eastAsia="楷体"/>
                <w:color w:val="000000" w:themeColor="text1"/>
                <w:sz w:val="20"/>
                <w:szCs w:val="20"/>
                <w:highlight w:val="none"/>
                <w14:textFill>
                  <w14:solidFill>
                    <w14:schemeClr w14:val="tx1"/>
                  </w14:solidFill>
                </w14:textFill>
              </w:rPr>
            </w:pPr>
            <w:r>
              <w:rPr>
                <w:rFonts w:hint="eastAsia" w:ascii="楷体" w:hAnsi="楷体" w:eastAsia="楷体"/>
                <w:color w:val="000000" w:themeColor="text1"/>
                <w:sz w:val="20"/>
                <w:szCs w:val="20"/>
                <w:highlight w:val="none"/>
                <w14:textFill>
                  <w14:solidFill>
                    <w14:schemeClr w14:val="tx1"/>
                  </w14:solidFill>
                </w14:textFill>
              </w:rPr>
              <w:t>商品</w:t>
            </w:r>
            <w:r>
              <w:rPr>
                <w:rFonts w:ascii="楷体" w:hAnsi="楷体" w:eastAsia="楷体"/>
                <w:color w:val="000000" w:themeColor="text1"/>
                <w:sz w:val="20"/>
                <w:szCs w:val="20"/>
                <w:highlight w:val="none"/>
                <w14:textFill>
                  <w14:solidFill>
                    <w14:schemeClr w14:val="tx1"/>
                  </w14:solidFill>
                </w14:textFill>
              </w:rPr>
              <w:t>及</w:t>
            </w:r>
            <w:r>
              <w:rPr>
                <w:rFonts w:hint="eastAsia" w:ascii="楷体" w:hAnsi="楷体" w:eastAsia="楷体"/>
                <w:color w:val="000000" w:themeColor="text1"/>
                <w:sz w:val="20"/>
                <w:szCs w:val="20"/>
                <w:highlight w:val="none"/>
                <w14:textFill>
                  <w14:solidFill>
                    <w14:schemeClr w14:val="tx1"/>
                  </w14:solidFill>
                </w14:textFill>
              </w:rPr>
              <w:t>金融</w:t>
            </w:r>
            <w:r>
              <w:rPr>
                <w:rFonts w:ascii="楷体" w:hAnsi="楷体" w:eastAsia="楷体"/>
                <w:color w:val="000000" w:themeColor="text1"/>
                <w:sz w:val="20"/>
                <w:szCs w:val="20"/>
                <w:highlight w:val="none"/>
                <w14:textFill>
                  <w14:solidFill>
                    <w14:schemeClr w14:val="tx1"/>
                  </w14:solidFill>
                </w14:textFill>
              </w:rPr>
              <w:t>衍生品类</w:t>
            </w:r>
            <w:r>
              <w:rPr>
                <w:rFonts w:hint="eastAsia" w:ascii="楷体" w:hAnsi="楷体" w:eastAsia="楷体"/>
                <w:color w:val="000000" w:themeColor="text1"/>
                <w:sz w:val="20"/>
                <w:szCs w:val="20"/>
                <w:highlight w:val="none"/>
                <w14:textFill>
                  <w14:solidFill>
                    <w14:schemeClr w14:val="tx1"/>
                  </w14:solidFill>
                </w14:textFill>
              </w:rPr>
              <w:t>资产：持仓合约价值</w:t>
            </w:r>
          </w:p>
        </w:tc>
        <w:tc>
          <w:tcPr>
            <w:tcW w:w="2237" w:type="pct"/>
            <w:vAlign w:val="center"/>
          </w:tcPr>
          <w:p w14:paraId="5DF3428F">
            <w:pPr>
              <w:ind w:right="29" w:rightChars="12"/>
              <w:jc w:val="center"/>
              <w:rPr>
                <w:rFonts w:ascii="楷体" w:hAnsi="楷体" w:eastAsia="楷体"/>
                <w:color w:val="000000" w:themeColor="text1"/>
                <w:sz w:val="20"/>
                <w:szCs w:val="20"/>
                <w:highlight w:val="none"/>
                <w14:textFill>
                  <w14:solidFill>
                    <w14:schemeClr w14:val="tx1"/>
                  </w14:solidFill>
                </w14:textFill>
              </w:rPr>
            </w:pPr>
            <w:r>
              <w:rPr>
                <w:rFonts w:hint="eastAsia" w:ascii="楷体" w:hAnsi="楷体" w:eastAsia="楷体"/>
                <w:color w:val="000000" w:themeColor="text1"/>
                <w:sz w:val="20"/>
                <w:szCs w:val="20"/>
                <w:highlight w:val="none"/>
                <w14:textFill>
                  <w14:solidFill>
                    <w14:schemeClr w14:val="tx1"/>
                  </w14:solidFill>
                </w14:textFill>
              </w:rPr>
              <w:t>【0%】</w:t>
            </w:r>
          </w:p>
        </w:tc>
      </w:tr>
      <w:tr w14:paraId="59A1D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63" w:type="pct"/>
            <w:vAlign w:val="center"/>
          </w:tcPr>
          <w:p w14:paraId="5BBF0246">
            <w:pPr>
              <w:ind w:right="29" w:rightChars="12"/>
              <w:jc w:val="center"/>
              <w:rPr>
                <w:rFonts w:ascii="楷体" w:hAnsi="楷体" w:eastAsia="楷体"/>
                <w:color w:val="000000" w:themeColor="text1"/>
                <w:sz w:val="20"/>
                <w:szCs w:val="20"/>
                <w:highlight w:val="none"/>
                <w14:textFill>
                  <w14:solidFill>
                    <w14:schemeClr w14:val="tx1"/>
                  </w14:solidFill>
                </w14:textFill>
              </w:rPr>
            </w:pPr>
            <w:r>
              <w:rPr>
                <w:rFonts w:hint="eastAsia" w:ascii="楷体" w:hAnsi="楷体" w:eastAsia="楷体"/>
                <w:color w:val="000000" w:themeColor="text1"/>
                <w:sz w:val="20"/>
                <w:szCs w:val="20"/>
                <w:highlight w:val="none"/>
                <w14:textFill>
                  <w14:solidFill>
                    <w14:schemeClr w14:val="tx1"/>
                  </w14:solidFill>
                </w14:textFill>
              </w:rPr>
              <w:t>商品</w:t>
            </w:r>
            <w:r>
              <w:rPr>
                <w:rFonts w:ascii="楷体" w:hAnsi="楷体" w:eastAsia="楷体"/>
                <w:color w:val="000000" w:themeColor="text1"/>
                <w:sz w:val="20"/>
                <w:szCs w:val="20"/>
                <w:highlight w:val="none"/>
                <w14:textFill>
                  <w14:solidFill>
                    <w14:schemeClr w14:val="tx1"/>
                  </w14:solidFill>
                </w14:textFill>
              </w:rPr>
              <w:t>及</w:t>
            </w:r>
            <w:r>
              <w:rPr>
                <w:rFonts w:hint="eastAsia" w:ascii="楷体" w:hAnsi="楷体" w:eastAsia="楷体"/>
                <w:color w:val="000000" w:themeColor="text1"/>
                <w:sz w:val="20"/>
                <w:szCs w:val="20"/>
                <w:highlight w:val="none"/>
                <w14:textFill>
                  <w14:solidFill>
                    <w14:schemeClr w14:val="tx1"/>
                  </w14:solidFill>
                </w14:textFill>
              </w:rPr>
              <w:t>金融</w:t>
            </w:r>
            <w:r>
              <w:rPr>
                <w:rFonts w:ascii="楷体" w:hAnsi="楷体" w:eastAsia="楷体"/>
                <w:color w:val="000000" w:themeColor="text1"/>
                <w:sz w:val="20"/>
                <w:szCs w:val="20"/>
                <w:highlight w:val="none"/>
                <w14:textFill>
                  <w14:solidFill>
                    <w14:schemeClr w14:val="tx1"/>
                  </w14:solidFill>
                </w14:textFill>
              </w:rPr>
              <w:t>衍生品类</w:t>
            </w:r>
            <w:r>
              <w:rPr>
                <w:rFonts w:hint="eastAsia" w:ascii="楷体" w:hAnsi="楷体" w:eastAsia="楷体"/>
                <w:color w:val="000000" w:themeColor="text1"/>
                <w:sz w:val="20"/>
                <w:szCs w:val="20"/>
                <w:highlight w:val="none"/>
                <w14:textFill>
                  <w14:solidFill>
                    <w14:schemeClr w14:val="tx1"/>
                  </w14:solidFill>
                </w14:textFill>
              </w:rPr>
              <w:t>资产：衍生品账户权益</w:t>
            </w:r>
          </w:p>
        </w:tc>
        <w:tc>
          <w:tcPr>
            <w:tcW w:w="2237" w:type="pct"/>
            <w:vAlign w:val="center"/>
          </w:tcPr>
          <w:p w14:paraId="527A78F6">
            <w:pPr>
              <w:ind w:right="29" w:rightChars="12"/>
              <w:jc w:val="center"/>
              <w:rPr>
                <w:rFonts w:ascii="楷体" w:hAnsi="楷体" w:eastAsia="楷体"/>
                <w:color w:val="000000" w:themeColor="text1"/>
                <w:sz w:val="20"/>
                <w:szCs w:val="20"/>
                <w:highlight w:val="none"/>
                <w14:textFill>
                  <w14:solidFill>
                    <w14:schemeClr w14:val="tx1"/>
                  </w14:solidFill>
                </w14:textFill>
              </w:rPr>
            </w:pPr>
            <w:r>
              <w:rPr>
                <w:rFonts w:hint="eastAsia" w:ascii="楷体" w:hAnsi="楷体" w:eastAsia="楷体"/>
                <w:color w:val="000000" w:themeColor="text1"/>
                <w:sz w:val="20"/>
                <w:szCs w:val="20"/>
                <w:highlight w:val="none"/>
                <w14:textFill>
                  <w14:solidFill>
                    <w14:schemeClr w14:val="tx1"/>
                  </w14:solidFill>
                </w14:textFill>
              </w:rPr>
              <w:t>【0%】</w:t>
            </w:r>
          </w:p>
        </w:tc>
      </w:tr>
    </w:tbl>
    <w:p w14:paraId="6B6BFDF5">
      <w:pPr>
        <w:spacing w:line="300" w:lineRule="exact"/>
        <w:ind w:firstLine="400" w:firstLineChars="200"/>
        <w:jc w:val="both"/>
        <w:rPr>
          <w:rFonts w:ascii="Times New Roman" w:hAnsi="Times New Roman" w:eastAsia="楷体_GB2312" w:cs="楷体_GB2312"/>
          <w:color w:val="000000" w:themeColor="text1"/>
          <w:sz w:val="20"/>
          <w:szCs w:val="20"/>
          <w:highlight w:val="none"/>
          <w14:textFill>
            <w14:solidFill>
              <w14:schemeClr w14:val="tx1"/>
            </w14:solidFill>
          </w14:textFill>
        </w:rPr>
      </w:pPr>
      <w:r>
        <w:rPr>
          <w:rFonts w:hint="eastAsia" w:ascii="Times New Roman" w:hAnsi="Times New Roman" w:eastAsia="楷体_GB2312" w:cs="楷体_GB2312"/>
          <w:color w:val="000000" w:themeColor="text1"/>
          <w:sz w:val="20"/>
          <w:szCs w:val="20"/>
          <w:highlight w:val="none"/>
          <w14:textFill>
            <w14:solidFill>
              <w14:schemeClr w14:val="tx1"/>
            </w14:solidFill>
          </w14:textFill>
        </w:rPr>
        <w:t>（若本产品为商品及金融衍生品类产品，则上表中“持仓合约价值”及“衍生品账户权益”两项比例应同时满足；若本产品为其他类型产品，则上表中“持仓合约价值”及“衍生品账户权益”两项比例仅须满足其一。）</w:t>
      </w:r>
    </w:p>
    <w:p w14:paraId="229C4BE4">
      <w:pPr>
        <w:spacing w:line="300" w:lineRule="exact"/>
        <w:ind w:firstLine="400" w:firstLineChars="200"/>
        <w:jc w:val="both"/>
        <w:rPr>
          <w:rFonts w:ascii="Times New Roman" w:hAnsi="Times New Roman" w:eastAsia="楷体_GB2312" w:cs="楷体_GB2312"/>
          <w:color w:val="000000" w:themeColor="text1"/>
          <w:sz w:val="20"/>
          <w:szCs w:val="20"/>
          <w:highlight w:val="none"/>
          <w14:textFill>
            <w14:solidFill>
              <w14:schemeClr w14:val="tx1"/>
            </w14:solidFill>
          </w14:textFill>
        </w:rPr>
      </w:pPr>
      <w:r>
        <w:rPr>
          <w:rFonts w:hint="eastAsia" w:ascii="Times New Roman" w:hAnsi="Times New Roman" w:eastAsia="楷体_GB2312" w:cs="楷体_GB2312"/>
          <w:color w:val="000000" w:themeColor="text1"/>
          <w:sz w:val="20"/>
          <w:szCs w:val="20"/>
          <w:highlight w:val="none"/>
          <w14:textFill>
            <w14:solidFill>
              <w14:schemeClr w14:val="tx1"/>
            </w14:solidFill>
          </w14:textFill>
        </w:rPr>
        <w:t>本产品可通过信托、证券</w:t>
      </w:r>
      <w:r>
        <w:rPr>
          <w:rFonts w:ascii="Times New Roman" w:hAnsi="Times New Roman" w:eastAsia="楷体_GB2312" w:cs="楷体_GB2312"/>
          <w:color w:val="000000" w:themeColor="text1"/>
          <w:sz w:val="20"/>
          <w:szCs w:val="20"/>
          <w:highlight w:val="none"/>
          <w14:textFill>
            <w14:solidFill>
              <w14:schemeClr w14:val="tx1"/>
            </w14:solidFill>
          </w14:textFill>
        </w:rPr>
        <w:t>、</w:t>
      </w:r>
      <w:r>
        <w:rPr>
          <w:rFonts w:hint="eastAsia" w:ascii="Times New Roman" w:hAnsi="Times New Roman" w:eastAsia="楷体_GB2312" w:cs="楷体_GB2312"/>
          <w:color w:val="000000" w:themeColor="text1"/>
          <w:sz w:val="20"/>
          <w:szCs w:val="20"/>
          <w:highlight w:val="none"/>
          <w14:textFill>
            <w14:solidFill>
              <w14:schemeClr w14:val="tx1"/>
            </w14:solidFill>
          </w14:textFill>
        </w:rPr>
        <w:t>基金</w:t>
      </w:r>
      <w:r>
        <w:rPr>
          <w:rFonts w:ascii="Times New Roman" w:hAnsi="Times New Roman" w:eastAsia="楷体_GB2312" w:cs="楷体_GB2312"/>
          <w:color w:val="000000" w:themeColor="text1"/>
          <w:sz w:val="20"/>
          <w:szCs w:val="20"/>
          <w:highlight w:val="none"/>
          <w14:textFill>
            <w14:solidFill>
              <w14:schemeClr w14:val="tx1"/>
            </w14:solidFill>
          </w14:textFill>
        </w:rPr>
        <w:t>、期货</w:t>
      </w:r>
      <w:r>
        <w:rPr>
          <w:rFonts w:hint="eastAsia" w:ascii="Times New Roman" w:hAnsi="Times New Roman" w:eastAsia="楷体_GB2312" w:cs="楷体_GB2312"/>
          <w:color w:val="000000" w:themeColor="text1"/>
          <w:sz w:val="20"/>
          <w:szCs w:val="20"/>
          <w:highlight w:val="none"/>
          <w14:textFill>
            <w14:solidFill>
              <w14:schemeClr w14:val="tx1"/>
            </w14:solidFill>
          </w14:textFill>
        </w:rPr>
        <w:t>、</w:t>
      </w:r>
      <w:r>
        <w:rPr>
          <w:rFonts w:ascii="Times New Roman" w:hAnsi="Times New Roman" w:eastAsia="楷体_GB2312" w:cs="楷体_GB2312"/>
          <w:color w:val="000000" w:themeColor="text1"/>
          <w:sz w:val="20"/>
          <w:szCs w:val="20"/>
          <w:highlight w:val="none"/>
          <w14:textFill>
            <w14:solidFill>
              <w14:schemeClr w14:val="tx1"/>
            </w14:solidFill>
          </w14:textFill>
        </w:rPr>
        <w:t>保险资产管理机构</w:t>
      </w:r>
      <w:r>
        <w:rPr>
          <w:rFonts w:hint="eastAsia" w:ascii="Times New Roman" w:hAnsi="Times New Roman" w:eastAsia="楷体_GB2312" w:cs="楷体_GB2312"/>
          <w:color w:val="000000" w:themeColor="text1"/>
          <w:sz w:val="20"/>
          <w:szCs w:val="20"/>
          <w:highlight w:val="none"/>
          <w14:textFill>
            <w14:solidFill>
              <w14:schemeClr w14:val="tx1"/>
            </w14:solidFill>
          </w14:textFill>
        </w:rPr>
        <w:t>等</w:t>
      </w:r>
      <w:r>
        <w:rPr>
          <w:rFonts w:ascii="Times New Roman" w:hAnsi="Times New Roman" w:eastAsia="楷体_GB2312" w:cs="楷体_GB2312"/>
          <w:color w:val="000000" w:themeColor="text1"/>
          <w:sz w:val="20"/>
          <w:szCs w:val="20"/>
          <w:highlight w:val="none"/>
          <w14:textFill>
            <w14:solidFill>
              <w14:schemeClr w14:val="tx1"/>
            </w14:solidFill>
          </w14:textFill>
        </w:rPr>
        <w:t>依法设立的资产管理产品</w:t>
      </w:r>
      <w:r>
        <w:rPr>
          <w:rFonts w:hint="eastAsia" w:ascii="Times New Roman" w:hAnsi="Times New Roman" w:eastAsia="楷体_GB2312" w:cs="楷体_GB2312"/>
          <w:color w:val="000000" w:themeColor="text1"/>
          <w:sz w:val="20"/>
          <w:szCs w:val="20"/>
          <w:highlight w:val="none"/>
          <w14:textFill>
            <w14:solidFill>
              <w14:schemeClr w14:val="tx1"/>
            </w14:solidFill>
          </w14:textFill>
        </w:rPr>
        <w:t>以及其他符合国家相关政策、法律法规的投资渠道和方式实现对上述投资品种的投资，且可以由资产名义持有人按公允价格转让本产品所投资的全部或部分投资标的。</w:t>
      </w:r>
    </w:p>
    <w:p w14:paraId="0361F952">
      <w:pPr>
        <w:spacing w:line="300" w:lineRule="exact"/>
        <w:ind w:firstLine="400" w:firstLineChars="200"/>
        <w:jc w:val="both"/>
        <w:rPr>
          <w:rFonts w:ascii="Times New Roman" w:hAnsi="Times New Roman" w:eastAsia="楷体_GB2312"/>
          <w:color w:val="000000" w:themeColor="text1"/>
          <w:sz w:val="20"/>
          <w:szCs w:val="20"/>
          <w:highlight w:val="none"/>
          <w14:textFill>
            <w14:solidFill>
              <w14:schemeClr w14:val="tx1"/>
            </w14:solidFill>
          </w14:textFill>
        </w:rPr>
      </w:pPr>
      <w:r>
        <w:rPr>
          <w:rFonts w:hint="eastAsia" w:ascii="Times New Roman" w:hAnsi="Times New Roman" w:eastAsia="楷体_GB2312"/>
          <w:color w:val="000000" w:themeColor="text1"/>
          <w:sz w:val="20"/>
          <w:szCs w:val="20"/>
          <w:highlight w:val="none"/>
          <w14:textFill>
            <w14:solidFill>
              <w14:schemeClr w14:val="tx1"/>
            </w14:solidFill>
          </w14:textFill>
        </w:rPr>
        <w:t>产品管理人应确保本产品建仓期后投资比例符合前述要求，非因管理人主观因素导致突破前述比例限制的，管理人应在流动性受限资产可出售、可转让或者恢复交易的15个</w:t>
      </w:r>
      <w:r>
        <w:rPr>
          <w:rFonts w:ascii="Times New Roman" w:hAnsi="Times New Roman" w:eastAsia="楷体_GB2312"/>
          <w:color w:val="000000" w:themeColor="text1"/>
          <w:sz w:val="20"/>
          <w:szCs w:val="20"/>
          <w:highlight w:val="none"/>
          <w14:textFill>
            <w14:solidFill>
              <w14:schemeClr w14:val="tx1"/>
            </w14:solidFill>
          </w14:textFill>
        </w:rPr>
        <w:t>交易日内调整至符合要求</w:t>
      </w:r>
      <w:r>
        <w:rPr>
          <w:rFonts w:hint="eastAsia" w:ascii="Times New Roman" w:hAnsi="Times New Roman" w:eastAsia="楷体_GB2312"/>
          <w:color w:val="000000" w:themeColor="text1"/>
          <w:sz w:val="20"/>
          <w:szCs w:val="20"/>
          <w:highlight w:val="none"/>
          <w14:textFill>
            <w14:solidFill>
              <w14:schemeClr w14:val="tx1"/>
            </w14:solidFill>
          </w14:textFill>
        </w:rPr>
        <w:t>，</w:t>
      </w:r>
      <w:r>
        <w:rPr>
          <w:rFonts w:ascii="Times New Roman" w:hAnsi="Times New Roman" w:eastAsia="楷体_GB2312"/>
          <w:color w:val="000000" w:themeColor="text1"/>
          <w:sz w:val="20"/>
          <w:szCs w:val="20"/>
          <w:highlight w:val="none"/>
          <w14:textFill>
            <w14:solidFill>
              <w14:schemeClr w14:val="tx1"/>
            </w14:solidFill>
          </w14:textFill>
        </w:rPr>
        <w:t>国务院银行业监督管理机构规定的特殊情形除外</w:t>
      </w:r>
      <w:r>
        <w:rPr>
          <w:rFonts w:hint="eastAsia" w:ascii="Times New Roman" w:hAnsi="Times New Roman" w:eastAsia="楷体_GB2312"/>
          <w:color w:val="000000" w:themeColor="text1"/>
          <w:sz w:val="20"/>
          <w:szCs w:val="20"/>
          <w:highlight w:val="none"/>
          <w14:textFill>
            <w14:solidFill>
              <w14:schemeClr w14:val="tx1"/>
            </w14:solidFill>
          </w14:textFill>
        </w:rPr>
        <w:t>。</w:t>
      </w:r>
    </w:p>
    <w:p w14:paraId="29BE2C69">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本产品的上述投资范围将有可能随国家法律法规及监管政策的变化而进行调整，或信银理财基于勤勉尽职从投资者利益出发，对投资范围进行调整。在本产品存续期间，信银理财</w:t>
      </w:r>
      <w:r>
        <w:rPr>
          <w:rFonts w:ascii="楷体_GB2312" w:eastAsia="楷体_GB2312" w:cs="楷体_GB2312"/>
          <w:color w:val="000000" w:themeColor="text1"/>
          <w:sz w:val="20"/>
          <w:szCs w:val="20"/>
          <w:highlight w:val="none"/>
          <w14:textFill>
            <w14:solidFill>
              <w14:schemeClr w14:val="tx1"/>
            </w14:solidFill>
          </w14:textFill>
        </w:rPr>
        <w:t>有权根据市场情况，在不损害投资者利益且根据</w:t>
      </w:r>
      <w:r>
        <w:rPr>
          <w:rFonts w:hint="eastAsia" w:ascii="楷体_GB2312" w:eastAsia="楷体_GB2312" w:cs="楷体_GB2312"/>
          <w:color w:val="000000" w:themeColor="text1"/>
          <w:sz w:val="20"/>
          <w:szCs w:val="20"/>
          <w:highlight w:val="none"/>
          <w14:textFill>
            <w14:solidFill>
              <w14:schemeClr w14:val="tx1"/>
            </w14:solidFill>
          </w14:textFill>
        </w:rPr>
        <w:t>本</w:t>
      </w:r>
      <w:r>
        <w:rPr>
          <w:rFonts w:ascii="楷体_GB2312" w:eastAsia="楷体_GB2312" w:cs="楷体_GB2312"/>
          <w:color w:val="000000" w:themeColor="text1"/>
          <w:sz w:val="20"/>
          <w:szCs w:val="20"/>
          <w:highlight w:val="none"/>
          <w14:textFill>
            <w14:solidFill>
              <w14:schemeClr w14:val="tx1"/>
            </w14:solidFill>
          </w14:textFill>
        </w:rPr>
        <w:t>说明书约定提前</w:t>
      </w:r>
      <w:r>
        <w:rPr>
          <w:rFonts w:hint="eastAsia" w:ascii="楷体_GB2312" w:eastAsia="楷体_GB2312" w:cs="楷体_GB2312"/>
          <w:color w:val="000000" w:themeColor="text1"/>
          <w:sz w:val="20"/>
          <w:szCs w:val="20"/>
          <w:highlight w:val="none"/>
          <w14:textFill>
            <w14:solidFill>
              <w14:schemeClr w14:val="tx1"/>
            </w14:solidFill>
          </w14:textFill>
        </w:rPr>
        <w:t>通知</w:t>
      </w:r>
      <w:r>
        <w:rPr>
          <w:rFonts w:ascii="楷体_GB2312" w:eastAsia="楷体_GB2312" w:cs="楷体_GB2312"/>
          <w:color w:val="000000" w:themeColor="text1"/>
          <w:sz w:val="20"/>
          <w:szCs w:val="20"/>
          <w:highlight w:val="none"/>
          <w14:textFill>
            <w14:solidFill>
              <w14:schemeClr w14:val="tx1"/>
            </w14:solidFill>
          </w14:textFill>
        </w:rPr>
        <w:t>投资者的情况下，对本</w:t>
      </w:r>
      <w:r>
        <w:rPr>
          <w:rFonts w:hint="eastAsia" w:ascii="楷体_GB2312" w:eastAsia="楷体_GB2312" w:cs="楷体_GB2312"/>
          <w:color w:val="000000" w:themeColor="text1"/>
          <w:sz w:val="20"/>
          <w:szCs w:val="20"/>
          <w:highlight w:val="none"/>
          <w14:textFill>
            <w14:solidFill>
              <w14:schemeClr w14:val="tx1"/>
            </w14:solidFill>
          </w14:textFill>
        </w:rPr>
        <w:t>产品</w:t>
      </w:r>
      <w:r>
        <w:rPr>
          <w:rFonts w:ascii="楷体_GB2312" w:eastAsia="楷体_GB2312" w:cs="楷体_GB2312"/>
          <w:color w:val="000000" w:themeColor="text1"/>
          <w:sz w:val="20"/>
          <w:szCs w:val="20"/>
          <w:highlight w:val="none"/>
          <w14:textFill>
            <w14:solidFill>
              <w14:schemeClr w14:val="tx1"/>
            </w14:solidFill>
          </w14:textFill>
        </w:rPr>
        <w:t>的</w:t>
      </w:r>
      <w:r>
        <w:rPr>
          <w:rFonts w:hint="eastAsia" w:ascii="楷体_GB2312" w:eastAsia="楷体_GB2312" w:cs="楷体_GB2312"/>
          <w:color w:val="000000" w:themeColor="text1"/>
          <w:sz w:val="20"/>
          <w:szCs w:val="20"/>
          <w:highlight w:val="none"/>
          <w14:textFill>
            <w14:solidFill>
              <w14:schemeClr w14:val="tx1"/>
            </w14:solidFill>
          </w14:textFill>
        </w:rPr>
        <w:t>投资范围、投资品种或投资比例进行</w:t>
      </w:r>
      <w:r>
        <w:rPr>
          <w:rFonts w:ascii="楷体_GB2312" w:eastAsia="楷体_GB2312" w:cs="楷体_GB2312"/>
          <w:color w:val="000000" w:themeColor="text1"/>
          <w:sz w:val="20"/>
          <w:szCs w:val="20"/>
          <w:highlight w:val="none"/>
          <w14:textFill>
            <w14:solidFill>
              <w14:schemeClr w14:val="tx1"/>
            </w14:solidFill>
          </w14:textFill>
        </w:rPr>
        <w:t>调整</w:t>
      </w:r>
      <w:r>
        <w:rPr>
          <w:rFonts w:hint="eastAsia" w:ascii="楷体_GB2312" w:eastAsia="楷体_GB2312" w:cs="楷体_GB2312"/>
          <w:color w:val="000000" w:themeColor="text1"/>
          <w:sz w:val="20"/>
          <w:szCs w:val="20"/>
          <w:highlight w:val="none"/>
          <w14:textFill>
            <w14:solidFill>
              <w14:schemeClr w14:val="tx1"/>
            </w14:solidFill>
          </w14:textFill>
        </w:rPr>
        <w:t>。投资者</w:t>
      </w:r>
      <w:r>
        <w:rPr>
          <w:rFonts w:ascii="楷体_GB2312" w:eastAsia="楷体_GB2312" w:cs="楷体_GB2312"/>
          <w:color w:val="000000" w:themeColor="text1"/>
          <w:sz w:val="20"/>
          <w:szCs w:val="20"/>
          <w:highlight w:val="none"/>
          <w14:textFill>
            <w14:solidFill>
              <w14:schemeClr w14:val="tx1"/>
            </w14:solidFill>
          </w14:textFill>
        </w:rPr>
        <w:t>不接受的，可</w:t>
      </w:r>
      <w:r>
        <w:rPr>
          <w:rFonts w:hint="eastAsia" w:ascii="楷体_GB2312" w:eastAsia="楷体_GB2312" w:cs="楷体_GB2312"/>
          <w:color w:val="000000" w:themeColor="text1"/>
          <w:sz w:val="20"/>
          <w:szCs w:val="20"/>
          <w:highlight w:val="none"/>
          <w14:textFill>
            <w14:solidFill>
              <w14:schemeClr w14:val="tx1"/>
            </w14:solidFill>
          </w14:textFill>
        </w:rPr>
        <w:t>于</w:t>
      </w:r>
      <w:r>
        <w:rPr>
          <w:rFonts w:ascii="楷体_GB2312" w:eastAsia="楷体_GB2312" w:cs="楷体_GB2312"/>
          <w:color w:val="000000" w:themeColor="text1"/>
          <w:sz w:val="20"/>
          <w:szCs w:val="20"/>
          <w:highlight w:val="none"/>
          <w14:textFill>
            <w14:solidFill>
              <w14:schemeClr w14:val="tx1"/>
            </w14:solidFill>
          </w14:textFill>
        </w:rPr>
        <w:t>最近一期开放日赎回理财产品。</w:t>
      </w:r>
      <w:r>
        <w:rPr>
          <w:rFonts w:hint="eastAsia" w:ascii="楷体_GB2312" w:eastAsia="楷体_GB2312" w:cs="楷体_GB2312"/>
          <w:color w:val="000000" w:themeColor="text1"/>
          <w:sz w:val="20"/>
          <w:szCs w:val="20"/>
          <w:highlight w:val="none"/>
          <w14:textFill>
            <w14:solidFill>
              <w14:schemeClr w14:val="tx1"/>
            </w14:solidFill>
          </w14:textFill>
        </w:rPr>
        <w:t>除</w:t>
      </w:r>
      <w:r>
        <w:rPr>
          <w:rFonts w:ascii="楷体_GB2312" w:eastAsia="楷体_GB2312" w:cs="楷体_GB2312"/>
          <w:color w:val="000000" w:themeColor="text1"/>
          <w:sz w:val="20"/>
          <w:szCs w:val="20"/>
          <w:highlight w:val="none"/>
          <w14:textFill>
            <w14:solidFill>
              <w14:schemeClr w14:val="tx1"/>
            </w14:solidFill>
          </w14:textFill>
        </w:rPr>
        <w:t>高风险类型的产品超出比例范围投资较低风险资产外，</w:t>
      </w:r>
      <w:r>
        <w:rPr>
          <w:rFonts w:hint="eastAsia" w:ascii="楷体_GB2312" w:eastAsia="楷体_GB2312" w:cs="楷体_GB2312"/>
          <w:color w:val="000000" w:themeColor="text1"/>
          <w:sz w:val="20"/>
          <w:szCs w:val="20"/>
          <w:highlight w:val="none"/>
          <w14:textFill>
            <w14:solidFill>
              <w14:schemeClr w14:val="tx1"/>
            </w14:solidFill>
          </w14:textFill>
        </w:rPr>
        <w:t>产品管理人应按</w:t>
      </w:r>
      <w:r>
        <w:rPr>
          <w:rFonts w:ascii="楷体_GB2312" w:eastAsia="楷体_GB2312" w:cs="楷体_GB2312"/>
          <w:color w:val="000000" w:themeColor="text1"/>
          <w:sz w:val="20"/>
          <w:szCs w:val="20"/>
          <w:highlight w:val="none"/>
          <w14:textFill>
            <w14:solidFill>
              <w14:schemeClr w14:val="tx1"/>
            </w14:solidFill>
          </w14:textFill>
        </w:rPr>
        <w:t>监管要求</w:t>
      </w:r>
      <w:r>
        <w:rPr>
          <w:rFonts w:hint="eastAsia" w:ascii="楷体_GB2312" w:eastAsia="楷体_GB2312" w:cs="楷体_GB2312"/>
          <w:color w:val="000000" w:themeColor="text1"/>
          <w:sz w:val="20"/>
          <w:szCs w:val="20"/>
          <w:highlight w:val="none"/>
          <w14:textFill>
            <w14:solidFill>
              <w14:schemeClr w14:val="tx1"/>
            </w14:solidFill>
          </w14:textFill>
        </w:rPr>
        <w:t>提前</w:t>
      </w:r>
      <w:r>
        <w:rPr>
          <w:rFonts w:ascii="楷体_GB2312" w:eastAsia="楷体_GB2312" w:cs="楷体_GB2312"/>
          <w:color w:val="000000" w:themeColor="text1"/>
          <w:sz w:val="20"/>
          <w:szCs w:val="20"/>
          <w:highlight w:val="none"/>
          <w14:textFill>
            <w14:solidFill>
              <w14:schemeClr w14:val="tx1"/>
            </w14:solidFill>
          </w14:textFill>
        </w:rPr>
        <w:t>取得投资者书面同意</w:t>
      </w: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并履行登记备案等法律法规以及金融监督管理部门规定的程序。</w:t>
      </w:r>
    </w:p>
    <w:p w14:paraId="603C652C">
      <w:pPr>
        <w:spacing w:line="300" w:lineRule="exact"/>
        <w:ind w:firstLine="400" w:firstLineChars="200"/>
        <w:jc w:val="both"/>
        <w:rPr>
          <w:rFonts w:ascii="Times New Roman" w:hAnsi="Times New Roman" w:eastAsia="楷体_GB2312" w:cs="楷体_GB2312"/>
          <w:color w:val="000000" w:themeColor="text1"/>
          <w:sz w:val="20"/>
          <w:szCs w:val="20"/>
          <w:highlight w:val="none"/>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4．</w:t>
      </w:r>
      <w:r>
        <w:rPr>
          <w:rFonts w:hint="eastAsia" w:ascii="Times New Roman" w:hAnsi="Times New Roman" w:eastAsia="楷体_GB2312" w:cs="楷体_GB2312"/>
          <w:color w:val="000000" w:themeColor="text1"/>
          <w:sz w:val="20"/>
          <w:szCs w:val="20"/>
          <w:highlight w:val="none"/>
          <w14:textFill>
            <w14:solidFill>
              <w14:schemeClr w14:val="tx1"/>
            </w14:solidFill>
          </w14:textFill>
        </w:rPr>
        <w:t>投资</w:t>
      </w:r>
      <w:r>
        <w:rPr>
          <w:rFonts w:ascii="Times New Roman" w:hAnsi="Times New Roman" w:eastAsia="楷体_GB2312" w:cs="楷体_GB2312"/>
          <w:color w:val="000000" w:themeColor="text1"/>
          <w:sz w:val="20"/>
          <w:szCs w:val="20"/>
          <w:highlight w:val="none"/>
          <w14:textFill>
            <w14:solidFill>
              <w14:schemeClr w14:val="tx1"/>
            </w14:solidFill>
          </w14:textFill>
        </w:rPr>
        <w:t>限制：</w:t>
      </w:r>
    </w:p>
    <w:p w14:paraId="442701B7">
      <w:pPr>
        <w:spacing w:line="300" w:lineRule="exact"/>
        <w:ind w:firstLine="400" w:firstLineChars="200"/>
        <w:jc w:val="both"/>
        <w:rPr>
          <w:rFonts w:ascii="Times New Roman" w:hAnsi="Times New Roman" w:eastAsia="楷体_GB2312" w:cs="楷体_GB2312"/>
          <w:color w:val="000000" w:themeColor="text1"/>
          <w:sz w:val="20"/>
          <w:szCs w:val="20"/>
          <w:highlight w:val="none"/>
          <w14:textFill>
            <w14:solidFill>
              <w14:schemeClr w14:val="tx1"/>
            </w14:solidFill>
          </w14:textFill>
        </w:rPr>
      </w:pPr>
      <w:r>
        <w:rPr>
          <w:rFonts w:hint="eastAsia" w:ascii="Times New Roman" w:hAnsi="Times New Roman" w:eastAsia="楷体_GB2312" w:cs="楷体_GB2312"/>
          <w:color w:val="000000" w:themeColor="text1"/>
          <w:sz w:val="20"/>
          <w:szCs w:val="20"/>
          <w:highlight w:val="none"/>
          <w14:textFill>
            <w14:solidFill>
              <w14:schemeClr w14:val="tx1"/>
            </w14:solidFill>
          </w14:textFill>
        </w:rPr>
        <w:t>（1）本产品总资产不得超过净资产的</w:t>
      </w:r>
      <w:r>
        <w:rPr>
          <w:rFonts w:ascii="Times New Roman" w:hAnsi="Times New Roman" w:eastAsia="楷体_GB2312" w:cs="楷体_GB2312"/>
          <w:color w:val="000000" w:themeColor="text1"/>
          <w:sz w:val="20"/>
          <w:szCs w:val="20"/>
          <w:highlight w:val="none"/>
          <w14:textFill>
            <w14:solidFill>
              <w14:schemeClr w14:val="tx1"/>
            </w14:solidFill>
          </w14:textFill>
        </w:rPr>
        <w:t>140%；</w:t>
      </w:r>
    </w:p>
    <w:p w14:paraId="3033DDD7">
      <w:pPr>
        <w:spacing w:line="300" w:lineRule="exact"/>
        <w:ind w:firstLine="400" w:firstLineChars="200"/>
        <w:jc w:val="both"/>
        <w:rPr>
          <w:rFonts w:ascii="Times New Roman" w:hAnsi="Times New Roman" w:eastAsia="楷体_GB2312" w:cs="楷体_GB2312"/>
          <w:color w:val="000000" w:themeColor="text1"/>
          <w:sz w:val="20"/>
          <w:szCs w:val="20"/>
          <w:highlight w:val="none"/>
          <w14:textFill>
            <w14:solidFill>
              <w14:schemeClr w14:val="tx1"/>
            </w14:solidFill>
          </w14:textFill>
        </w:rPr>
      </w:pPr>
      <w:r>
        <w:rPr>
          <w:rFonts w:ascii="Times New Roman" w:hAnsi="Times New Roman" w:eastAsia="楷体_GB2312" w:cs="楷体_GB2312"/>
          <w:color w:val="000000" w:themeColor="text1"/>
          <w:sz w:val="20"/>
          <w:szCs w:val="20"/>
          <w:highlight w:val="none"/>
          <w14:textFill>
            <w14:solidFill>
              <w14:schemeClr w14:val="tx1"/>
            </w14:solidFill>
          </w14:textFill>
        </w:rPr>
        <w:t>（2）</w:t>
      </w:r>
      <w:r>
        <w:rPr>
          <w:rFonts w:hint="eastAsia" w:ascii="Times New Roman" w:hAnsi="Times New Roman" w:eastAsia="楷体_GB2312" w:cs="楷体_GB2312"/>
          <w:color w:val="000000" w:themeColor="text1"/>
          <w:sz w:val="20"/>
          <w:szCs w:val="20"/>
          <w:highlight w:val="none"/>
          <w14:textFill>
            <w14:solidFill>
              <w14:schemeClr w14:val="tx1"/>
            </w14:solidFill>
          </w14:textFill>
        </w:rPr>
        <w:t>产品定期开放周期不低于</w:t>
      </w:r>
      <w:r>
        <w:rPr>
          <w:rFonts w:ascii="Times New Roman" w:hAnsi="Times New Roman" w:eastAsia="楷体_GB2312" w:cs="楷体_GB2312"/>
          <w:color w:val="000000" w:themeColor="text1"/>
          <w:sz w:val="20"/>
          <w:szCs w:val="20"/>
          <w:highlight w:val="none"/>
          <w14:textFill>
            <w14:solidFill>
              <w14:schemeClr w14:val="tx1"/>
            </w14:solidFill>
          </w14:textFill>
        </w:rPr>
        <w:t>90天</w:t>
      </w:r>
      <w:r>
        <w:rPr>
          <w:rFonts w:hint="eastAsia" w:ascii="Times New Roman" w:hAnsi="Times New Roman" w:eastAsia="楷体_GB2312" w:cs="楷体_GB2312"/>
          <w:color w:val="000000" w:themeColor="text1"/>
          <w:sz w:val="20"/>
          <w:szCs w:val="20"/>
          <w:highlight w:val="none"/>
          <w14:textFill>
            <w14:solidFill>
              <w14:schemeClr w14:val="tx1"/>
            </w14:solidFill>
          </w14:textFill>
        </w:rPr>
        <w:t>的</w:t>
      </w:r>
      <w:r>
        <w:rPr>
          <w:rFonts w:ascii="Times New Roman" w:hAnsi="Times New Roman" w:eastAsia="楷体_GB2312" w:cs="楷体_GB2312"/>
          <w:color w:val="000000" w:themeColor="text1"/>
          <w:sz w:val="20"/>
          <w:szCs w:val="20"/>
          <w:highlight w:val="none"/>
          <w14:textFill>
            <w14:solidFill>
              <w14:schemeClr w14:val="tx1"/>
            </w14:solidFill>
          </w14:textFill>
        </w:rPr>
        <w:t>，在开放日及开放日前7个工作日内持有现金或者到期日在一年以内的国债、中央银行票据和政策性金融债券</w:t>
      </w:r>
      <w:r>
        <w:rPr>
          <w:rFonts w:hint="eastAsia" w:ascii="Times New Roman" w:hAnsi="Times New Roman" w:eastAsia="楷体_GB2312" w:cs="楷体_GB2312"/>
          <w:color w:val="000000" w:themeColor="text1"/>
          <w:sz w:val="20"/>
          <w:szCs w:val="20"/>
          <w:highlight w:val="none"/>
          <w14:textFill>
            <w14:solidFill>
              <w14:schemeClr w14:val="tx1"/>
            </w14:solidFill>
          </w14:textFill>
        </w:rPr>
        <w:t>比例应不低于产品净资产的</w:t>
      </w:r>
      <w:r>
        <w:rPr>
          <w:rFonts w:ascii="Times New Roman" w:hAnsi="Times New Roman" w:eastAsia="楷体_GB2312" w:cs="楷体_GB2312"/>
          <w:color w:val="000000" w:themeColor="text1"/>
          <w:sz w:val="20"/>
          <w:szCs w:val="20"/>
          <w:highlight w:val="none"/>
          <w14:textFill>
            <w14:solidFill>
              <w14:schemeClr w14:val="tx1"/>
            </w14:solidFill>
          </w14:textFill>
        </w:rPr>
        <w:t>5%。</w:t>
      </w:r>
      <w:r>
        <w:rPr>
          <w:rFonts w:hint="eastAsia" w:ascii="Times New Roman" w:hAnsi="Times New Roman" w:eastAsia="楷体_GB2312" w:cs="楷体_GB2312"/>
          <w:color w:val="000000" w:themeColor="text1"/>
          <w:sz w:val="20"/>
          <w:szCs w:val="20"/>
          <w:highlight w:val="none"/>
          <w14:textFill>
            <w14:solidFill>
              <w14:schemeClr w14:val="tx1"/>
            </w14:solidFill>
          </w14:textFill>
        </w:rPr>
        <w:t>产品定期</w:t>
      </w:r>
      <w:r>
        <w:rPr>
          <w:rFonts w:ascii="Times New Roman" w:hAnsi="Times New Roman" w:eastAsia="楷体_GB2312" w:cs="楷体_GB2312"/>
          <w:color w:val="000000" w:themeColor="text1"/>
          <w:sz w:val="20"/>
          <w:szCs w:val="20"/>
          <w:highlight w:val="none"/>
          <w14:textFill>
            <w14:solidFill>
              <w14:schemeClr w14:val="tx1"/>
            </w14:solidFill>
          </w14:textFill>
        </w:rPr>
        <w:t>开放周期低于</w:t>
      </w:r>
      <w:r>
        <w:rPr>
          <w:rFonts w:hint="eastAsia" w:ascii="Times New Roman" w:hAnsi="Times New Roman" w:eastAsia="楷体_GB2312" w:cs="楷体_GB2312"/>
          <w:color w:val="000000" w:themeColor="text1"/>
          <w:sz w:val="20"/>
          <w:szCs w:val="20"/>
          <w:highlight w:val="none"/>
          <w14:textFill>
            <w14:solidFill>
              <w14:schemeClr w14:val="tx1"/>
            </w14:solidFill>
          </w14:textFill>
        </w:rPr>
        <w:t>90天</w:t>
      </w:r>
      <w:r>
        <w:rPr>
          <w:rFonts w:ascii="Times New Roman" w:hAnsi="Times New Roman" w:eastAsia="楷体_GB2312" w:cs="楷体_GB2312"/>
          <w:color w:val="000000" w:themeColor="text1"/>
          <w:sz w:val="20"/>
          <w:szCs w:val="20"/>
          <w:highlight w:val="none"/>
          <w14:textFill>
            <w14:solidFill>
              <w14:schemeClr w14:val="tx1"/>
            </w14:solidFill>
          </w14:textFill>
        </w:rPr>
        <w:t>的，</w:t>
      </w:r>
      <w:r>
        <w:rPr>
          <w:rFonts w:hint="eastAsia" w:ascii="Times New Roman" w:hAnsi="Times New Roman" w:eastAsia="楷体_GB2312" w:cs="楷体_GB2312"/>
          <w:color w:val="000000" w:themeColor="text1"/>
          <w:sz w:val="20"/>
          <w:szCs w:val="20"/>
          <w:highlight w:val="none"/>
          <w14:textFill>
            <w14:solidFill>
              <w14:schemeClr w14:val="tx1"/>
            </w14:solidFill>
          </w14:textFill>
        </w:rPr>
        <w:t>应</w:t>
      </w:r>
      <w:r>
        <w:rPr>
          <w:rFonts w:ascii="Times New Roman" w:hAnsi="Times New Roman" w:eastAsia="楷体_GB2312" w:cs="楷体_GB2312"/>
          <w:color w:val="000000" w:themeColor="text1"/>
          <w:sz w:val="20"/>
          <w:szCs w:val="20"/>
          <w:highlight w:val="none"/>
          <w14:textFill>
            <w14:solidFill>
              <w14:schemeClr w14:val="tx1"/>
            </w14:solidFill>
          </w14:textFill>
        </w:rPr>
        <w:t>保证</w:t>
      </w:r>
      <w:r>
        <w:rPr>
          <w:rFonts w:hint="eastAsia" w:ascii="Times New Roman" w:hAnsi="Times New Roman" w:eastAsia="楷体_GB2312" w:cs="楷体_GB2312"/>
          <w:color w:val="000000" w:themeColor="text1"/>
          <w:sz w:val="20"/>
          <w:szCs w:val="20"/>
          <w:highlight w:val="none"/>
          <w14:textFill>
            <w14:solidFill>
              <w14:schemeClr w14:val="tx1"/>
            </w14:solidFill>
          </w14:textFill>
        </w:rPr>
        <w:t>每日日终现金或者到期日在一年以内的国债、中央银行票据和政策性金融债券比例不低于产品净资产的</w:t>
      </w:r>
      <w:r>
        <w:rPr>
          <w:rFonts w:ascii="Times New Roman" w:hAnsi="Times New Roman" w:eastAsia="楷体_GB2312" w:cs="楷体_GB2312"/>
          <w:color w:val="000000" w:themeColor="text1"/>
          <w:sz w:val="20"/>
          <w:szCs w:val="20"/>
          <w:highlight w:val="none"/>
          <w14:textFill>
            <w14:solidFill>
              <w14:schemeClr w14:val="tx1"/>
            </w14:solidFill>
          </w14:textFill>
        </w:rPr>
        <w:t xml:space="preserve">5%; </w:t>
      </w:r>
    </w:p>
    <w:p w14:paraId="4CB7911E">
      <w:pPr>
        <w:spacing w:line="300" w:lineRule="exact"/>
        <w:ind w:firstLine="400" w:firstLineChars="200"/>
        <w:jc w:val="both"/>
        <w:rPr>
          <w:rFonts w:ascii="Times New Roman" w:hAnsi="Times New Roman" w:eastAsia="楷体_GB2312" w:cs="楷体_GB2312"/>
          <w:color w:val="000000" w:themeColor="text1"/>
          <w:sz w:val="20"/>
          <w:szCs w:val="20"/>
          <w:highlight w:val="none"/>
          <w14:textFill>
            <w14:solidFill>
              <w14:schemeClr w14:val="tx1"/>
            </w14:solidFill>
          </w14:textFill>
        </w:rPr>
      </w:pPr>
      <w:r>
        <w:rPr>
          <w:rFonts w:ascii="Times New Roman" w:hAnsi="Times New Roman" w:eastAsia="楷体_GB2312" w:cs="楷体_GB2312"/>
          <w:color w:val="000000" w:themeColor="text1"/>
          <w:sz w:val="20"/>
          <w:szCs w:val="20"/>
          <w:highlight w:val="none"/>
          <w14:textFill>
            <w14:solidFill>
              <w14:schemeClr w14:val="tx1"/>
            </w14:solidFill>
          </w14:textFill>
        </w:rPr>
        <w:t>（3）</w:t>
      </w:r>
      <w:r>
        <w:rPr>
          <w:rFonts w:hint="eastAsia" w:ascii="Times New Roman" w:hAnsi="Times New Roman" w:eastAsia="楷体_GB2312" w:cs="楷体_GB2312"/>
          <w:color w:val="000000" w:themeColor="text1"/>
          <w:sz w:val="20"/>
          <w:szCs w:val="20"/>
          <w:highlight w:val="none"/>
          <w14:textFill>
            <w14:solidFill>
              <w14:schemeClr w14:val="tx1"/>
            </w14:solidFill>
          </w14:textFill>
        </w:rPr>
        <w:t>本产品投资单只证券或者单只</w:t>
      </w:r>
      <w:r>
        <w:rPr>
          <w:rFonts w:hint="eastAsia" w:ascii="Times New Roman" w:hAnsi="Times New Roman" w:eastAsia="楷体_GB2312" w:cs="楷体_GB2312"/>
          <w:color w:val="000000" w:themeColor="text1"/>
          <w:sz w:val="20"/>
          <w:szCs w:val="20"/>
          <w:highlight w:val="none"/>
          <w:lang w:val="en-US" w:eastAsia="zh-CN"/>
          <w14:textFill>
            <w14:solidFill>
              <w14:schemeClr w14:val="tx1"/>
            </w14:solidFill>
          </w14:textFill>
        </w:rPr>
        <w:t>公募</w:t>
      </w:r>
      <w:r>
        <w:rPr>
          <w:rFonts w:hint="eastAsia" w:ascii="Times New Roman" w:hAnsi="Times New Roman" w:eastAsia="楷体_GB2312" w:cs="楷体_GB2312"/>
          <w:color w:val="000000" w:themeColor="text1"/>
          <w:sz w:val="20"/>
          <w:szCs w:val="20"/>
          <w:highlight w:val="none"/>
          <w14:textFill>
            <w14:solidFill>
              <w14:schemeClr w14:val="tx1"/>
            </w14:solidFill>
          </w14:textFill>
        </w:rPr>
        <w:t>证券投资基金的市值不得超过产品净资产的</w:t>
      </w:r>
      <w:r>
        <w:rPr>
          <w:rFonts w:ascii="Times New Roman" w:hAnsi="Times New Roman" w:eastAsia="楷体_GB2312" w:cs="楷体_GB2312"/>
          <w:color w:val="000000" w:themeColor="text1"/>
          <w:sz w:val="20"/>
          <w:szCs w:val="20"/>
          <w:highlight w:val="none"/>
          <w14:textFill>
            <w14:solidFill>
              <w14:schemeClr w14:val="tx1"/>
            </w14:solidFill>
          </w14:textFill>
        </w:rPr>
        <w:t>10%，投资于国债、地方政府债券、中央银行票据、政府机构债券、政策性金融债券以及完全按照有关指数的构成比例进行投资的除外；非因产品管理人主观因素导致突破前述比例限制的，产品管理人应当在流动性受限资产可出售、可转让或者恢复交易的10个交易日内调整至符合要求，国务院银行业监督管理机构规定的特殊情形除外。</w:t>
      </w:r>
    </w:p>
    <w:p w14:paraId="022B519F">
      <w:pPr>
        <w:spacing w:line="300" w:lineRule="exact"/>
        <w:ind w:firstLine="426" w:firstLineChars="213"/>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hint="eastAsia" w:ascii="Times New Roman" w:hAnsi="Times New Roman" w:eastAsia="楷体_GB2312" w:cs="楷体_GB2312"/>
          <w:color w:val="000000" w:themeColor="text1"/>
          <w:sz w:val="20"/>
          <w:szCs w:val="20"/>
          <w:highlight w:val="none"/>
          <w14:textFill>
            <w14:solidFill>
              <w14:schemeClr w14:val="tx1"/>
            </w14:solidFill>
          </w14:textFill>
        </w:rPr>
        <w:t>（4</w:t>
      </w:r>
      <w:r>
        <w:rPr>
          <w:rFonts w:ascii="Times New Roman" w:hAnsi="Times New Roman" w:eastAsia="楷体_GB2312" w:cs="楷体_GB2312"/>
          <w:color w:val="000000" w:themeColor="text1"/>
          <w:sz w:val="20"/>
          <w:szCs w:val="20"/>
          <w:highlight w:val="none"/>
          <w14:textFill>
            <w14:solidFill>
              <w14:schemeClr w14:val="tx1"/>
            </w14:solidFill>
          </w14:textFill>
        </w:rPr>
        <w:t>）</w:t>
      </w:r>
      <w:r>
        <w:rPr>
          <w:rFonts w:hint="eastAsia" w:ascii="Times New Roman" w:hAnsi="Times New Roman" w:eastAsia="楷体_GB2312" w:cs="楷体_GB2312"/>
          <w:color w:val="000000" w:themeColor="text1"/>
          <w:sz w:val="20"/>
          <w:szCs w:val="20"/>
          <w:highlight w:val="none"/>
          <w:lang w:val="en-US" w:eastAsia="zh-CN"/>
          <w14:textFill>
            <w14:solidFill>
              <w14:schemeClr w14:val="tx1"/>
            </w14:solidFill>
          </w14:textFill>
        </w:rPr>
        <w:t>本产品</w:t>
      </w:r>
      <w:r>
        <w:rPr>
          <w:rFonts w:hint="eastAsia" w:ascii="Times New Roman" w:hAnsi="Times New Roman" w:eastAsia="楷体_GB2312" w:cs="楷体_GB2312"/>
          <w:b/>
          <w:color w:val="000000" w:themeColor="text1"/>
          <w:sz w:val="20"/>
          <w:szCs w:val="20"/>
          <w:highlight w:val="none"/>
          <w14:textFill>
            <w14:solidFill>
              <w14:schemeClr w14:val="tx1"/>
            </w14:solidFill>
          </w14:textFill>
        </w:rPr>
        <w:t>不得同时</w:t>
      </w:r>
      <w:r>
        <w:rPr>
          <w:rFonts w:ascii="Times New Roman" w:hAnsi="Times New Roman" w:eastAsia="楷体_GB2312" w:cs="楷体_GB2312"/>
          <w:b/>
          <w:color w:val="000000" w:themeColor="text1"/>
          <w:sz w:val="20"/>
          <w:szCs w:val="20"/>
          <w:highlight w:val="none"/>
          <w14:textFill>
            <w14:solidFill>
              <w14:schemeClr w14:val="tx1"/>
            </w14:solidFill>
          </w14:textFill>
        </w:rPr>
        <w:t>出现下述</w:t>
      </w:r>
      <w:r>
        <w:rPr>
          <w:rFonts w:hint="eastAsia" w:ascii="Times New Roman" w:hAnsi="Times New Roman" w:eastAsia="楷体_GB2312" w:cs="楷体_GB2312"/>
          <w:b/>
          <w:color w:val="000000" w:themeColor="text1"/>
          <w:sz w:val="20"/>
          <w:szCs w:val="20"/>
          <w:highlight w:val="none"/>
          <w14:textFill>
            <w14:solidFill>
              <w14:schemeClr w14:val="tx1"/>
            </w14:solidFill>
          </w14:textFill>
        </w:rPr>
        <w:t>情形</w:t>
      </w:r>
      <w:r>
        <w:rPr>
          <w:rFonts w:ascii="Times New Roman" w:hAnsi="Times New Roman" w:eastAsia="楷体_GB2312" w:cs="楷体_GB2312"/>
          <w:b/>
          <w:color w:val="000000" w:themeColor="text1"/>
          <w:sz w:val="20"/>
          <w:szCs w:val="20"/>
          <w:highlight w:val="none"/>
          <w14:textFill>
            <w14:solidFill>
              <w14:schemeClr w14:val="tx1"/>
            </w14:solidFill>
          </w14:textFill>
        </w:rPr>
        <w:t>:</w:t>
      </w:r>
    </w:p>
    <w:p w14:paraId="73FC5A84">
      <w:pPr>
        <w:spacing w:line="300" w:lineRule="exact"/>
        <w:ind w:firstLine="426" w:firstLineChars="213"/>
        <w:jc w:val="both"/>
        <w:rPr>
          <w:rFonts w:ascii="Times New Roman" w:hAnsi="Times New Roman" w:eastAsia="楷体_GB2312" w:cs="楷体_GB2312"/>
          <w:color w:val="000000" w:themeColor="text1"/>
          <w:sz w:val="20"/>
          <w:szCs w:val="20"/>
          <w:highlight w:val="none"/>
          <w14:textFill>
            <w14:solidFill>
              <w14:schemeClr w14:val="tx1"/>
            </w14:solidFill>
          </w14:textFill>
        </w:rPr>
      </w:pPr>
      <w:r>
        <w:rPr>
          <w:rFonts w:hint="eastAsia" w:ascii="Times New Roman" w:hAnsi="Times New Roman" w:eastAsia="楷体_GB2312" w:cs="楷体_GB2312"/>
          <w:color w:val="000000" w:themeColor="text1"/>
          <w:sz w:val="20"/>
          <w:szCs w:val="20"/>
          <w:highlight w:val="none"/>
          <w14:textFill>
            <w14:solidFill>
              <w14:schemeClr w14:val="tx1"/>
            </w14:solidFill>
          </w14:textFill>
        </w:rPr>
        <w:t>（</w:t>
      </w:r>
      <w:r>
        <w:rPr>
          <w:rFonts w:ascii="Times New Roman" w:hAnsi="Times New Roman" w:eastAsia="楷体_GB2312" w:cs="楷体_GB2312"/>
          <w:color w:val="000000" w:themeColor="text1"/>
          <w:sz w:val="20"/>
          <w:szCs w:val="20"/>
          <w:highlight w:val="none"/>
          <w14:textFill>
            <w14:solidFill>
              <w14:schemeClr w14:val="tx1"/>
            </w14:solidFill>
          </w14:textFill>
        </w:rPr>
        <w:t>a）计划投资不存在活跃交易市场，并且需要采用估值技术确定公允价值的资产；</w:t>
      </w:r>
    </w:p>
    <w:p w14:paraId="280A06BC">
      <w:pPr>
        <w:spacing w:line="300" w:lineRule="exact"/>
        <w:ind w:firstLine="426" w:firstLineChars="213"/>
        <w:jc w:val="both"/>
        <w:rPr>
          <w:highlight w:val="none"/>
        </w:rPr>
      </w:pPr>
      <w:r>
        <w:rPr>
          <w:rFonts w:hint="eastAsia" w:ascii="Times New Roman" w:hAnsi="Times New Roman" w:eastAsia="楷体_GB2312" w:cs="楷体_GB2312"/>
          <w:color w:val="000000" w:themeColor="text1"/>
          <w:sz w:val="20"/>
          <w:szCs w:val="20"/>
          <w:highlight w:val="none"/>
          <w14:textFill>
            <w14:solidFill>
              <w14:schemeClr w14:val="tx1"/>
            </w14:solidFill>
          </w14:textFill>
        </w:rPr>
        <w:t>（</w:t>
      </w:r>
      <w:r>
        <w:rPr>
          <w:rFonts w:ascii="Times New Roman" w:hAnsi="Times New Roman" w:eastAsia="楷体_GB2312" w:cs="楷体_GB2312"/>
          <w:color w:val="000000" w:themeColor="text1"/>
          <w:sz w:val="20"/>
          <w:szCs w:val="20"/>
          <w:highlight w:val="none"/>
          <w14:textFill>
            <w14:solidFill>
              <w14:schemeClr w14:val="tx1"/>
            </w14:solidFill>
          </w14:textFill>
        </w:rPr>
        <w:t>b）计划投资上述资产的比例达到产品净资产50%以上。</w:t>
      </w:r>
    </w:p>
    <w:p w14:paraId="7EFECE50">
      <w:pPr>
        <w:spacing w:line="300" w:lineRule="exact"/>
        <w:ind w:firstLine="426" w:firstLineChars="213"/>
        <w:jc w:val="both"/>
        <w:rPr>
          <w:highlight w:val="none"/>
        </w:rPr>
      </w:pPr>
      <w:r>
        <w:rPr>
          <w:rFonts w:hint="eastAsia" w:ascii="Times New Roman" w:hAnsi="Times New Roman" w:eastAsia="楷体_GB2312" w:cs="楷体_GB2312"/>
          <w:color w:val="000000" w:themeColor="text1"/>
          <w:sz w:val="20"/>
          <w:szCs w:val="20"/>
          <w:highlight w:val="none"/>
          <w14:textFill>
            <w14:solidFill>
              <w14:schemeClr w14:val="tx1"/>
            </w14:solidFill>
          </w14:textFill>
        </w:rPr>
        <w:t>在</w:t>
      </w:r>
      <w:r>
        <w:rPr>
          <w:rFonts w:ascii="Times New Roman" w:hAnsi="Times New Roman" w:eastAsia="楷体_GB2312" w:cs="楷体_GB2312"/>
          <w:color w:val="000000" w:themeColor="text1"/>
          <w:sz w:val="20"/>
          <w:szCs w:val="20"/>
          <w:highlight w:val="none"/>
          <w14:textFill>
            <w14:solidFill>
              <w14:schemeClr w14:val="tx1"/>
            </w14:solidFill>
          </w14:textFill>
        </w:rPr>
        <w:t>该种情形下</w:t>
      </w:r>
      <w:r>
        <w:rPr>
          <w:rFonts w:hint="eastAsia" w:ascii="Times New Roman" w:hAnsi="Times New Roman" w:eastAsia="楷体_GB2312" w:cs="楷体_GB2312"/>
          <w:color w:val="000000" w:themeColor="text1"/>
          <w:sz w:val="20"/>
          <w:szCs w:val="20"/>
          <w:highlight w:val="none"/>
          <w14:textFill>
            <w14:solidFill>
              <w14:schemeClr w14:val="tx1"/>
            </w14:solidFill>
          </w14:textFill>
        </w:rPr>
        <w:t>，非因管理人主观因素导致突破前款规定比例限制的，不得新增投资上述资产。</w:t>
      </w:r>
    </w:p>
    <w:p w14:paraId="0E2EFAF1">
      <w:pPr>
        <w:spacing w:line="300" w:lineRule="exact"/>
        <w:ind w:firstLine="426" w:firstLineChars="213"/>
        <w:jc w:val="both"/>
        <w:rPr>
          <w:rFonts w:ascii="Times New Roman" w:hAnsi="Times New Roman" w:eastAsia="楷体_GB2312" w:cs="楷体_GB2312"/>
          <w:color w:val="000000" w:themeColor="text1"/>
          <w:sz w:val="20"/>
          <w:szCs w:val="20"/>
          <w:highlight w:val="none"/>
          <w14:textFill>
            <w14:solidFill>
              <w14:schemeClr w14:val="tx1"/>
            </w14:solidFill>
          </w14:textFill>
        </w:rPr>
      </w:pPr>
      <w:r>
        <w:rPr>
          <w:rFonts w:hint="eastAsia" w:ascii="Times New Roman" w:hAnsi="Times New Roman" w:eastAsia="楷体_GB2312" w:cs="楷体_GB2312"/>
          <w:color w:val="000000" w:themeColor="text1"/>
          <w:sz w:val="20"/>
          <w:szCs w:val="20"/>
          <w:highlight w:val="none"/>
          <w14:textFill>
            <w14:solidFill>
              <w14:schemeClr w14:val="tx1"/>
            </w14:solidFill>
          </w14:textFill>
        </w:rPr>
        <w:t>（5</w:t>
      </w:r>
      <w:r>
        <w:rPr>
          <w:rFonts w:ascii="Times New Roman" w:hAnsi="Times New Roman" w:eastAsia="楷体_GB2312" w:cs="楷体_GB2312"/>
          <w:color w:val="000000" w:themeColor="text1"/>
          <w:sz w:val="20"/>
          <w:szCs w:val="20"/>
          <w:highlight w:val="none"/>
          <w14:textFill>
            <w14:solidFill>
              <w14:schemeClr w14:val="tx1"/>
            </w14:solidFill>
          </w14:textFill>
        </w:rPr>
        <w:t>）</w:t>
      </w:r>
      <w:r>
        <w:rPr>
          <w:rFonts w:ascii="Times New Roman" w:hAnsi="Times New Roman" w:eastAsia="楷体_GB2312" w:cs="楷体_GB2312"/>
          <w:b/>
          <w:color w:val="000000" w:themeColor="text1"/>
          <w:sz w:val="20"/>
          <w:szCs w:val="20"/>
          <w:highlight w:val="none"/>
          <w14:textFill>
            <w14:solidFill>
              <w14:schemeClr w14:val="tx1"/>
            </w14:solidFill>
          </w14:textFill>
        </w:rPr>
        <w:t>本产品</w:t>
      </w:r>
      <w:r>
        <w:rPr>
          <w:rFonts w:hint="eastAsia" w:ascii="Times New Roman" w:hAnsi="Times New Roman" w:eastAsia="楷体_GB2312" w:cs="楷体_GB2312"/>
          <w:b/>
          <w:color w:val="000000" w:themeColor="text1"/>
          <w:sz w:val="20"/>
          <w:szCs w:val="20"/>
          <w:highlight w:val="none"/>
          <w14:textFill>
            <w14:solidFill>
              <w14:schemeClr w14:val="tx1"/>
            </w14:solidFill>
          </w14:textFill>
        </w:rPr>
        <w:t>单一投资者持有份额不得超过产品总份额的</w:t>
      </w:r>
      <w:r>
        <w:rPr>
          <w:rFonts w:ascii="Times New Roman" w:hAnsi="Times New Roman" w:eastAsia="楷体_GB2312" w:cs="楷体_GB2312"/>
          <w:b/>
          <w:color w:val="000000" w:themeColor="text1"/>
          <w:sz w:val="20"/>
          <w:szCs w:val="20"/>
          <w:highlight w:val="none"/>
          <w14:textFill>
            <w14:solidFill>
              <w14:schemeClr w14:val="tx1"/>
            </w14:solidFill>
          </w14:textFill>
        </w:rPr>
        <w:t>50%</w:t>
      </w:r>
      <w:r>
        <w:rPr>
          <w:rFonts w:hint="eastAsia" w:ascii="Times New Roman" w:hAnsi="Times New Roman" w:eastAsia="楷体_GB2312" w:cs="楷体_GB2312"/>
          <w:b/>
          <w:color w:val="000000" w:themeColor="text1"/>
          <w:sz w:val="20"/>
          <w:szCs w:val="20"/>
          <w:highlight w:val="none"/>
          <w14:textFill>
            <w14:solidFill>
              <w14:schemeClr w14:val="tx1"/>
            </w14:solidFill>
          </w14:textFill>
        </w:rPr>
        <w:t>。</w:t>
      </w:r>
      <w:r>
        <w:rPr>
          <w:rFonts w:hint="eastAsia" w:ascii="Times New Roman" w:hAnsi="Times New Roman" w:eastAsia="楷体_GB2312" w:cs="楷体_GB2312"/>
          <w:color w:val="000000" w:themeColor="text1"/>
          <w:sz w:val="20"/>
          <w:szCs w:val="20"/>
          <w:highlight w:val="none"/>
          <w14:textFill>
            <w14:solidFill>
              <w14:schemeClr w14:val="tx1"/>
            </w14:solidFill>
          </w14:textFill>
        </w:rPr>
        <w:t>在</w:t>
      </w:r>
      <w:r>
        <w:rPr>
          <w:rFonts w:ascii="Times New Roman" w:hAnsi="Times New Roman" w:eastAsia="楷体_GB2312" w:cs="楷体_GB2312"/>
          <w:color w:val="000000" w:themeColor="text1"/>
          <w:sz w:val="20"/>
          <w:szCs w:val="20"/>
          <w:highlight w:val="none"/>
          <w14:textFill>
            <w14:solidFill>
              <w14:schemeClr w14:val="tx1"/>
            </w14:solidFill>
          </w14:textFill>
        </w:rPr>
        <w:t>该种情形下，</w:t>
      </w:r>
      <w:r>
        <w:rPr>
          <w:rFonts w:hint="eastAsia" w:ascii="Times New Roman" w:hAnsi="Times New Roman" w:eastAsia="楷体_GB2312" w:cs="楷体_GB2312"/>
          <w:color w:val="000000" w:themeColor="text1"/>
          <w:sz w:val="20"/>
          <w:szCs w:val="20"/>
          <w:highlight w:val="none"/>
          <w14:textFill>
            <w14:solidFill>
              <w14:schemeClr w14:val="tx1"/>
            </w14:solidFill>
          </w14:textFill>
        </w:rPr>
        <w:t>非因管理人主观因素导致突破前款规定比例限制的，在单一投资者持有比例降至</w:t>
      </w:r>
      <w:r>
        <w:rPr>
          <w:rFonts w:ascii="Times New Roman" w:hAnsi="Times New Roman" w:eastAsia="楷体_GB2312" w:cs="楷体_GB2312"/>
          <w:color w:val="000000" w:themeColor="text1"/>
          <w:sz w:val="20"/>
          <w:szCs w:val="20"/>
          <w:highlight w:val="none"/>
          <w14:textFill>
            <w14:solidFill>
              <w14:schemeClr w14:val="tx1"/>
            </w14:solidFill>
          </w14:textFill>
        </w:rPr>
        <w:t>50%以下之前，</w:t>
      </w:r>
      <w:r>
        <w:rPr>
          <w:rFonts w:hint="eastAsia" w:ascii="Times New Roman" w:hAnsi="Times New Roman" w:eastAsia="楷体_GB2312" w:cs="楷体_GB2312"/>
          <w:color w:val="000000" w:themeColor="text1"/>
          <w:sz w:val="20"/>
          <w:szCs w:val="20"/>
          <w:highlight w:val="none"/>
          <w14:textFill>
            <w14:solidFill>
              <w14:schemeClr w14:val="tx1"/>
            </w14:solidFill>
          </w14:textFill>
        </w:rPr>
        <w:t>管理人不得再接受该投资者对该理财产品的认购/申购申请。</w:t>
      </w:r>
    </w:p>
    <w:p w14:paraId="0F23C277">
      <w:pPr>
        <w:spacing w:line="300" w:lineRule="exact"/>
        <w:ind w:firstLine="426" w:firstLineChars="213"/>
        <w:jc w:val="both"/>
        <w:rPr>
          <w:rFonts w:ascii="Times New Roman" w:hAnsi="Times New Roman" w:eastAsia="楷体_GB2312" w:cs="楷体_GB2312"/>
          <w:color w:val="000000" w:themeColor="text1"/>
          <w:sz w:val="20"/>
          <w:szCs w:val="20"/>
          <w:highlight w:val="none"/>
          <w14:textFill>
            <w14:solidFill>
              <w14:schemeClr w14:val="tx1"/>
            </w14:solidFill>
          </w14:textFill>
        </w:rPr>
      </w:pPr>
      <w:r>
        <w:rPr>
          <w:rFonts w:hint="eastAsia" w:ascii="Times New Roman" w:hAnsi="Times New Roman" w:eastAsia="楷体_GB2312" w:cs="楷体_GB2312"/>
          <w:color w:val="000000" w:themeColor="text1"/>
          <w:sz w:val="20"/>
          <w:szCs w:val="20"/>
          <w:highlight w:val="none"/>
          <w14:textFill>
            <w14:solidFill>
              <w14:schemeClr w14:val="tx1"/>
            </w14:solidFill>
          </w14:textFill>
        </w:rPr>
        <w:t>（6</w:t>
      </w:r>
      <w:r>
        <w:rPr>
          <w:rFonts w:ascii="Times New Roman" w:hAnsi="Times New Roman" w:eastAsia="楷体_GB2312" w:cs="楷体_GB2312"/>
          <w:color w:val="000000" w:themeColor="text1"/>
          <w:sz w:val="20"/>
          <w:szCs w:val="20"/>
          <w:highlight w:val="none"/>
          <w14:textFill>
            <w14:solidFill>
              <w14:schemeClr w14:val="tx1"/>
            </w14:solidFill>
          </w14:textFill>
        </w:rPr>
        <w:t>）</w:t>
      </w:r>
      <w:r>
        <w:rPr>
          <w:rFonts w:hint="eastAsia" w:ascii="Times New Roman" w:hAnsi="Times New Roman" w:eastAsia="楷体_GB2312" w:cs="楷体_GB2312"/>
          <w:color w:val="000000" w:themeColor="text1"/>
          <w:sz w:val="20"/>
          <w:szCs w:val="20"/>
          <w:highlight w:val="none"/>
          <w14:textFill>
            <w14:solidFill>
              <w14:schemeClr w14:val="tx1"/>
            </w14:solidFill>
          </w14:textFill>
        </w:rPr>
        <w:t>直接投资于流动性受限资产的市值在开放日不得超过产品资产净值的</w:t>
      </w:r>
      <w:r>
        <w:rPr>
          <w:rFonts w:ascii="Times New Roman" w:hAnsi="Times New Roman" w:eastAsia="楷体_GB2312" w:cs="楷体_GB2312"/>
          <w:color w:val="000000" w:themeColor="text1"/>
          <w:sz w:val="20"/>
          <w:szCs w:val="20"/>
          <w:highlight w:val="none"/>
          <w14:textFill>
            <w14:solidFill>
              <w14:schemeClr w14:val="tx1"/>
            </w14:solidFill>
          </w14:textFill>
        </w:rPr>
        <w:t>15%。</w:t>
      </w:r>
      <w:r>
        <w:rPr>
          <w:rFonts w:hint="eastAsia" w:ascii="Times New Roman" w:hAnsi="Times New Roman" w:eastAsia="楷体_GB2312" w:cs="楷体_GB2312"/>
          <w:color w:val="000000" w:themeColor="text1"/>
          <w:sz w:val="20"/>
          <w:szCs w:val="20"/>
          <w:highlight w:val="none"/>
          <w14:textFill>
            <w14:solidFill>
              <w14:schemeClr w14:val="tx1"/>
            </w14:solidFill>
          </w14:textFill>
        </w:rPr>
        <w:t>因证券市场波动、上市公司股票停牌、理财产品规模变动等因素导致理财产品不符合本条规定比例限制的，不得主动新增投资流动性受限资产。</w:t>
      </w:r>
    </w:p>
    <w:p w14:paraId="1941F160">
      <w:pPr>
        <w:spacing w:line="300" w:lineRule="exact"/>
        <w:ind w:firstLine="426" w:firstLineChars="213"/>
        <w:jc w:val="both"/>
        <w:rPr>
          <w:rFonts w:ascii="Times New Roman" w:hAnsi="Times New Roman" w:eastAsia="楷体_GB2312" w:cs="楷体_GB2312"/>
          <w:color w:val="000000" w:themeColor="text1"/>
          <w:sz w:val="20"/>
          <w:szCs w:val="20"/>
          <w:highlight w:val="none"/>
          <w14:textFill>
            <w14:solidFill>
              <w14:schemeClr w14:val="tx1"/>
            </w14:solidFill>
          </w14:textFill>
        </w:rPr>
      </w:pPr>
      <w:r>
        <w:rPr>
          <w:rFonts w:hint="eastAsia" w:ascii="Times New Roman" w:hAnsi="Times New Roman" w:eastAsia="楷体_GB2312" w:cs="楷体_GB2312"/>
          <w:color w:val="000000" w:themeColor="text1"/>
          <w:sz w:val="20"/>
          <w:szCs w:val="20"/>
          <w:highlight w:val="none"/>
          <w14:textFill>
            <w14:solidFill>
              <w14:schemeClr w14:val="tx1"/>
            </w14:solidFill>
          </w14:textFill>
        </w:rPr>
        <w:t>（7</w:t>
      </w:r>
      <w:r>
        <w:rPr>
          <w:rFonts w:ascii="Times New Roman" w:hAnsi="Times New Roman" w:eastAsia="楷体_GB2312" w:cs="楷体_GB2312"/>
          <w:color w:val="000000" w:themeColor="text1"/>
          <w:sz w:val="20"/>
          <w:szCs w:val="20"/>
          <w:highlight w:val="none"/>
          <w14:textFill>
            <w14:solidFill>
              <w14:schemeClr w14:val="tx1"/>
            </w14:solidFill>
          </w14:textFill>
        </w:rPr>
        <w:t>）</w:t>
      </w:r>
      <w:r>
        <w:rPr>
          <w:rFonts w:hint="eastAsia" w:ascii="Times New Roman" w:hAnsi="Times New Roman" w:eastAsia="楷体_GB2312" w:cs="楷体_GB2312"/>
          <w:color w:val="000000" w:themeColor="text1"/>
          <w:sz w:val="20"/>
          <w:szCs w:val="20"/>
          <w:highlight w:val="none"/>
          <w14:textFill>
            <w14:solidFill>
              <w14:schemeClr w14:val="tx1"/>
            </w14:solidFill>
          </w14:textFill>
        </w:rPr>
        <w:t>在开放日前一工作日内，</w:t>
      </w:r>
      <w:r>
        <w:rPr>
          <w:rFonts w:ascii="Times New Roman" w:hAnsi="Times New Roman" w:eastAsia="楷体_GB2312" w:cs="楷体_GB2312"/>
          <w:color w:val="000000" w:themeColor="text1"/>
          <w:sz w:val="20"/>
          <w:szCs w:val="20"/>
          <w:highlight w:val="none"/>
          <w14:textFill>
            <w14:solidFill>
              <w14:schemeClr w14:val="tx1"/>
            </w14:solidFill>
          </w14:textFill>
        </w:rPr>
        <w:t>7个工作日可变现资产的可变现价值应当不低于该产品资产净值的10%。</w:t>
      </w:r>
    </w:p>
    <w:p w14:paraId="341432F3">
      <w:pPr>
        <w:spacing w:line="300" w:lineRule="exact"/>
        <w:ind w:firstLine="400" w:firstLineChars="200"/>
        <w:jc w:val="both"/>
        <w:rPr>
          <w:rFonts w:ascii="Times New Roman" w:hAnsi="Times New Roman" w:eastAsia="楷体_GB2312" w:cs="楷体_GB2312"/>
          <w:color w:val="000000" w:themeColor="text1"/>
          <w:sz w:val="20"/>
          <w:szCs w:val="20"/>
          <w:highlight w:val="none"/>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5．</w:t>
      </w:r>
      <w:r>
        <w:rPr>
          <w:rFonts w:hint="eastAsia" w:ascii="Times New Roman" w:hAnsi="Times New Roman" w:eastAsia="楷体_GB2312" w:cs="楷体_GB2312"/>
          <w:color w:val="000000" w:themeColor="text1"/>
          <w:sz w:val="20"/>
          <w:szCs w:val="20"/>
          <w:highlight w:val="none"/>
          <w14:textFill>
            <w14:solidFill>
              <w14:schemeClr w14:val="tx1"/>
            </w14:solidFill>
          </w14:textFill>
        </w:rPr>
        <w:t>投资合作机构指理财产品所投资资产管理产品的发行机构、根据合同约定从事理财产品受托投资的机构以及与理财产品投资管理相关的投资顾问等机构。投资合作机构的主要职责为进行受托资金的投资管理</w:t>
      </w:r>
      <w:r>
        <w:rPr>
          <w:rFonts w:hint="eastAsia" w:ascii="Times New Roman" w:hAnsi="Times New Roman" w:eastAsia="楷体_GB2312" w:cs="楷体_GB2312"/>
          <w:color w:val="000000" w:themeColor="text1"/>
          <w:sz w:val="20"/>
          <w:szCs w:val="20"/>
          <w:highlight w:val="none"/>
          <w:lang w:eastAsia="zh-CN"/>
          <w14:textFill>
            <w14:solidFill>
              <w14:schemeClr w14:val="tx1"/>
            </w14:solidFill>
          </w14:textFill>
        </w:rPr>
        <w:t>，</w:t>
      </w:r>
      <w:r>
        <w:rPr>
          <w:rFonts w:hint="eastAsia" w:ascii="Times New Roman" w:hAnsi="Times New Roman" w:eastAsia="楷体_GB2312" w:cs="楷体_GB2312"/>
          <w:color w:val="000000" w:themeColor="text1"/>
          <w:sz w:val="20"/>
          <w:szCs w:val="20"/>
          <w:highlight w:val="none"/>
          <w14:textFill>
            <w14:solidFill>
              <w14:schemeClr w14:val="tx1"/>
            </w14:solidFill>
          </w14:textFill>
        </w:rPr>
        <w:t>根据合同约定从事受托投资或提供投资顾问等服务，具体职责以管理人与投资合作机构签署的合同为准。</w:t>
      </w:r>
    </w:p>
    <w:p w14:paraId="342A646D">
      <w:pPr>
        <w:spacing w:line="300" w:lineRule="exact"/>
        <w:ind w:firstLine="400" w:firstLineChars="200"/>
        <w:jc w:val="both"/>
        <w:rPr>
          <w:rFonts w:ascii="Times New Roman" w:hAnsi="Times New Roman" w:eastAsia="楷体_GB2312" w:cs="楷体_GB2312"/>
          <w:color w:val="000000" w:themeColor="text1"/>
          <w:sz w:val="20"/>
          <w:szCs w:val="20"/>
          <w:highlight w:val="none"/>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6．</w:t>
      </w:r>
      <w:r>
        <w:rPr>
          <w:rFonts w:hint="eastAsia" w:ascii="Times New Roman" w:hAnsi="Times New Roman" w:eastAsia="楷体_GB2312" w:cs="楷体_GB2312"/>
          <w:color w:val="000000" w:themeColor="text1"/>
          <w:sz w:val="20"/>
          <w:szCs w:val="20"/>
          <w:highlight w:val="none"/>
          <w14:textFill>
            <w14:solidFill>
              <w14:schemeClr w14:val="tx1"/>
            </w14:solidFill>
          </w14:textFill>
        </w:rPr>
        <w:t>在合法合规且履行应履行的内外部程序后，理财产品可能与管理人及其控股股东、实际控制人等发生关联交易。</w:t>
      </w:r>
    </w:p>
    <w:p w14:paraId="577DFD8E">
      <w:pPr>
        <w:spacing w:line="300" w:lineRule="exact"/>
        <w:ind w:firstLine="400" w:firstLineChars="200"/>
        <w:jc w:val="both"/>
        <w:rPr>
          <w:rFonts w:ascii="Times New Roman" w:hAnsi="Times New Roman" w:eastAsia="楷体_GB2312" w:cs="楷体_GB2312"/>
          <w:color w:val="000000" w:themeColor="text1"/>
          <w:sz w:val="20"/>
          <w:szCs w:val="20"/>
          <w:highlight w:val="none"/>
          <w14:textFill>
            <w14:solidFill>
              <w14:schemeClr w14:val="tx1"/>
            </w14:solidFill>
          </w14:textFill>
        </w:rPr>
      </w:pPr>
    </w:p>
    <w:p w14:paraId="5FF56E99">
      <w:pPr>
        <w:spacing w:line="300" w:lineRule="exact"/>
        <w:ind w:firstLine="400" w:firstLineChars="200"/>
        <w:jc w:val="both"/>
        <w:rPr>
          <w:rFonts w:ascii="Times New Roman" w:hAnsi="Times New Roman" w:eastAsia="楷体_GB2312" w:cs="楷体_GB2312"/>
          <w:color w:val="000000" w:themeColor="text1"/>
          <w:sz w:val="20"/>
          <w:szCs w:val="20"/>
          <w:highlight w:val="none"/>
          <w14:textFill>
            <w14:solidFill>
              <w14:schemeClr w14:val="tx1"/>
            </w14:solidFill>
          </w14:textFill>
        </w:rPr>
      </w:pPr>
    </w:p>
    <w:p w14:paraId="3CCAD977">
      <w:pPr>
        <w:snapToGrid w:val="0"/>
        <w:ind w:left="-2" w:leftChars="-1" w:right="53" w:rightChars="22"/>
        <w:outlineLvl w:val="0"/>
        <w:rPr>
          <w:color w:val="000000" w:themeColor="text1"/>
          <w:highlight w:val="none"/>
          <w14:textFill>
            <w14:solidFill>
              <w14:schemeClr w14:val="tx1"/>
            </w14:solidFill>
          </w14:textFill>
        </w:rPr>
      </w:pPr>
      <w:r>
        <w:rPr>
          <w:rFonts w:hint="eastAsia" w:ascii="黑体" w:hAnsi="Times New Roman" w:eastAsia="黑体" w:cs="黑体"/>
          <w:color w:val="000000" w:themeColor="text1"/>
          <w:sz w:val="20"/>
          <w:szCs w:val="20"/>
          <w:highlight w:val="none"/>
          <w14:textFill>
            <w14:solidFill>
              <w14:schemeClr w14:val="tx1"/>
            </w14:solidFill>
          </w14:textFill>
        </w:rPr>
        <w:t>二、产品基本要素</w:t>
      </w:r>
    </w:p>
    <w:tbl>
      <w:tblPr>
        <w:tblStyle w:val="8"/>
        <w:tblW w:w="5000" w:type="pct"/>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8"/>
        <w:gridCol w:w="6380"/>
      </w:tblGrid>
      <w:tr w14:paraId="27D16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4DBD0F55">
            <w:pPr>
              <w:spacing w:line="300" w:lineRule="exact"/>
              <w:ind w:left="-2" w:leftChars="-1" w:right="36" w:rightChars="15"/>
              <w:rPr>
                <w:rFonts w:eastAsia="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产品名称</w:t>
            </w:r>
          </w:p>
        </w:tc>
        <w:tc>
          <w:tcPr>
            <w:tcW w:w="3740" w:type="pct"/>
            <w:vAlign w:val="center"/>
          </w:tcPr>
          <w:p w14:paraId="354529C4">
            <w:pPr>
              <w:spacing w:line="300" w:lineRule="exact"/>
              <w:ind w:left="-2" w:leftChars="-1" w:right="36" w:rightChars="15"/>
              <w:rPr>
                <w:color w:val="000000" w:themeColor="text1"/>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【信银理财安盈象固收稳利日开170号理财产品】</w:t>
            </w:r>
          </w:p>
        </w:tc>
      </w:tr>
      <w:tr w14:paraId="7DD8F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65ED2236">
            <w:pPr>
              <w:spacing w:line="300" w:lineRule="exact"/>
              <w:ind w:left="-2" w:leftChars="-1" w:right="36" w:rightChars="15"/>
              <w:rPr>
                <w:rFonts w:eastAsia="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理财产品登记编码</w:t>
            </w:r>
          </w:p>
        </w:tc>
        <w:tc>
          <w:tcPr>
            <w:tcW w:w="3740" w:type="pct"/>
            <w:vAlign w:val="center"/>
          </w:tcPr>
          <w:p w14:paraId="1CFF59CA">
            <w:pPr>
              <w:spacing w:line="300" w:lineRule="exact"/>
              <w:ind w:left="-2" w:leftChars="-1" w:right="36" w:rightChars="15"/>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w:t>
            </w:r>
            <w:r>
              <w:rPr>
                <w:rFonts w:ascii="楷体_GB2312" w:eastAsia="楷体_GB2312"/>
                <w:color w:val="000000" w:themeColor="text1"/>
                <w:sz w:val="20"/>
                <w:szCs w:val="20"/>
                <w:highlight w:val="none"/>
                <w14:textFill>
                  <w14:solidFill>
                    <w14:schemeClr w14:val="tx1"/>
                  </w14:solidFill>
                </w14:textFill>
              </w:rPr>
              <w:t>Z7002625002265】</w:t>
            </w:r>
          </w:p>
        </w:tc>
      </w:tr>
      <w:tr w14:paraId="05B83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1797FBB1">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产品</w:t>
            </w:r>
            <w:r>
              <w:rPr>
                <w:rFonts w:ascii="Times New Roman" w:eastAsia="楷体_GB2312" w:cs="楷体_GB2312"/>
                <w:color w:val="000000" w:themeColor="text1"/>
                <w:sz w:val="20"/>
                <w:szCs w:val="20"/>
                <w:highlight w:val="none"/>
                <w14:textFill>
                  <w14:solidFill>
                    <w14:schemeClr w14:val="tx1"/>
                  </w14:solidFill>
                </w14:textFill>
              </w:rPr>
              <w:t>代码</w:t>
            </w:r>
          </w:p>
        </w:tc>
        <w:tc>
          <w:tcPr>
            <w:tcW w:w="3740" w:type="pct"/>
            <w:vAlign w:val="center"/>
          </w:tcPr>
          <w:p w14:paraId="60D0D228">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【AF251526</w:t>
            </w:r>
            <w:r>
              <w:rPr>
                <w:rFonts w:ascii="楷体_GB2312" w:eastAsia="楷体_GB2312" w:cs="楷体_GB2312"/>
                <w:color w:val="000000" w:themeColor="text1"/>
                <w:sz w:val="20"/>
                <w:szCs w:val="20"/>
                <w:highlight w:val="none"/>
                <w14:textFill>
                  <w14:solidFill>
                    <w14:schemeClr w14:val="tx1"/>
                  </w14:solidFill>
                </w14:textFill>
              </w:rPr>
              <w:t>】</w:t>
            </w:r>
          </w:p>
        </w:tc>
      </w:tr>
      <w:tr w14:paraId="69C5C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7A4306F6">
            <w:pPr>
              <w:spacing w:line="300" w:lineRule="exact"/>
              <w:ind w:left="-2" w:leftChars="-1" w:right="36" w:rightChars="15"/>
              <w:rPr>
                <w:rFonts w:eastAsia="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产品类型</w:t>
            </w:r>
          </w:p>
        </w:tc>
        <w:tc>
          <w:tcPr>
            <w:tcW w:w="3740" w:type="pct"/>
            <w:vAlign w:val="center"/>
          </w:tcPr>
          <w:p w14:paraId="466A1E69">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公募、【固定收益类】、开放式</w:t>
            </w:r>
          </w:p>
        </w:tc>
      </w:tr>
      <w:tr w14:paraId="268CE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70EF9A8C">
            <w:pPr>
              <w:spacing w:line="300" w:lineRule="exact"/>
              <w:ind w:left="-2" w:leftChars="-1" w:right="36" w:rightChars="15"/>
              <w:rPr>
                <w:rFonts w:eastAsia="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信银理财产品风险分级</w:t>
            </w:r>
          </w:p>
        </w:tc>
        <w:tc>
          <w:tcPr>
            <w:tcW w:w="3740" w:type="pct"/>
            <w:vAlign w:val="center"/>
          </w:tcPr>
          <w:p w14:paraId="3A372E36">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sz w:val="20"/>
                <w:szCs w:val="20"/>
                <w:highlight w:val="none"/>
              </w:rPr>
              <w:t>PR</w:t>
            </w:r>
            <w:r>
              <w:rPr>
                <w:rFonts w:hint="eastAsia" w:ascii="楷体_GB2312" w:eastAsia="楷体_GB2312" w:cs="楷体_GB2312"/>
                <w:sz w:val="20"/>
                <w:szCs w:val="20"/>
                <w:highlight w:val="none"/>
              </w:rPr>
              <w:t>【2】级（【稳健】</w:t>
            </w:r>
            <w:r>
              <w:rPr>
                <w:rFonts w:ascii="楷体_GB2312" w:eastAsia="楷体_GB2312" w:cs="楷体_GB2312"/>
                <w:sz w:val="20"/>
                <w:szCs w:val="20"/>
                <w:highlight w:val="none"/>
              </w:rPr>
              <w:t>型</w:t>
            </w:r>
            <w:r>
              <w:rPr>
                <w:rFonts w:hint="eastAsia" w:ascii="楷体_GB2312" w:eastAsia="楷体_GB2312" w:cs="楷体_GB2312"/>
                <w:sz w:val="20"/>
                <w:szCs w:val="20"/>
                <w:highlight w:val="none"/>
              </w:rPr>
              <w:t>）</w:t>
            </w:r>
            <w:r>
              <w:rPr>
                <w:rFonts w:hint="eastAsia" w:ascii="楷体_GB2312" w:eastAsia="楷体_GB2312" w:cs="楷体_GB2312"/>
                <w:color w:val="000000" w:themeColor="text1"/>
                <w:sz w:val="20"/>
                <w:szCs w:val="20"/>
                <w:highlight w:val="none"/>
                <w14:textFill>
                  <w14:solidFill>
                    <w14:schemeClr w14:val="tx1"/>
                  </w14:solidFill>
                </w14:textFill>
              </w:rPr>
              <w:t>。本风险分级为信银理财自行评定，仅供参考。</w:t>
            </w:r>
          </w:p>
          <w:p w14:paraId="6122E30E">
            <w:pPr>
              <w:spacing w:line="300" w:lineRule="exact"/>
              <w:ind w:left="-2" w:leftChars="-1" w:right="36" w:rightChars="15"/>
              <w:rPr>
                <w:rFonts w:hint="default"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信银理财有权根据市场变化对产品风险等级进行调整，</w:t>
            </w:r>
            <w:r>
              <w:rPr>
                <w:rFonts w:ascii="楷体_GB2312" w:eastAsia="楷体_GB2312" w:cs="楷体_GB2312"/>
                <w:color w:val="000000" w:themeColor="text1"/>
                <w:sz w:val="20"/>
                <w:szCs w:val="20"/>
                <w:highlight w:val="none"/>
                <w14:textFill>
                  <w14:solidFill>
                    <w14:schemeClr w14:val="tx1"/>
                  </w14:solidFill>
                </w14:textFill>
              </w:rPr>
              <w:t>并最迟于调整生效前</w:t>
            </w:r>
            <w:r>
              <w:rPr>
                <w:rFonts w:hint="eastAsia" w:ascii="楷体_GB2312" w:eastAsia="楷体_GB2312" w:cs="楷体_GB2312"/>
                <w:color w:val="000000" w:themeColor="text1"/>
                <w:sz w:val="20"/>
                <w:szCs w:val="20"/>
                <w:highlight w:val="none"/>
                <w14:textFill>
                  <w14:solidFill>
                    <w14:schemeClr w14:val="tx1"/>
                  </w14:solidFill>
                </w14:textFill>
              </w:rPr>
              <w:t>【2</w:t>
            </w:r>
            <w:r>
              <w:rPr>
                <w:rFonts w:ascii="楷体_GB2312" w:eastAsia="楷体_GB2312" w:cs="楷体_GB2312"/>
                <w:color w:val="000000" w:themeColor="text1"/>
                <w:sz w:val="20"/>
                <w:szCs w:val="20"/>
                <w:highlight w:val="none"/>
                <w14:textFill>
                  <w14:solidFill>
                    <w14:schemeClr w14:val="tx1"/>
                  </w14:solidFill>
                </w14:textFill>
              </w:rPr>
              <w:t>】个工作日</w:t>
            </w:r>
            <w:r>
              <w:rPr>
                <w:rFonts w:hint="eastAsia" w:ascii="楷体_GB2312" w:eastAsia="楷体_GB2312" w:cs="楷体_GB2312"/>
                <w:color w:val="000000" w:themeColor="text1"/>
                <w:sz w:val="20"/>
                <w:szCs w:val="20"/>
                <w:highlight w:val="none"/>
                <w14:textFill>
                  <w14:solidFill>
                    <w14:schemeClr w14:val="tx1"/>
                  </w14:solidFill>
                </w14:textFill>
              </w:rPr>
              <w:t>以</w:t>
            </w:r>
            <w:r>
              <w:rPr>
                <w:rFonts w:ascii="楷体_GB2312" w:eastAsia="楷体_GB2312" w:cs="楷体_GB2312"/>
                <w:color w:val="000000" w:themeColor="text1"/>
                <w:sz w:val="20"/>
                <w:szCs w:val="20"/>
                <w:highlight w:val="none"/>
                <w14:textFill>
                  <w14:solidFill>
                    <w14:schemeClr w14:val="tx1"/>
                  </w14:solidFill>
                </w14:textFill>
              </w:rPr>
              <w:t>本说明书约定的方式</w:t>
            </w:r>
            <w:r>
              <w:rPr>
                <w:rFonts w:hint="eastAsia" w:ascii="楷体_GB2312" w:eastAsia="楷体_GB2312" w:cs="楷体_GB2312"/>
                <w:color w:val="000000" w:themeColor="text1"/>
                <w:sz w:val="20"/>
                <w:szCs w:val="20"/>
                <w:highlight w:val="none"/>
                <w14:textFill>
                  <w14:solidFill>
                    <w14:schemeClr w14:val="tx1"/>
                  </w14:solidFill>
                </w14:textFill>
              </w:rPr>
              <w:t>向投资者发布相关信息</w:t>
            </w:r>
            <w:r>
              <w:rPr>
                <w:rFonts w:ascii="楷体_GB2312" w:eastAsia="楷体_GB2312" w:cs="楷体_GB2312"/>
                <w:color w:val="000000" w:themeColor="text1"/>
                <w:sz w:val="20"/>
                <w:szCs w:val="20"/>
                <w:highlight w:val="none"/>
                <w14:textFill>
                  <w14:solidFill>
                    <w14:schemeClr w14:val="tx1"/>
                  </w14:solidFill>
                </w14:textFill>
              </w:rPr>
              <w:t>。</w:t>
            </w:r>
          </w:p>
          <w:p w14:paraId="69A2368C">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理财</w:t>
            </w:r>
            <w:r>
              <w:rPr>
                <w:rFonts w:ascii="楷体_GB2312" w:eastAsia="楷体_GB2312" w:cs="楷体_GB2312"/>
                <w:color w:val="000000" w:themeColor="text1"/>
                <w:sz w:val="20"/>
                <w:szCs w:val="20"/>
                <w:highlight w:val="none"/>
                <w14:textFill>
                  <w14:solidFill>
                    <w14:schemeClr w14:val="tx1"/>
                  </w14:solidFill>
                </w14:textFill>
              </w:rPr>
              <w:t>产品通过代销机构销售的，代销机构将</w:t>
            </w:r>
            <w:r>
              <w:rPr>
                <w:rFonts w:hint="eastAsia" w:ascii="楷体_GB2312" w:eastAsia="楷体_GB2312" w:cs="楷体_GB2312"/>
                <w:color w:val="000000" w:themeColor="text1"/>
                <w:sz w:val="20"/>
                <w:szCs w:val="20"/>
                <w:highlight w:val="none"/>
                <w14:textFill>
                  <w14:solidFill>
                    <w14:schemeClr w14:val="tx1"/>
                  </w14:solidFill>
                </w14:textFill>
              </w:rPr>
              <w:t>对</w:t>
            </w:r>
            <w:r>
              <w:rPr>
                <w:rFonts w:ascii="楷体_GB2312" w:eastAsia="楷体_GB2312" w:cs="楷体_GB2312"/>
                <w:color w:val="000000" w:themeColor="text1"/>
                <w:sz w:val="20"/>
                <w:szCs w:val="20"/>
                <w:highlight w:val="none"/>
                <w14:textFill>
                  <w14:solidFill>
                    <w14:schemeClr w14:val="tx1"/>
                  </w14:solidFill>
                </w14:textFill>
              </w:rPr>
              <w:t>理财产品进行风险评级</w:t>
            </w:r>
            <w:r>
              <w:rPr>
                <w:rFonts w:hint="eastAsia" w:ascii="楷体_GB2312" w:eastAsia="楷体_GB2312" w:cs="楷体_GB2312"/>
                <w:color w:val="000000" w:themeColor="text1"/>
                <w:sz w:val="20"/>
                <w:szCs w:val="20"/>
                <w:highlight w:val="none"/>
                <w14:textFill>
                  <w14:solidFill>
                    <w14:schemeClr w14:val="tx1"/>
                  </w14:solidFill>
                </w14:textFill>
              </w:rPr>
              <w:t>并</w:t>
            </w:r>
            <w:r>
              <w:rPr>
                <w:rFonts w:ascii="楷体_GB2312" w:eastAsia="楷体_GB2312" w:cs="楷体_GB2312"/>
                <w:color w:val="000000" w:themeColor="text1"/>
                <w:sz w:val="20"/>
                <w:szCs w:val="20"/>
                <w:highlight w:val="none"/>
                <w14:textFill>
                  <w14:solidFill>
                    <w14:schemeClr w14:val="tx1"/>
                  </w14:solidFill>
                </w14:textFill>
              </w:rPr>
              <w:t>对投资者进行风险</w:t>
            </w:r>
            <w:r>
              <w:rPr>
                <w:rFonts w:hint="eastAsia" w:ascii="楷体_GB2312" w:eastAsia="楷体_GB2312" w:cs="楷体_GB2312"/>
                <w:color w:val="000000" w:themeColor="text1"/>
                <w:sz w:val="20"/>
                <w:szCs w:val="20"/>
                <w:highlight w:val="none"/>
                <w14:textFill>
                  <w14:solidFill>
                    <w14:schemeClr w14:val="tx1"/>
                  </w14:solidFill>
                </w14:textFill>
              </w:rPr>
              <w:t>承受能力</w:t>
            </w:r>
            <w:r>
              <w:rPr>
                <w:rFonts w:ascii="楷体_GB2312" w:eastAsia="楷体_GB2312" w:cs="楷体_GB2312"/>
                <w:color w:val="000000" w:themeColor="text1"/>
                <w:sz w:val="20"/>
                <w:szCs w:val="20"/>
                <w:highlight w:val="none"/>
                <w14:textFill>
                  <w14:solidFill>
                    <w14:schemeClr w14:val="tx1"/>
                  </w14:solidFill>
                </w14:textFill>
              </w:rPr>
              <w:t>测评</w:t>
            </w:r>
            <w:r>
              <w:rPr>
                <w:rFonts w:hint="eastAsia"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b/>
                <w:bCs/>
                <w:color w:val="000000" w:themeColor="text1"/>
                <w:sz w:val="20"/>
                <w:szCs w:val="20"/>
                <w:highlight w:val="none"/>
                <w14:textFill>
                  <w14:solidFill>
                    <w14:schemeClr w14:val="tx1"/>
                  </w14:solidFill>
                </w14:textFill>
              </w:rPr>
              <w:t>理财产品评级应当以代销机构最终披露的评级结果为准</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代销</w:t>
            </w:r>
            <w:r>
              <w:rPr>
                <w:rFonts w:ascii="楷体_GB2312" w:eastAsia="楷体_GB2312" w:cs="楷体_GB2312"/>
                <w:color w:val="000000" w:themeColor="text1"/>
                <w:sz w:val="20"/>
                <w:szCs w:val="20"/>
                <w:highlight w:val="none"/>
                <w14:textFill>
                  <w14:solidFill>
                    <w14:schemeClr w14:val="tx1"/>
                  </w14:solidFill>
                </w14:textFill>
              </w:rPr>
              <w:t>机构对</w:t>
            </w:r>
            <w:r>
              <w:rPr>
                <w:rFonts w:hint="eastAsia" w:ascii="楷体_GB2312" w:eastAsia="楷体_GB2312" w:cs="楷体_GB2312"/>
                <w:color w:val="000000" w:themeColor="text1"/>
                <w:sz w:val="20"/>
                <w:szCs w:val="20"/>
                <w:highlight w:val="none"/>
                <w14:textFill>
                  <w14:solidFill>
                    <w14:schemeClr w14:val="tx1"/>
                  </w14:solidFill>
                </w14:textFill>
              </w:rPr>
              <w:t>产品的</w:t>
            </w:r>
            <w:r>
              <w:rPr>
                <w:rFonts w:ascii="楷体_GB2312" w:eastAsia="楷体_GB2312" w:cs="楷体_GB2312"/>
                <w:color w:val="000000" w:themeColor="text1"/>
                <w:sz w:val="20"/>
                <w:szCs w:val="20"/>
                <w:highlight w:val="none"/>
                <w14:textFill>
                  <w14:solidFill>
                    <w14:schemeClr w14:val="tx1"/>
                  </w14:solidFill>
                </w14:textFill>
              </w:rPr>
              <w:t>风险</w:t>
            </w:r>
            <w:r>
              <w:rPr>
                <w:rFonts w:hint="eastAsia" w:ascii="楷体_GB2312" w:eastAsia="楷体_GB2312" w:cs="楷体_GB2312"/>
                <w:color w:val="000000" w:themeColor="text1"/>
                <w:sz w:val="20"/>
                <w:szCs w:val="20"/>
                <w:highlight w:val="none"/>
                <w14:textFill>
                  <w14:solidFill>
                    <w14:schemeClr w14:val="tx1"/>
                  </w14:solidFill>
                </w14:textFill>
              </w:rPr>
              <w:t>评级</w:t>
            </w:r>
            <w:r>
              <w:rPr>
                <w:rFonts w:ascii="楷体_GB2312" w:eastAsia="楷体_GB2312" w:cs="楷体_GB2312"/>
                <w:color w:val="000000" w:themeColor="text1"/>
                <w:sz w:val="20"/>
                <w:szCs w:val="20"/>
                <w:highlight w:val="none"/>
                <w14:textFill>
                  <w14:solidFill>
                    <w14:schemeClr w14:val="tx1"/>
                  </w14:solidFill>
                </w14:textFill>
              </w:rPr>
              <w:t>结果与信银理财不一致的，将采用对应较高风险</w:t>
            </w:r>
            <w:r>
              <w:rPr>
                <w:rFonts w:hint="eastAsia" w:ascii="楷体_GB2312" w:eastAsia="楷体_GB2312" w:cs="楷体_GB2312"/>
                <w:color w:val="000000" w:themeColor="text1"/>
                <w:sz w:val="20"/>
                <w:szCs w:val="20"/>
                <w:highlight w:val="none"/>
                <w14:textFill>
                  <w14:solidFill>
                    <w14:schemeClr w14:val="tx1"/>
                  </w14:solidFill>
                </w14:textFill>
              </w:rPr>
              <w:t>等级</w:t>
            </w:r>
            <w:r>
              <w:rPr>
                <w:rFonts w:ascii="楷体_GB2312" w:eastAsia="楷体_GB2312" w:cs="楷体_GB2312"/>
                <w:color w:val="000000" w:themeColor="text1"/>
                <w:sz w:val="20"/>
                <w:szCs w:val="20"/>
                <w:highlight w:val="none"/>
                <w14:textFill>
                  <w14:solidFill>
                    <w14:schemeClr w14:val="tx1"/>
                  </w14:solidFill>
                </w14:textFill>
              </w:rPr>
              <w:t>的评级结果。</w:t>
            </w:r>
          </w:p>
          <w:p w14:paraId="70F1049D">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p>
        </w:tc>
      </w:tr>
      <w:tr w14:paraId="6D3BB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5E778631">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发行对象</w:t>
            </w:r>
          </w:p>
        </w:tc>
        <w:tc>
          <w:tcPr>
            <w:tcW w:w="3740" w:type="pct"/>
            <w:vAlign w:val="center"/>
          </w:tcPr>
          <w:p w14:paraId="579CDDB5">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【个人/机构】客户</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适合</w:t>
            </w:r>
            <w:r>
              <w:rPr>
                <w:rFonts w:hint="eastAsia" w:ascii="楷体_GB2312" w:eastAsia="楷体_GB2312" w:cs="Times New Roman"/>
                <w:sz w:val="20"/>
                <w:szCs w:val="20"/>
                <w:highlight w:val="none"/>
              </w:rPr>
              <w:t>【稳健型】、【平衡型】、【进取型】、【激进型】</w:t>
            </w:r>
            <w:r>
              <w:rPr>
                <w:rFonts w:hint="eastAsia" w:ascii="楷体_GB2312" w:eastAsia="楷体_GB2312" w:cs="楷体_GB2312"/>
                <w:color w:val="000000" w:themeColor="text1"/>
                <w:sz w:val="20"/>
                <w:szCs w:val="20"/>
                <w:highlight w:val="none"/>
                <w14:textFill>
                  <w14:solidFill>
                    <w14:schemeClr w14:val="tx1"/>
                  </w14:solidFill>
                </w14:textFill>
              </w:rPr>
              <w:t>投资者。</w:t>
            </w:r>
            <w:r>
              <w:rPr>
                <w:rFonts w:hint="eastAsia" w:ascii="楷体_GB2312" w:eastAsia="楷体_GB2312" w:cs="楷体_GB2312"/>
                <w:sz w:val="20"/>
                <w:szCs w:val="20"/>
                <w:highlight w:val="none"/>
              </w:rPr>
              <w:t>代销机构对产品的发行对象与信银理财不一致的，以代销机构为准</w:t>
            </w:r>
            <w:r>
              <w:rPr>
                <w:rFonts w:hint="eastAsia" w:ascii="楷体_GB2312" w:eastAsia="楷体_GB2312" w:cs="楷体_GB2312"/>
                <w:b w:val="0"/>
                <w:bCs w:val="0"/>
                <w:sz w:val="20"/>
                <w:szCs w:val="20"/>
                <w:highlight w:val="none"/>
                <w:lang w:eastAsia="zh-CN"/>
              </w:rPr>
              <w:t>，</w:t>
            </w:r>
            <w:r>
              <w:rPr>
                <w:rFonts w:hint="eastAsia" w:ascii="楷体_GB2312" w:eastAsia="楷体_GB2312" w:cs="楷体_GB2312"/>
                <w:b w:val="0"/>
                <w:bCs w:val="0"/>
                <w:sz w:val="20"/>
                <w:szCs w:val="20"/>
                <w:highlight w:val="none"/>
                <w:lang w:val="en-US" w:eastAsia="zh-CN"/>
              </w:rPr>
              <w:t>但不得超出上述发行对象范围</w:t>
            </w:r>
            <w:r>
              <w:rPr>
                <w:rFonts w:hint="eastAsia" w:ascii="楷体_GB2312" w:eastAsia="楷体_GB2312" w:cs="楷体_GB2312"/>
                <w:sz w:val="20"/>
                <w:szCs w:val="20"/>
                <w:highlight w:val="none"/>
              </w:rPr>
              <w:t>。</w:t>
            </w:r>
          </w:p>
        </w:tc>
      </w:tr>
      <w:tr w14:paraId="10E74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5299AC43">
            <w:pPr>
              <w:spacing w:line="300" w:lineRule="exact"/>
              <w:ind w:left="-2" w:leftChars="-1" w:right="36" w:rightChars="15"/>
              <w:rPr>
                <w:rFonts w:ascii="Times New Roman" w:eastAsia="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理财本金</w:t>
            </w:r>
          </w:p>
        </w:tc>
        <w:tc>
          <w:tcPr>
            <w:tcW w:w="3740" w:type="pct"/>
            <w:vAlign w:val="center"/>
          </w:tcPr>
          <w:p w14:paraId="28D9E5CE">
            <w:pPr>
              <w:spacing w:line="300" w:lineRule="exact"/>
              <w:ind w:left="-2" w:leftChars="-1" w:right="36" w:rightChars="15"/>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本理财产品不保证本金及理财收益，其理财收益随单位净值浮动。详细内容见以下“八</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b/>
                <w:bCs/>
                <w:color w:val="000000" w:themeColor="text1"/>
                <w:sz w:val="20"/>
                <w:szCs w:val="20"/>
                <w:highlight w:val="none"/>
                <w14:textFill>
                  <w14:solidFill>
                    <w14:schemeClr w14:val="tx1"/>
                  </w14:solidFill>
                </w14:textFill>
              </w:rPr>
              <w:t>理财资金分配</w:t>
            </w:r>
            <w:r>
              <w:rPr>
                <w:rFonts w:hint="eastAsia" w:ascii="楷体_GB2312" w:eastAsia="楷体_GB2312" w:cs="楷体_GB2312"/>
                <w:color w:val="000000" w:themeColor="text1"/>
                <w:sz w:val="20"/>
                <w:szCs w:val="20"/>
                <w:highlight w:val="none"/>
                <w14:textFill>
                  <w14:solidFill>
                    <w14:schemeClr w14:val="tx1"/>
                  </w14:solidFill>
                </w14:textFill>
              </w:rPr>
              <w:t>”。</w:t>
            </w:r>
          </w:p>
        </w:tc>
      </w:tr>
      <w:tr w14:paraId="13B90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6B133C3D">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理财</w:t>
            </w:r>
            <w:r>
              <w:rPr>
                <w:rFonts w:ascii="Times New Roman" w:eastAsia="楷体_GB2312" w:cs="楷体_GB2312"/>
                <w:color w:val="000000" w:themeColor="text1"/>
                <w:sz w:val="20"/>
                <w:szCs w:val="20"/>
                <w:highlight w:val="none"/>
                <w14:textFill>
                  <w14:solidFill>
                    <w14:schemeClr w14:val="tx1"/>
                  </w14:solidFill>
                </w14:textFill>
              </w:rPr>
              <w:t>产品份额</w:t>
            </w:r>
          </w:p>
        </w:tc>
        <w:tc>
          <w:tcPr>
            <w:tcW w:w="3740" w:type="pct"/>
            <w:vAlign w:val="center"/>
          </w:tcPr>
          <w:p w14:paraId="7DCB23C2">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指</w:t>
            </w:r>
            <w:r>
              <w:rPr>
                <w:rFonts w:ascii="楷体_GB2312" w:eastAsia="楷体_GB2312" w:cs="楷体_GB2312"/>
                <w:color w:val="000000" w:themeColor="text1"/>
                <w:sz w:val="20"/>
                <w:szCs w:val="20"/>
                <w:highlight w:val="none"/>
                <w14:textFill>
                  <w14:solidFill>
                    <w14:schemeClr w14:val="tx1"/>
                  </w14:solidFill>
                </w14:textFill>
              </w:rPr>
              <w:t>管理人依据理财产品</w:t>
            </w:r>
            <w:r>
              <w:rPr>
                <w:rFonts w:hint="eastAsia" w:ascii="楷体_GB2312" w:eastAsia="楷体_GB2312" w:cs="楷体_GB2312"/>
                <w:color w:val="000000" w:themeColor="text1"/>
                <w:sz w:val="20"/>
                <w:szCs w:val="20"/>
                <w:highlight w:val="none"/>
                <w14:textFill>
                  <w14:solidFill>
                    <w14:schemeClr w14:val="tx1"/>
                  </w14:solidFill>
                </w14:textFill>
              </w:rPr>
              <w:t>合同</w:t>
            </w:r>
            <w:r>
              <w:rPr>
                <w:rFonts w:ascii="楷体_GB2312" w:eastAsia="楷体_GB2312" w:cs="楷体_GB2312"/>
                <w:color w:val="000000" w:themeColor="text1"/>
                <w:sz w:val="20"/>
                <w:szCs w:val="20"/>
                <w:highlight w:val="none"/>
                <w14:textFill>
                  <w14:solidFill>
                    <w14:schemeClr w14:val="tx1"/>
                  </w14:solidFill>
                </w14:textFill>
              </w:rPr>
              <w:t>向投资者发行的</w:t>
            </w:r>
            <w:r>
              <w:rPr>
                <w:rFonts w:hint="eastAsia" w:ascii="楷体_GB2312" w:eastAsia="楷体_GB2312" w:cs="楷体_GB2312"/>
                <w:color w:val="000000" w:themeColor="text1"/>
                <w:sz w:val="20"/>
                <w:szCs w:val="20"/>
                <w:highlight w:val="none"/>
                <w14:textFill>
                  <w14:solidFill>
                    <w14:schemeClr w14:val="tx1"/>
                  </w14:solidFill>
                </w14:textFill>
              </w:rPr>
              <w:t>理财产品</w:t>
            </w:r>
            <w:r>
              <w:rPr>
                <w:rFonts w:ascii="楷体_GB2312" w:eastAsia="楷体_GB2312" w:cs="楷体_GB2312"/>
                <w:color w:val="000000" w:themeColor="text1"/>
                <w:sz w:val="20"/>
                <w:szCs w:val="20"/>
                <w:highlight w:val="none"/>
                <w14:textFill>
                  <w14:solidFill>
                    <w14:schemeClr w14:val="tx1"/>
                  </w14:solidFill>
                </w14:textFill>
              </w:rPr>
              <w:t>受益凭证。理财产品</w:t>
            </w:r>
            <w:r>
              <w:rPr>
                <w:rFonts w:hint="eastAsia" w:ascii="楷体_GB2312" w:eastAsia="楷体_GB2312" w:cs="楷体_GB2312"/>
                <w:color w:val="000000" w:themeColor="text1"/>
                <w:sz w:val="20"/>
                <w:szCs w:val="20"/>
                <w:highlight w:val="none"/>
                <w14:textFill>
                  <w14:solidFill>
                    <w14:schemeClr w14:val="tx1"/>
                  </w14:solidFill>
                </w14:textFill>
              </w:rPr>
              <w:t>份额</w:t>
            </w:r>
            <w:r>
              <w:rPr>
                <w:rFonts w:ascii="楷体_GB2312" w:eastAsia="楷体_GB2312" w:cs="楷体_GB2312"/>
                <w:color w:val="000000" w:themeColor="text1"/>
                <w:sz w:val="20"/>
                <w:szCs w:val="20"/>
                <w:highlight w:val="none"/>
                <w14:textFill>
                  <w14:solidFill>
                    <w14:schemeClr w14:val="tx1"/>
                  </w14:solidFill>
                </w14:textFill>
              </w:rPr>
              <w:t>持有人基于其所持有的理财产品份额享有理财产品利益、承担理财产品资产风险。</w:t>
            </w:r>
          </w:p>
        </w:tc>
      </w:tr>
      <w:tr w14:paraId="62D4D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2E6C07EE">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理财</w:t>
            </w:r>
            <w:r>
              <w:rPr>
                <w:rFonts w:ascii="Times New Roman" w:eastAsia="楷体_GB2312" w:cs="楷体_GB2312"/>
                <w:color w:val="000000" w:themeColor="text1"/>
                <w:sz w:val="20"/>
                <w:szCs w:val="20"/>
                <w:highlight w:val="none"/>
                <w14:textFill>
                  <w14:solidFill>
                    <w14:schemeClr w14:val="tx1"/>
                  </w14:solidFill>
                </w14:textFill>
              </w:rPr>
              <w:t>产品份额面值</w:t>
            </w:r>
          </w:p>
        </w:tc>
        <w:tc>
          <w:tcPr>
            <w:tcW w:w="3740" w:type="pct"/>
            <w:vAlign w:val="center"/>
          </w:tcPr>
          <w:p w14:paraId="7D93E310">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理财</w:t>
            </w:r>
            <w:r>
              <w:rPr>
                <w:rFonts w:ascii="楷体_GB2312" w:eastAsia="楷体_GB2312" w:cs="楷体_GB2312"/>
                <w:color w:val="000000" w:themeColor="text1"/>
                <w:sz w:val="20"/>
                <w:szCs w:val="20"/>
                <w:highlight w:val="none"/>
                <w14:textFill>
                  <w14:solidFill>
                    <w14:schemeClr w14:val="tx1"/>
                  </w14:solidFill>
                </w14:textFill>
              </w:rPr>
              <w:t>产品份额面值为</w:t>
            </w:r>
            <w:r>
              <w:rPr>
                <w:rFonts w:hint="eastAsia" w:ascii="楷体_GB2312" w:eastAsia="楷体_GB2312" w:cs="楷体_GB2312"/>
                <w:color w:val="000000" w:themeColor="text1"/>
                <w:sz w:val="20"/>
                <w:szCs w:val="20"/>
                <w:highlight w:val="none"/>
                <w14:textFill>
                  <w14:solidFill>
                    <w14:schemeClr w14:val="tx1"/>
                  </w14:solidFill>
                </w14:textFill>
              </w:rPr>
              <w:t>【人民币</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1元。</w:t>
            </w:r>
          </w:p>
        </w:tc>
      </w:tr>
      <w:tr w14:paraId="4CEF7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1259" w:type="pct"/>
            <w:vAlign w:val="center"/>
          </w:tcPr>
          <w:p w14:paraId="249F315B">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理财</w:t>
            </w:r>
            <w:r>
              <w:rPr>
                <w:rFonts w:ascii="Times New Roman" w:eastAsia="楷体_GB2312" w:cs="楷体_GB2312"/>
                <w:color w:val="000000" w:themeColor="text1"/>
                <w:sz w:val="20"/>
                <w:szCs w:val="20"/>
                <w:highlight w:val="none"/>
                <w14:textFill>
                  <w14:solidFill>
                    <w14:schemeClr w14:val="tx1"/>
                  </w14:solidFill>
                </w14:textFill>
              </w:rPr>
              <w:t>产品份额类型</w:t>
            </w:r>
          </w:p>
        </w:tc>
        <w:tc>
          <w:tcPr>
            <w:tcW w:w="3740" w:type="pct"/>
            <w:vAlign w:val="center"/>
          </w:tcPr>
          <w:p w14:paraId="4B44BB31">
            <w:pPr>
              <w:spacing w:line="300" w:lineRule="exact"/>
              <w:ind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【B】类份额：份额代码【AF251526B】</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【G】类份额：份额代码【AF251526G】</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【H】类份额：份额代码【AF251526H】</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【M】类份额：份额代码【AF251526M】</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【N】类份额：份额代码【AF251526N】</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【S】类份额：份额代码【AF251526S】</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【Y】类份额：份额代码【AF251526Y】</w:t>
            </w:r>
          </w:p>
          <w:p w14:paraId="0FD559CD">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p>
          <w:p w14:paraId="1FA6ACC8">
            <w:pPr>
              <w:spacing w:line="300" w:lineRule="exact"/>
              <w:ind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后续理财产品份额类型如有新增、减少和变更，信银理财将按照本说明书约定的方式告知投资者。</w:t>
            </w:r>
          </w:p>
        </w:tc>
      </w:tr>
      <w:tr w14:paraId="45A8A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1259" w:type="pct"/>
            <w:vAlign w:val="center"/>
          </w:tcPr>
          <w:p w14:paraId="69510DC9">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工作日</w:t>
            </w:r>
          </w:p>
        </w:tc>
        <w:tc>
          <w:tcPr>
            <w:tcW w:w="3740" w:type="pct"/>
            <w:vAlign w:val="center"/>
          </w:tcPr>
          <w:p w14:paraId="2FC78526">
            <w:pPr>
              <w:spacing w:line="300" w:lineRule="exact"/>
              <w:ind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指除中国法定节假日和公休日外的其他日。</w:t>
            </w:r>
          </w:p>
        </w:tc>
      </w:tr>
      <w:tr w14:paraId="28ADA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1259" w:type="pct"/>
            <w:vAlign w:val="center"/>
          </w:tcPr>
          <w:p w14:paraId="1F45D59D">
            <w:pPr>
              <w:spacing w:line="300" w:lineRule="exact"/>
              <w:ind w:left="-2" w:leftChars="-1" w:right="36" w:rightChars="15"/>
              <w:rPr>
                <w:rFonts w:ascii="Times New Roman" w:hAnsi="Times New Roman" w:eastAsia="楷体_GB2312" w:cs="Times New Roman"/>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募集期</w:t>
            </w:r>
          </w:p>
        </w:tc>
        <w:tc>
          <w:tcPr>
            <w:tcW w:w="3740" w:type="pct"/>
            <w:vAlign w:val="center"/>
          </w:tcPr>
          <w:p w14:paraId="66C9D73C">
            <w:pPr>
              <w:pStyle w:val="19"/>
              <w:numPr>
                <w:ilvl w:val="0"/>
                <w:numId w:val="1"/>
              </w:numPr>
              <w:spacing w:line="300" w:lineRule="exact"/>
              <w:ind w:right="36" w:rightChars="15" w:firstLineChars="0"/>
              <w:rPr>
                <w:rFonts w:ascii="Times New Roman" w:hAnsi="Times New Roman" w:eastAsia="楷体_GB2312" w:cs="Times New Roman"/>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【2025】年【12】月【26】日至【2025】年【12】月【29】日，</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信银理财有权提前结束募集期并提前成立产品或者延长募集期。</w:t>
            </w:r>
          </w:p>
          <w:p w14:paraId="39947EE8">
            <w:pPr>
              <w:pStyle w:val="19"/>
              <w:numPr>
                <w:ilvl w:val="0"/>
                <w:numId w:val="1"/>
              </w:numPr>
              <w:spacing w:line="300" w:lineRule="exact"/>
              <w:ind w:right="36" w:rightChars="15" w:firstLineChars="0"/>
              <w:rPr>
                <w:rFonts w:ascii="Times New Roman" w:hAnsi="Times New Roman" w:eastAsia="楷体_GB2312" w:cs="Times New Roman"/>
                <w:color w:val="000000" w:themeColor="text1"/>
                <w:sz w:val="20"/>
                <w:szCs w:val="20"/>
                <w:highlight w:val="none"/>
                <w14:textFill>
                  <w14:solidFill>
                    <w14:schemeClr w14:val="tx1"/>
                  </w14:solidFill>
                </w14:textFill>
              </w:rPr>
            </w:pPr>
            <w:r>
              <w:rPr>
                <w:rFonts w:ascii="Times New Roman" w:hAnsi="Times New Roman" w:eastAsia="楷体_GB2312" w:cs="Times New Roman"/>
                <w:color w:val="000000" w:themeColor="text1"/>
                <w:sz w:val="20"/>
                <w:szCs w:val="20"/>
                <w:highlight w:val="none"/>
                <w14:textFill>
                  <w14:solidFill>
                    <w14:schemeClr w14:val="tx1"/>
                  </w14:solidFill>
                </w14:textFill>
              </w:rPr>
              <w:t>投资者在</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信银</w:t>
            </w:r>
            <w:r>
              <w:rPr>
                <w:rFonts w:ascii="Times New Roman" w:hAnsi="Times New Roman" w:eastAsia="楷体_GB2312" w:cs="Times New Roman"/>
                <w:color w:val="000000" w:themeColor="text1"/>
                <w:sz w:val="20"/>
                <w:szCs w:val="20"/>
                <w:highlight w:val="none"/>
                <w14:textFill>
                  <w14:solidFill>
                    <w14:schemeClr w14:val="tx1"/>
                  </w14:solidFill>
                </w14:textFill>
              </w:rPr>
              <w:t>理财直销渠道购买</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产品</w:t>
            </w:r>
            <w:r>
              <w:rPr>
                <w:rFonts w:ascii="Times New Roman" w:hAnsi="Times New Roman" w:eastAsia="楷体_GB2312" w:cs="Times New Roman"/>
                <w:color w:val="000000" w:themeColor="text1"/>
                <w:sz w:val="20"/>
                <w:szCs w:val="20"/>
                <w:highlight w:val="none"/>
                <w14:textFill>
                  <w14:solidFill>
                    <w14:schemeClr w14:val="tx1"/>
                  </w14:solidFill>
                </w14:textFill>
              </w:rPr>
              <w:t>的，募集期内可以撤单</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。撤单</w:t>
            </w:r>
            <w:r>
              <w:rPr>
                <w:rFonts w:ascii="Times New Roman" w:hAnsi="Times New Roman" w:eastAsia="楷体_GB2312" w:cs="Times New Roman"/>
                <w:color w:val="000000" w:themeColor="text1"/>
                <w:sz w:val="20"/>
                <w:szCs w:val="20"/>
                <w:highlight w:val="none"/>
                <w14:textFill>
                  <w14:solidFill>
                    <w14:schemeClr w14:val="tx1"/>
                  </w14:solidFill>
                </w14:textFill>
              </w:rPr>
              <w:t>具体规则</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以</w:t>
            </w:r>
            <w:r>
              <w:rPr>
                <w:rFonts w:ascii="Times New Roman" w:hAnsi="Times New Roman" w:eastAsia="楷体_GB2312" w:cs="Times New Roman"/>
                <w:color w:val="000000" w:themeColor="text1"/>
                <w:sz w:val="20"/>
                <w:szCs w:val="20"/>
                <w:highlight w:val="none"/>
                <w14:textFill>
                  <w14:solidFill>
                    <w14:schemeClr w14:val="tx1"/>
                  </w14:solidFill>
                </w14:textFill>
              </w:rPr>
              <w:t>信银理财</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说明</w:t>
            </w:r>
            <w:r>
              <w:rPr>
                <w:rFonts w:ascii="Times New Roman" w:hAnsi="Times New Roman" w:eastAsia="楷体_GB2312" w:cs="Times New Roman"/>
                <w:color w:val="000000" w:themeColor="text1"/>
                <w:sz w:val="20"/>
                <w:szCs w:val="20"/>
                <w:highlight w:val="none"/>
                <w14:textFill>
                  <w14:solidFill>
                    <w14:schemeClr w14:val="tx1"/>
                  </w14:solidFill>
                </w14:textFill>
              </w:rPr>
              <w:t>或公布的操作方式为准。</w:t>
            </w:r>
          </w:p>
          <w:p w14:paraId="5AEC75F0">
            <w:pPr>
              <w:pStyle w:val="19"/>
              <w:spacing w:line="300" w:lineRule="exact"/>
              <w:ind w:left="358" w:right="36" w:rightChars="15" w:firstLine="0" w:firstLineChars="0"/>
              <w:rPr>
                <w:rFonts w:ascii="Times New Roman" w:hAnsi="Times New Roman" w:eastAsia="楷体_GB2312" w:cs="Times New Roman"/>
                <w:color w:val="000000" w:themeColor="text1"/>
                <w:sz w:val="20"/>
                <w:szCs w:val="20"/>
                <w:highlight w:val="none"/>
                <w14:textFill>
                  <w14:solidFill>
                    <w14:schemeClr w14:val="tx1"/>
                  </w14:solidFill>
                </w14:textFill>
              </w:rPr>
            </w:pPr>
            <w:r>
              <w:rPr>
                <w:rFonts w:hint="eastAsia" w:ascii="Times New Roman" w:hAnsi="Times New Roman" w:eastAsia="楷体_GB2312" w:cs="Times New Roman"/>
                <w:color w:val="000000" w:themeColor="text1"/>
                <w:sz w:val="20"/>
                <w:szCs w:val="20"/>
                <w:highlight w:val="none"/>
                <w14:textFill>
                  <w14:solidFill>
                    <w14:schemeClr w14:val="tx1"/>
                  </w14:solidFill>
                </w14:textFill>
              </w:rPr>
              <w:t>投资者在</w:t>
            </w:r>
            <w:r>
              <w:rPr>
                <w:rFonts w:ascii="Times New Roman" w:hAnsi="Times New Roman" w:eastAsia="楷体_GB2312" w:cs="Times New Roman"/>
                <w:color w:val="000000" w:themeColor="text1"/>
                <w:sz w:val="20"/>
                <w:szCs w:val="20"/>
                <w:highlight w:val="none"/>
                <w14:textFill>
                  <w14:solidFill>
                    <w14:schemeClr w14:val="tx1"/>
                  </w14:solidFill>
                </w14:textFill>
              </w:rPr>
              <w:t>代销</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机构</w:t>
            </w:r>
            <w:r>
              <w:rPr>
                <w:rFonts w:ascii="Times New Roman" w:hAnsi="Times New Roman" w:eastAsia="楷体_GB2312" w:cs="Times New Roman"/>
                <w:color w:val="000000" w:themeColor="text1"/>
                <w:sz w:val="20"/>
                <w:szCs w:val="20"/>
                <w:highlight w:val="none"/>
                <w14:textFill>
                  <w14:solidFill>
                    <w14:schemeClr w14:val="tx1"/>
                  </w14:solidFill>
                </w14:textFill>
              </w:rPr>
              <w:t>购买理财产品的，</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募集期</w:t>
            </w:r>
            <w:r>
              <w:rPr>
                <w:rFonts w:ascii="Times New Roman" w:hAnsi="Times New Roman" w:eastAsia="楷体_GB2312" w:cs="Times New Roman"/>
                <w:color w:val="000000" w:themeColor="text1"/>
                <w:sz w:val="20"/>
                <w:szCs w:val="20"/>
                <w:highlight w:val="none"/>
                <w14:textFill>
                  <w14:solidFill>
                    <w14:schemeClr w14:val="tx1"/>
                  </w14:solidFill>
                </w14:textFill>
              </w:rPr>
              <w:t>内是否可以撤单</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以及</w:t>
            </w:r>
            <w:r>
              <w:rPr>
                <w:rFonts w:ascii="Times New Roman" w:hAnsi="Times New Roman" w:eastAsia="楷体_GB2312" w:cs="Times New Roman"/>
                <w:color w:val="000000" w:themeColor="text1"/>
                <w:sz w:val="20"/>
                <w:szCs w:val="20"/>
                <w:highlight w:val="none"/>
                <w14:textFill>
                  <w14:solidFill>
                    <w14:schemeClr w14:val="tx1"/>
                  </w14:solidFill>
                </w14:textFill>
              </w:rPr>
              <w:t>撤单规则，以代销机构说明或公布的操作方式为准。</w:t>
            </w:r>
          </w:p>
          <w:p w14:paraId="6CC7EB7C">
            <w:pPr>
              <w:pStyle w:val="19"/>
              <w:spacing w:line="300" w:lineRule="exact"/>
              <w:ind w:left="358" w:right="36" w:rightChars="15" w:firstLine="0" w:firstLineChars="0"/>
              <w:rPr>
                <w:rFonts w:ascii="Times New Roman" w:hAnsi="Times New Roman" w:eastAsia="楷体_GB2312" w:cs="Times New Roman"/>
                <w:color w:val="000000" w:themeColor="text1"/>
                <w:sz w:val="20"/>
                <w:szCs w:val="20"/>
                <w:highlight w:val="none"/>
                <w14:textFill>
                  <w14:solidFill>
                    <w14:schemeClr w14:val="tx1"/>
                  </w14:solidFill>
                </w14:textFill>
              </w:rPr>
            </w:pPr>
            <w:r>
              <w:rPr>
                <w:rFonts w:hint="eastAsia" w:ascii="Times New Roman" w:hAnsi="Times New Roman" w:eastAsia="楷体_GB2312" w:cs="Times New Roman"/>
                <w:color w:val="000000" w:themeColor="text1"/>
                <w:sz w:val="20"/>
                <w:szCs w:val="20"/>
                <w:highlight w:val="none"/>
                <w14:textFill>
                  <w14:solidFill>
                    <w14:schemeClr w14:val="tx1"/>
                  </w14:solidFill>
                </w14:textFill>
              </w:rPr>
              <w:t>“可以</w:t>
            </w:r>
            <w:r>
              <w:rPr>
                <w:rFonts w:ascii="Times New Roman" w:hAnsi="Times New Roman" w:eastAsia="楷体_GB2312" w:cs="Times New Roman"/>
                <w:color w:val="000000" w:themeColor="text1"/>
                <w:sz w:val="20"/>
                <w:szCs w:val="20"/>
                <w:highlight w:val="none"/>
                <w14:textFill>
                  <w14:solidFill>
                    <w14:schemeClr w14:val="tx1"/>
                  </w14:solidFill>
                </w14:textFill>
              </w:rPr>
              <w:t>撤单</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”则</w:t>
            </w:r>
            <w:r>
              <w:rPr>
                <w:rFonts w:ascii="Times New Roman" w:hAnsi="Times New Roman" w:eastAsia="楷体_GB2312" w:cs="Times New Roman"/>
                <w:color w:val="000000" w:themeColor="text1"/>
                <w:sz w:val="20"/>
                <w:szCs w:val="20"/>
                <w:highlight w:val="none"/>
                <w14:textFill>
                  <w14:solidFill>
                    <w14:schemeClr w14:val="tx1"/>
                  </w14:solidFill>
                </w14:textFill>
              </w:rPr>
              <w:t>意味着</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投资者有权撤销其已向信银理财或代销机构提交的认购申请。</w:t>
            </w:r>
          </w:p>
          <w:p w14:paraId="7778836E">
            <w:pPr>
              <w:pStyle w:val="19"/>
              <w:numPr>
                <w:ilvl w:val="0"/>
                <w:numId w:val="1"/>
              </w:numPr>
              <w:spacing w:line="300" w:lineRule="exact"/>
              <w:ind w:right="36" w:rightChars="15" w:firstLineChars="0"/>
              <w:rPr>
                <w:rFonts w:ascii="Times New Roman" w:hAnsi="Times New Roman" w:eastAsia="楷体_GB2312" w:cs="Times New Roman"/>
                <w:color w:val="000000" w:themeColor="text1"/>
                <w:sz w:val="20"/>
                <w:szCs w:val="20"/>
                <w:highlight w:val="none"/>
                <w14:textFill>
                  <w14:solidFill>
                    <w14:schemeClr w14:val="tx1"/>
                  </w14:solidFill>
                </w14:textFill>
              </w:rPr>
            </w:pPr>
            <w:r>
              <w:rPr>
                <w:rFonts w:hint="eastAsia" w:ascii="Times New Roman" w:hAnsi="Times New Roman" w:eastAsia="楷体_GB2312" w:cs="Times New Roman"/>
                <w:color w:val="000000" w:themeColor="text1"/>
                <w:sz w:val="20"/>
                <w:szCs w:val="20"/>
                <w:highlight w:val="none"/>
                <w:lang w:val="en-US" w:eastAsia="zh-CN"/>
                <w14:textFill>
                  <w14:solidFill>
                    <w14:schemeClr w14:val="tx1"/>
                  </w14:solidFill>
                </w14:textFill>
              </w:rPr>
              <w:t>募集期内投资者认购款项在管理人募集账户不产生利息，是否计付利息以及利息计付规则以销售机构为准。</w:t>
            </w:r>
          </w:p>
        </w:tc>
      </w:tr>
      <w:tr w14:paraId="45BE6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2BAC6CC9">
            <w:pPr>
              <w:spacing w:line="300" w:lineRule="atLeast"/>
              <w:ind w:left="-2" w:right="31"/>
              <w:rPr>
                <w:rFonts w:ascii="Times New Roman" w:hAnsi="Times New Roman" w:eastAsia="楷体_GB2312" w:cs="Times New Roman"/>
                <w:color w:val="000000" w:themeColor="text1"/>
                <w:sz w:val="20"/>
                <w:szCs w:val="20"/>
                <w:highlight w:val="none"/>
                <w14:textFill>
                  <w14:solidFill>
                    <w14:schemeClr w14:val="tx1"/>
                  </w14:solidFill>
                </w14:textFill>
              </w:rPr>
            </w:pPr>
            <w:r>
              <w:rPr>
                <w:rFonts w:hint="eastAsia" w:ascii="Times New Roman" w:hAnsi="Times New Roman" w:eastAsia="楷体_GB2312" w:cs="Times New Roman"/>
                <w:color w:val="000000" w:themeColor="text1"/>
                <w:sz w:val="20"/>
                <w:szCs w:val="20"/>
                <w:highlight w:val="none"/>
                <w14:textFill>
                  <w14:solidFill>
                    <w14:schemeClr w14:val="tx1"/>
                  </w14:solidFill>
                </w14:textFill>
              </w:rPr>
              <w:t>运作</w:t>
            </w:r>
            <w:r>
              <w:rPr>
                <w:rFonts w:ascii="Times New Roman" w:hAnsi="Times New Roman" w:eastAsia="楷体_GB2312" w:cs="Times New Roman"/>
                <w:color w:val="000000" w:themeColor="text1"/>
                <w:sz w:val="20"/>
                <w:szCs w:val="20"/>
                <w:highlight w:val="none"/>
                <w14:textFill>
                  <w14:solidFill>
                    <w14:schemeClr w14:val="tx1"/>
                  </w14:solidFill>
                </w14:textFill>
              </w:rPr>
              <w:t>起始</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日</w:t>
            </w:r>
          </w:p>
        </w:tc>
        <w:tc>
          <w:tcPr>
            <w:tcW w:w="3740" w:type="pct"/>
            <w:vAlign w:val="center"/>
          </w:tcPr>
          <w:p w14:paraId="33C8492D">
            <w:pPr>
              <w:spacing w:line="300" w:lineRule="atLeast"/>
              <w:ind w:left="-2" w:right="31"/>
              <w:rPr>
                <w:rFonts w:ascii="Times New Roman" w:hAnsi="Times New Roman" w:eastAsia="楷体_GB2312" w:cs="Times New Roman"/>
                <w:color w:val="000000" w:themeColor="text1"/>
                <w:sz w:val="20"/>
                <w:szCs w:val="20"/>
                <w:highlight w:val="none"/>
                <w14:textFill>
                  <w14:solidFill>
                    <w14:schemeClr w14:val="tx1"/>
                  </w14:solidFill>
                </w14:textFill>
              </w:rPr>
            </w:pPr>
            <w:r>
              <w:rPr>
                <w:rFonts w:hint="eastAsia" w:ascii="Times New Roman" w:eastAsia="楷体_GB2312" w:cs="Times New Roman"/>
                <w:color w:val="000000" w:themeColor="text1"/>
                <w:sz w:val="20"/>
                <w:szCs w:val="20"/>
                <w:highlight w:val="none"/>
                <w14:textFill>
                  <w14:solidFill>
                    <w14:schemeClr w14:val="tx1"/>
                  </w14:solidFill>
                </w14:textFill>
              </w:rPr>
              <w:t>【2025】年【12】月【30】日</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（如信银理财调整募集期，则运作</w:t>
            </w:r>
            <w:r>
              <w:rPr>
                <w:rFonts w:ascii="Times New Roman" w:hAnsi="Times New Roman" w:eastAsia="楷体_GB2312" w:cs="Times New Roman"/>
                <w:color w:val="000000" w:themeColor="text1"/>
                <w:sz w:val="20"/>
                <w:szCs w:val="20"/>
                <w:highlight w:val="none"/>
                <w14:textFill>
                  <w14:solidFill>
                    <w14:schemeClr w14:val="tx1"/>
                  </w14:solidFill>
                </w14:textFill>
              </w:rPr>
              <w:t>起始</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日将相应调整。）</w:t>
            </w:r>
          </w:p>
        </w:tc>
      </w:tr>
      <w:tr w14:paraId="3ACCF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40C59C4A">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产品建仓期</w:t>
            </w:r>
          </w:p>
        </w:tc>
        <w:tc>
          <w:tcPr>
            <w:tcW w:w="3740" w:type="pct"/>
            <w:vAlign w:val="center"/>
          </w:tcPr>
          <w:p w14:paraId="363340D7">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【2025】年【12】月【30】日至【2026】年【1】月【29】日。</w:t>
            </w:r>
          </w:p>
        </w:tc>
      </w:tr>
      <w:tr w14:paraId="00498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0AC0653D">
            <w:pPr>
              <w:spacing w:line="300" w:lineRule="exact"/>
              <w:ind w:left="-2" w:leftChars="-1" w:right="36" w:rightChars="15"/>
              <w:rPr>
                <w:rFonts w:eastAsia="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到期日</w:t>
            </w:r>
          </w:p>
        </w:tc>
        <w:tc>
          <w:tcPr>
            <w:tcW w:w="3740" w:type="pct"/>
            <w:vAlign w:val="center"/>
          </w:tcPr>
          <w:p w14:paraId="2B9AEBFA">
            <w:pPr>
              <w:spacing w:line="300" w:lineRule="exact"/>
              <w:ind w:left="-2" w:leftChars="-1" w:right="36" w:rightChars="15"/>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无固定期限</w:t>
            </w:r>
          </w:p>
        </w:tc>
      </w:tr>
      <w:tr w14:paraId="54FFC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3A81CEC4">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开放日</w:t>
            </w:r>
          </w:p>
        </w:tc>
        <w:tc>
          <w:tcPr>
            <w:tcW w:w="3740" w:type="pct"/>
            <w:vAlign w:val="center"/>
          </w:tcPr>
          <w:p w14:paraId="60162BD9">
            <w:pPr>
              <w:spacing w:line="300" w:lineRule="exact"/>
              <w:ind w:left="-2" w:leftChars="-1" w:right="96" w:rightChars="40"/>
              <w:rPr>
                <w:rFonts w:ascii="楷体_GB2312" w:eastAsia="楷体_GB2312" w:cs="楷体_GB2312"/>
                <w:sz w:val="20"/>
                <w:szCs w:val="20"/>
                <w:highlight w:val="none"/>
              </w:rPr>
            </w:pPr>
            <w:r>
              <w:rPr>
                <w:rFonts w:hint="eastAsia" w:ascii="楷体_GB2312" w:eastAsia="楷体_GB2312" w:cs="楷体_GB2312"/>
                <w:color w:val="000000" w:themeColor="text1"/>
                <w:sz w:val="20"/>
                <w:szCs w:val="20"/>
                <w:highlight w:val="none"/>
                <w14:textFill>
                  <w14:solidFill>
                    <w14:schemeClr w14:val="tx1"/>
                  </w14:solidFill>
                </w14:textFill>
              </w:rPr>
              <w:t>1</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本产品首个申购开放日为【2025】年【12】月【31】日</w:t>
            </w:r>
            <w:r>
              <w:rPr>
                <w:rFonts w:ascii="楷体_GB2312" w:eastAsia="楷体_GB2312" w:cs="楷体_GB2312"/>
                <w:sz w:val="20"/>
                <w:szCs w:val="20"/>
                <w:highlight w:val="none"/>
              </w:rPr>
              <w:t>，之后</w:t>
            </w:r>
            <w:r>
              <w:rPr>
                <w:rFonts w:hint="eastAsia" w:ascii="楷体_GB2312" w:eastAsia="楷体_GB2312" w:cs="楷体_GB2312"/>
                <w:sz w:val="20"/>
                <w:szCs w:val="20"/>
                <w:highlight w:val="none"/>
              </w:rPr>
              <w:t>按【日】为周期进行开放，开放日为【每个工作日】（如遇非工作日则顺延至下一工作日）</w:t>
            </w:r>
            <w:r>
              <w:rPr>
                <w:rFonts w:ascii="楷体_GB2312" w:eastAsia="楷体_GB2312" w:cs="楷体_GB2312"/>
                <w:sz w:val="20"/>
                <w:szCs w:val="20"/>
                <w:highlight w:val="none"/>
              </w:rPr>
              <w:t>。</w:t>
            </w:r>
          </w:p>
          <w:p w14:paraId="215BBC9B">
            <w:pPr>
              <w:spacing w:line="300" w:lineRule="exact"/>
              <w:ind w:right="96" w:rightChars="40"/>
              <w:rPr>
                <w:rFonts w:ascii="楷体_GB2312" w:eastAsia="楷体_GB2312" w:cs="楷体_GB2312"/>
                <w:sz w:val="20"/>
                <w:szCs w:val="20"/>
                <w:highlight w:val="none"/>
              </w:rPr>
            </w:pPr>
            <w:r>
              <w:rPr>
                <w:rFonts w:ascii="楷体_GB2312" w:eastAsia="楷体_GB2312" w:cs="楷体_GB2312"/>
                <w:sz w:val="20"/>
                <w:szCs w:val="20"/>
                <w:highlight w:val="none"/>
              </w:rPr>
              <w:t>2.本产品</w:t>
            </w:r>
            <w:r>
              <w:rPr>
                <w:rFonts w:hint="eastAsia" w:ascii="楷体_GB2312" w:eastAsia="楷体_GB2312" w:cs="楷体_GB2312"/>
                <w:sz w:val="20"/>
                <w:szCs w:val="20"/>
                <w:highlight w:val="none"/>
              </w:rPr>
              <w:t>首个赎回</w:t>
            </w:r>
            <w:r>
              <w:rPr>
                <w:rFonts w:ascii="楷体_GB2312" w:eastAsia="楷体_GB2312" w:cs="楷体_GB2312"/>
                <w:sz w:val="20"/>
                <w:szCs w:val="20"/>
                <w:highlight w:val="none"/>
              </w:rPr>
              <w:t>开放</w:t>
            </w:r>
            <w:r>
              <w:rPr>
                <w:rFonts w:hint="eastAsia" w:ascii="楷体_GB2312" w:eastAsia="楷体_GB2312" w:cs="楷体_GB2312"/>
                <w:sz w:val="20"/>
                <w:szCs w:val="20"/>
                <w:highlight w:val="none"/>
              </w:rPr>
              <w:t>日为</w:t>
            </w:r>
            <w:r>
              <w:rPr>
                <w:rFonts w:hint="eastAsia" w:ascii="楷体_GB2312" w:eastAsia="楷体_GB2312" w:cs="楷体_GB2312"/>
                <w:color w:val="000000" w:themeColor="text1"/>
                <w:sz w:val="20"/>
                <w:szCs w:val="20"/>
                <w:highlight w:val="none"/>
                <w14:textFill>
                  <w14:solidFill>
                    <w14:schemeClr w14:val="tx1"/>
                  </w14:solidFill>
                </w14:textFill>
              </w:rPr>
              <w:t>【2025】年【12】月【31】日</w:t>
            </w:r>
            <w:r>
              <w:rPr>
                <w:rFonts w:ascii="楷体_GB2312" w:eastAsia="楷体_GB2312" w:cs="楷体_GB2312"/>
                <w:sz w:val="20"/>
                <w:szCs w:val="20"/>
                <w:highlight w:val="none"/>
              </w:rPr>
              <w:t>，之后</w:t>
            </w:r>
            <w:r>
              <w:rPr>
                <w:rFonts w:hint="eastAsia" w:ascii="楷体_GB2312" w:eastAsia="楷体_GB2312" w:cs="楷体_GB2312"/>
                <w:sz w:val="20"/>
                <w:szCs w:val="20"/>
                <w:highlight w:val="none"/>
              </w:rPr>
              <w:t>按【日】为周期进行开放，开放日为【每个工作日】（如遇非工作日则顺延至下一工作日）</w:t>
            </w:r>
            <w:r>
              <w:rPr>
                <w:rFonts w:ascii="楷体_GB2312" w:eastAsia="楷体_GB2312" w:cs="楷体_GB2312"/>
                <w:sz w:val="20"/>
                <w:szCs w:val="20"/>
                <w:highlight w:val="none"/>
              </w:rPr>
              <w:t>。</w:t>
            </w:r>
          </w:p>
          <w:p w14:paraId="1A1DD337">
            <w:pPr>
              <w:spacing w:line="300" w:lineRule="exact"/>
              <w:ind w:left="-2" w:leftChars="-1" w:right="96" w:rightChars="40"/>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3.如因实际投资运作需要等因素，管理人有权增加或调整开放日</w:t>
            </w:r>
            <w:r>
              <w:rPr>
                <w:rFonts w:hint="eastAsia" w:ascii="楷体_GB2312" w:eastAsia="楷体_GB2312" w:cs="楷体_GB2312"/>
                <w:color w:val="000000" w:themeColor="text1"/>
                <w:sz w:val="20"/>
                <w:szCs w:val="20"/>
                <w:highlight w:val="none"/>
                <w14:textFill>
                  <w14:solidFill>
                    <w14:schemeClr w14:val="tx1"/>
                  </w14:solidFill>
                </w14:textFill>
              </w:rPr>
              <w:t>和</w:t>
            </w:r>
            <w:r>
              <w:rPr>
                <w:rFonts w:ascii="楷体_GB2312" w:eastAsia="楷体_GB2312" w:cs="楷体_GB2312"/>
                <w:color w:val="000000" w:themeColor="text1"/>
                <w:sz w:val="20"/>
                <w:szCs w:val="20"/>
                <w:highlight w:val="none"/>
                <w14:textFill>
                  <w14:solidFill>
                    <w14:schemeClr w14:val="tx1"/>
                  </w14:solidFill>
                </w14:textFill>
              </w:rPr>
              <w:t>到期日，并最迟于增加或调整生效前</w:t>
            </w:r>
            <w:r>
              <w:rPr>
                <w:rFonts w:hint="eastAsia" w:ascii="楷体_GB2312" w:eastAsia="楷体_GB2312" w:cs="楷体_GB2312"/>
                <w:color w:val="000000" w:themeColor="text1"/>
                <w:sz w:val="20"/>
                <w:szCs w:val="20"/>
                <w:highlight w:val="none"/>
                <w14:textFill>
                  <w14:solidFill>
                    <w14:schemeClr w14:val="tx1"/>
                  </w14:solidFill>
                </w14:textFill>
              </w:rPr>
              <w:t>【2</w:t>
            </w:r>
            <w:r>
              <w:rPr>
                <w:rFonts w:ascii="楷体_GB2312" w:eastAsia="楷体_GB2312" w:cs="楷体_GB2312"/>
                <w:color w:val="000000" w:themeColor="text1"/>
                <w:sz w:val="20"/>
                <w:szCs w:val="20"/>
                <w:highlight w:val="none"/>
                <w14:textFill>
                  <w14:solidFill>
                    <w14:schemeClr w14:val="tx1"/>
                  </w14:solidFill>
                </w14:textFill>
              </w:rPr>
              <w:t>】个工作日</w:t>
            </w:r>
            <w:r>
              <w:rPr>
                <w:rFonts w:hint="eastAsia" w:ascii="楷体_GB2312" w:eastAsia="楷体_GB2312" w:cs="楷体_GB2312"/>
                <w:color w:val="000000" w:themeColor="text1"/>
                <w:sz w:val="20"/>
                <w:szCs w:val="20"/>
                <w:highlight w:val="none"/>
                <w14:textFill>
                  <w14:solidFill>
                    <w14:schemeClr w14:val="tx1"/>
                  </w14:solidFill>
                </w14:textFill>
              </w:rPr>
              <w:t>以</w:t>
            </w:r>
            <w:r>
              <w:rPr>
                <w:rFonts w:ascii="楷体_GB2312" w:eastAsia="楷体_GB2312" w:cs="楷体_GB2312"/>
                <w:color w:val="000000" w:themeColor="text1"/>
                <w:sz w:val="20"/>
                <w:szCs w:val="20"/>
                <w:highlight w:val="none"/>
                <w14:textFill>
                  <w14:solidFill>
                    <w14:schemeClr w14:val="tx1"/>
                  </w14:solidFill>
                </w14:textFill>
              </w:rPr>
              <w:t>本说明书约定的方式</w:t>
            </w:r>
            <w:r>
              <w:rPr>
                <w:rFonts w:hint="eastAsia" w:ascii="楷体_GB2312" w:eastAsia="楷体_GB2312" w:cs="楷体_GB2312"/>
                <w:color w:val="000000" w:themeColor="text1"/>
                <w:sz w:val="20"/>
                <w:szCs w:val="20"/>
                <w:highlight w:val="none"/>
                <w14:textFill>
                  <w14:solidFill>
                    <w14:schemeClr w14:val="tx1"/>
                  </w14:solidFill>
                </w14:textFill>
              </w:rPr>
              <w:t>向投资者发布相关信息</w:t>
            </w:r>
            <w:r>
              <w:rPr>
                <w:rFonts w:ascii="楷体_GB2312" w:eastAsia="楷体_GB2312" w:cs="楷体_GB2312"/>
                <w:color w:val="000000" w:themeColor="text1"/>
                <w:sz w:val="20"/>
                <w:szCs w:val="20"/>
                <w:highlight w:val="none"/>
                <w14:textFill>
                  <w14:solidFill>
                    <w14:schemeClr w14:val="tx1"/>
                  </w14:solidFill>
                </w14:textFill>
              </w:rPr>
              <w:t xml:space="preserve">。 </w:t>
            </w:r>
          </w:p>
        </w:tc>
      </w:tr>
      <w:tr w14:paraId="05FF0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33B4F500">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清算期</w:t>
            </w:r>
          </w:p>
        </w:tc>
        <w:tc>
          <w:tcPr>
            <w:tcW w:w="3740" w:type="pct"/>
            <w:vAlign w:val="center"/>
          </w:tcPr>
          <w:p w14:paraId="2ACFCA1C">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到期日（或理财产品实际终止日）至投资者持有</w:t>
            </w:r>
            <w:r>
              <w:rPr>
                <w:rFonts w:ascii="楷体_GB2312" w:eastAsia="楷体_GB2312" w:cs="楷体_GB2312"/>
                <w:color w:val="000000" w:themeColor="text1"/>
                <w:sz w:val="20"/>
                <w:szCs w:val="20"/>
                <w:highlight w:val="none"/>
                <w14:textFill>
                  <w14:solidFill>
                    <w14:schemeClr w14:val="tx1"/>
                  </w14:solidFill>
                </w14:textFill>
              </w:rPr>
              <w:t>的本</w:t>
            </w:r>
            <w:r>
              <w:rPr>
                <w:rFonts w:hint="eastAsia" w:ascii="楷体_GB2312" w:eastAsia="楷体_GB2312" w:cs="楷体_GB2312"/>
                <w:color w:val="000000" w:themeColor="text1"/>
                <w:sz w:val="20"/>
                <w:szCs w:val="20"/>
                <w:highlight w:val="none"/>
                <w14:textFill>
                  <w14:solidFill>
                    <w14:schemeClr w14:val="tx1"/>
                  </w14:solidFill>
                </w14:textFill>
              </w:rPr>
              <w:t>理财</w:t>
            </w:r>
            <w:r>
              <w:rPr>
                <w:rFonts w:ascii="楷体_GB2312" w:eastAsia="楷体_GB2312" w:cs="楷体_GB2312"/>
                <w:color w:val="000000" w:themeColor="text1"/>
                <w:sz w:val="20"/>
                <w:szCs w:val="20"/>
                <w:highlight w:val="none"/>
                <w14:textFill>
                  <w14:solidFill>
                    <w14:schemeClr w14:val="tx1"/>
                  </w14:solidFill>
                </w14:textFill>
              </w:rPr>
              <w:t>产品份额清零之日</w:t>
            </w:r>
            <w:r>
              <w:rPr>
                <w:rFonts w:hint="eastAsia" w:ascii="楷体_GB2312" w:eastAsia="楷体_GB2312" w:cs="楷体_GB2312"/>
                <w:color w:val="000000" w:themeColor="text1"/>
                <w:sz w:val="20"/>
                <w:szCs w:val="20"/>
                <w:highlight w:val="none"/>
                <w14:textFill>
                  <w14:solidFill>
                    <w14:schemeClr w14:val="tx1"/>
                  </w14:solidFill>
                </w14:textFill>
              </w:rPr>
              <w:t>为清算期。</w:t>
            </w:r>
          </w:p>
        </w:tc>
      </w:tr>
      <w:tr w14:paraId="06D83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7E997C26">
            <w:pPr>
              <w:spacing w:line="300" w:lineRule="exact"/>
              <w:ind w:right="36" w:rightChars="15"/>
              <w:rPr>
                <w:rFonts w:ascii="Times New Roman" w:eastAsia="楷体_GB2312" w:cs="楷体_GB2312"/>
                <w:color w:val="000000" w:themeColor="text1"/>
                <w:sz w:val="20"/>
                <w:szCs w:val="20"/>
                <w:highlight w:val="none"/>
                <w14:textFill>
                  <w14:solidFill>
                    <w14:schemeClr w14:val="tx1"/>
                  </w14:solidFill>
                </w14:textFill>
              </w:rPr>
            </w:pPr>
            <w:r>
              <w:rPr>
                <w:rFonts w:ascii="Times New Roman" w:eastAsia="楷体_GB2312" w:cs="楷体_GB2312"/>
                <w:color w:val="000000" w:themeColor="text1"/>
                <w:sz w:val="20"/>
                <w:szCs w:val="20"/>
                <w:highlight w:val="none"/>
                <w14:textFill>
                  <w14:solidFill>
                    <w14:schemeClr w14:val="tx1"/>
                  </w14:solidFill>
                </w14:textFill>
              </w:rPr>
              <w:t>业绩</w:t>
            </w:r>
            <w:r>
              <w:rPr>
                <w:rFonts w:hint="eastAsia" w:ascii="Times New Roman" w:eastAsia="楷体_GB2312" w:cs="楷体_GB2312"/>
                <w:color w:val="000000" w:themeColor="text1"/>
                <w:sz w:val="20"/>
                <w:szCs w:val="20"/>
                <w:highlight w:val="none"/>
                <w14:textFill>
                  <w14:solidFill>
                    <w14:schemeClr w14:val="tx1"/>
                  </w14:solidFill>
                </w14:textFill>
              </w:rPr>
              <w:t>比较</w:t>
            </w:r>
            <w:r>
              <w:rPr>
                <w:rFonts w:ascii="Times New Roman" w:eastAsia="楷体_GB2312" w:cs="楷体_GB2312"/>
                <w:color w:val="000000" w:themeColor="text1"/>
                <w:sz w:val="20"/>
                <w:szCs w:val="20"/>
                <w:highlight w:val="none"/>
                <w14:textFill>
                  <w14:solidFill>
                    <w14:schemeClr w14:val="tx1"/>
                  </w14:solidFill>
                </w14:textFill>
              </w:rPr>
              <w:t>基准</w:t>
            </w:r>
          </w:p>
        </w:tc>
        <w:tc>
          <w:tcPr>
            <w:tcW w:w="3740" w:type="pct"/>
            <w:vAlign w:val="center"/>
          </w:tcPr>
          <w:p w14:paraId="53BCA0C7">
            <w:pPr>
              <w:spacing w:line="300" w:lineRule="exact"/>
              <w:ind w:right="36" w:rightChars="15"/>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【B】类份额：生效日期2025年12月30日【中债-新综合全价(1年以下)指数】</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【G】类份额：生效日期2025年12月30日【中债-新综合全价(1年以下)指数】</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【H】类份额：生效日期2025年12月30日【中债-新综合全价(1年以下)指数】</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【M】类份额：生效日期2026年07月21日【中债-新综合全价(1年以下)指数】</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【N】类份额：生效日期2026年07月21日【中债-新综合全价(1年以下)指数】</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【S】类份额：生效日期2026年07月21日【中债-新综合全价(1年以下)指数】</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【Y】类份额：生效日期2026年09月24日【中债-新综合全价(1年以下)指数】</w:t>
            </w:r>
          </w:p>
          <w:p w14:paraId="1A727316">
            <w:pPr>
              <w:spacing w:line="300" w:lineRule="exact"/>
              <w:ind w:left="-2" w:leftChars="-1" w:right="36" w:rightChars="15"/>
              <w:jc w:val="both"/>
              <w:rPr>
                <w:rFonts w:ascii="楷体_GB2312" w:eastAsia="楷体_GB2312" w:cs="楷体_GB2312"/>
                <w:color w:val="000000" w:themeColor="text1"/>
                <w:sz w:val="20"/>
                <w:szCs w:val="20"/>
                <w:highlight w:val="none"/>
                <w14:textFill>
                  <w14:solidFill>
                    <w14:schemeClr w14:val="tx1"/>
                  </w14:solidFill>
                </w14:textFill>
              </w:rPr>
            </w:pPr>
          </w:p>
          <w:p w14:paraId="359EB349">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b/>
                <w:bCs/>
                <w:color w:val="000000" w:themeColor="text1"/>
                <w:sz w:val="20"/>
                <w:szCs w:val="20"/>
                <w:highlight w:val="none"/>
                <w14:textFill>
                  <w14:solidFill>
                    <w14:schemeClr w14:val="tx1"/>
                  </w14:solidFill>
                </w14:textFill>
              </w:rPr>
              <w:t>业绩</w:t>
            </w:r>
            <w:r>
              <w:rPr>
                <w:rFonts w:hint="eastAsia" w:ascii="Times New Roman" w:eastAsia="楷体_GB2312" w:cs="楷体_GB2312"/>
                <w:b/>
                <w:bCs/>
                <w:color w:val="000000" w:themeColor="text1"/>
                <w:sz w:val="20"/>
                <w:szCs w:val="20"/>
                <w:highlight w:val="none"/>
                <w14:textFill>
                  <w14:solidFill>
                    <w14:schemeClr w14:val="tx1"/>
                  </w14:solidFill>
                </w14:textFill>
              </w:rPr>
              <w:t>比较</w:t>
            </w:r>
            <w:r>
              <w:rPr>
                <w:rFonts w:hint="eastAsia" w:ascii="楷体_GB2312" w:eastAsia="楷体_GB2312" w:cs="楷体_GB2312"/>
                <w:b/>
                <w:bCs/>
                <w:color w:val="000000" w:themeColor="text1"/>
                <w:sz w:val="20"/>
                <w:szCs w:val="20"/>
                <w:highlight w:val="none"/>
                <w14:textFill>
                  <w14:solidFill>
                    <w14:schemeClr w14:val="tx1"/>
                  </w14:solidFill>
                </w14:textFill>
              </w:rPr>
              <w:t>基准测算依据：【本理财产品为固定收益类产品，主要投向为债券、存款、同业存单等。根据当前市场利率水平、组合目标久期、可投资债券的静态收益率、债券杠杆操作等因素作为测算依据，扣除相关税费成本之后，综合得出产品的业绩比较基准。业绩比较基准是基于产品性质、投资策略、过往经验等因素对产品设定的投资目标。业绩比较基准不是预期收益率，不代表产品的未来表现和实际收益，不构成对产品收益的承诺，投资须谨慎。】</w:t>
            </w:r>
          </w:p>
          <w:p w14:paraId="462BAE53">
            <w:pPr>
              <w:spacing w:line="300" w:lineRule="exact"/>
              <w:ind w:left="-2" w:leftChars="-1" w:right="36" w:rightChars="15"/>
              <w:jc w:val="both"/>
              <w:rPr>
                <w:rFonts w:ascii="黑体" w:hAnsi="黑体" w:eastAsia="黑体" w:cs="楷体_GB2312"/>
                <w:b/>
                <w:color w:val="000000" w:themeColor="text1"/>
                <w:sz w:val="20"/>
                <w:szCs w:val="20"/>
                <w:highlight w:val="none"/>
                <w14:textFill>
                  <w14:solidFill>
                    <w14:schemeClr w14:val="tx1"/>
                  </w14:solidFill>
                </w14:textFill>
              </w:rPr>
            </w:pPr>
            <w:r>
              <w:rPr>
                <w:rFonts w:hint="eastAsia" w:ascii="楷体_GB2312" w:eastAsia="楷体_GB2312" w:cs="楷体_GB2312"/>
                <w:b/>
                <w:bCs/>
                <w:color w:val="000000" w:themeColor="text1"/>
                <w:sz w:val="20"/>
                <w:szCs w:val="20"/>
                <w:highlight w:val="none"/>
                <w14:textFill>
                  <w14:solidFill>
                    <w14:schemeClr w14:val="tx1"/>
                  </w14:solidFill>
                </w14:textFill>
              </w:rPr>
              <w:t>本产品收取的销售服务费可能因销售</w:t>
            </w:r>
            <w:r>
              <w:rPr>
                <w:rFonts w:ascii="楷体_GB2312" w:eastAsia="楷体_GB2312" w:cs="楷体_GB2312"/>
                <w:b/>
                <w:bCs/>
                <w:color w:val="000000" w:themeColor="text1"/>
                <w:sz w:val="20"/>
                <w:szCs w:val="20"/>
                <w:highlight w:val="none"/>
                <w14:textFill>
                  <w14:solidFill>
                    <w14:schemeClr w14:val="tx1"/>
                  </w14:solidFill>
                </w14:textFill>
              </w:rPr>
              <w:t>机构</w:t>
            </w:r>
            <w:r>
              <w:rPr>
                <w:rFonts w:hint="eastAsia" w:ascii="楷体_GB2312" w:eastAsia="楷体_GB2312" w:cs="楷体_GB2312"/>
                <w:b/>
                <w:bCs/>
                <w:color w:val="000000" w:themeColor="text1"/>
                <w:sz w:val="20"/>
                <w:szCs w:val="20"/>
                <w:highlight w:val="none"/>
                <w14:textFill>
                  <w14:solidFill>
                    <w14:schemeClr w14:val="tx1"/>
                  </w14:solidFill>
                </w14:textFill>
              </w:rPr>
              <w:t>不同有所差异，从而导致测算的业绩比较基准有所差异，请投资者关注管理人及销售机构相关信息披露。</w:t>
            </w:r>
          </w:p>
          <w:p w14:paraId="47465C0F">
            <w:pPr>
              <w:spacing w:line="300" w:lineRule="exact"/>
              <w:ind w:left="-2" w:leftChars="-1" w:right="36" w:rightChars="15"/>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若今后法律法规发生变化，或有其他代表性更强、更科学客观的业绩比较基准适用于本产品时，本产品可变更业绩比较基准并及时告知投资者。管理人有权根据法律法规要求、市场情况在每个开放日调整当期业绩比较基准，并在每个开放日前【</w:t>
            </w:r>
            <w:r>
              <w:rPr>
                <w:rFonts w:ascii="楷体_GB2312" w:eastAsia="楷体_GB2312" w:cs="楷体_GB2312"/>
                <w:color w:val="000000" w:themeColor="text1"/>
                <w:sz w:val="20"/>
                <w:szCs w:val="20"/>
                <w:highlight w:val="none"/>
                <w14:textFill>
                  <w14:solidFill>
                    <w14:schemeClr w14:val="tx1"/>
                  </w14:solidFill>
                </w14:textFill>
              </w:rPr>
              <w:t>2</w:t>
            </w: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个工作日以符合监管规定要求的方式向投资者披露，投资者不接受的，可于最近一个开放日赎回理财产品。</w:t>
            </w:r>
          </w:p>
        </w:tc>
      </w:tr>
      <w:tr w14:paraId="2FC7B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141D5036">
            <w:pPr>
              <w:spacing w:line="300" w:lineRule="exact"/>
              <w:ind w:left="-2" w:leftChars="-1" w:right="36" w:rightChars="15"/>
              <w:rPr>
                <w:rFonts w:eastAsia="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交易时间</w:t>
            </w:r>
          </w:p>
        </w:tc>
        <w:tc>
          <w:tcPr>
            <w:tcW w:w="3740" w:type="pct"/>
            <w:vAlign w:val="center"/>
          </w:tcPr>
          <w:p w14:paraId="43917BD9">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sz w:val="20"/>
                <w:szCs w:val="20"/>
                <w:highlight w:val="none"/>
              </w:rPr>
              <w:t>本产品交易时间为【8：30-17：00】</w:t>
            </w:r>
            <w:r>
              <w:rPr>
                <w:rFonts w:hint="eastAsia" w:ascii="楷体_GB2312" w:eastAsia="楷体_GB2312" w:cs="楷体_GB2312"/>
                <w:sz w:val="20"/>
                <w:szCs w:val="20"/>
                <w:highlight w:val="none"/>
                <w:lang w:eastAsia="zh-CN"/>
              </w:rPr>
              <w:t>，</w:t>
            </w:r>
            <w:r>
              <w:rPr>
                <w:rFonts w:hint="eastAsia" w:ascii="楷体_GB2312" w:eastAsia="楷体_GB2312" w:cs="楷体_GB2312"/>
                <w:sz w:val="20"/>
                <w:szCs w:val="20"/>
                <w:highlight w:val="none"/>
                <w:lang w:val="en-US" w:eastAsia="zh-CN"/>
              </w:rPr>
              <w:t>投资者应当根据产品说明书约定在交易时间内进行认购、申购、赎回等交易操作，</w:t>
            </w:r>
            <w:r>
              <w:rPr>
                <w:rFonts w:hint="eastAsia" w:ascii="楷体_GB2312" w:eastAsia="楷体_GB2312" w:cs="楷体_GB2312"/>
                <w:sz w:val="20"/>
                <w:szCs w:val="20"/>
                <w:highlight w:val="none"/>
              </w:rPr>
              <w:t>信银理财有权变更交易时间，请投资者关注管理人及销售机构相关信息披露。如果投资者通过信银理财直销渠道购买的，则交易时间以信银理财直销渠道的营业时间和公布的交易时间为准，且必须在【8：30-17：00】内</w:t>
            </w:r>
            <w:r>
              <w:rPr>
                <w:rFonts w:hint="eastAsia" w:ascii="楷体_GB2312" w:eastAsia="楷体_GB2312" w:cs="楷体_GB2312"/>
                <w:sz w:val="20"/>
                <w:szCs w:val="20"/>
                <w:highlight w:val="none"/>
                <w:lang w:eastAsia="zh-CN"/>
              </w:rPr>
              <w:t>。</w:t>
            </w:r>
            <w:r>
              <w:rPr>
                <w:rFonts w:hint="eastAsia" w:ascii="楷体_GB2312" w:eastAsia="楷体_GB2312" w:cs="楷体_GB2312"/>
                <w:sz w:val="20"/>
                <w:szCs w:val="20"/>
                <w:highlight w:val="none"/>
              </w:rPr>
              <w:t>投资者通过代销机构购买理财产品的，还应按照代销机构对于交易时间以及交易申请的相关规定执行，但交易时间必须在【8：30-17：00】内。</w:t>
            </w:r>
          </w:p>
        </w:tc>
      </w:tr>
      <w:tr w14:paraId="77308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259" w:type="pct"/>
            <w:vAlign w:val="center"/>
          </w:tcPr>
          <w:p w14:paraId="4023DF17">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计划募集金额</w:t>
            </w:r>
            <w:r>
              <w:rPr>
                <w:rFonts w:hint="eastAsia" w:ascii="Times New Roman" w:eastAsia="楷体_GB2312" w:cs="楷体_GB2312"/>
                <w:color w:val="000000" w:themeColor="text1"/>
                <w:sz w:val="20"/>
                <w:szCs w:val="20"/>
                <w:highlight w:val="none"/>
                <w:lang w:eastAsia="zh-Hans"/>
                <w14:textFill>
                  <w14:solidFill>
                    <w14:schemeClr w14:val="tx1"/>
                  </w14:solidFill>
                </w14:textFill>
              </w:rPr>
              <w:t>上</w:t>
            </w:r>
            <w:r>
              <w:rPr>
                <w:rFonts w:ascii="Times New Roman" w:eastAsia="楷体_GB2312" w:cs="楷体_GB2312"/>
                <w:color w:val="000000" w:themeColor="text1"/>
                <w:sz w:val="20"/>
                <w:szCs w:val="20"/>
                <w:highlight w:val="none"/>
                <w14:textFill>
                  <w14:solidFill>
                    <w14:schemeClr w14:val="tx1"/>
                  </w14:solidFill>
                </w14:textFill>
              </w:rPr>
              <w:t>限</w:t>
            </w:r>
          </w:p>
        </w:tc>
        <w:tc>
          <w:tcPr>
            <w:tcW w:w="3740" w:type="pct"/>
            <w:vAlign w:val="center"/>
          </w:tcPr>
          <w:p w14:paraId="577FA515">
            <w:pPr>
              <w:spacing w:line="300" w:lineRule="exact"/>
              <w:ind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无。</w:t>
            </w:r>
          </w:p>
        </w:tc>
      </w:tr>
      <w:tr w14:paraId="4C26B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259" w:type="pct"/>
            <w:vAlign w:val="center"/>
          </w:tcPr>
          <w:p w14:paraId="0D7A41B7">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计划募集金额</w:t>
            </w:r>
            <w:r>
              <w:rPr>
                <w:rFonts w:ascii="Times New Roman" w:eastAsia="楷体_GB2312" w:cs="楷体_GB2312"/>
                <w:color w:val="000000" w:themeColor="text1"/>
                <w:sz w:val="20"/>
                <w:szCs w:val="20"/>
                <w:highlight w:val="none"/>
                <w14:textFill>
                  <w14:solidFill>
                    <w14:schemeClr w14:val="tx1"/>
                  </w14:solidFill>
                </w14:textFill>
              </w:rPr>
              <w:t>下限</w:t>
            </w:r>
          </w:p>
        </w:tc>
        <w:tc>
          <w:tcPr>
            <w:tcW w:w="3740" w:type="pct"/>
            <w:vAlign w:val="center"/>
          </w:tcPr>
          <w:p w14:paraId="6C7B234D">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本产品的计划募集金额下限为【人民币】【0】元。信银理财有权根据实际需要对此金额下限进行调整。如果募集期内未达到计划募集金额下限，信银理财有权决定产品不成立，并在宣告产品不成立后【2】个工作日内返还投资者资金，同时信银理财保留延长本产品募集期的权利。届时信银理财将按照本说明书约定的方式告知投资者。</w:t>
            </w:r>
          </w:p>
        </w:tc>
      </w:tr>
      <w:tr w14:paraId="377D5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4B08EAE4">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币种</w:t>
            </w:r>
          </w:p>
        </w:tc>
        <w:tc>
          <w:tcPr>
            <w:tcW w:w="3740" w:type="pct"/>
            <w:vAlign w:val="center"/>
          </w:tcPr>
          <w:p w14:paraId="7FAE6CD3">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本产品投资与收益币种为【人民币</w:t>
            </w:r>
            <w:r>
              <w:rPr>
                <w:rFonts w:ascii="楷体_GB2312" w:eastAsia="楷体_GB2312" w:cs="楷体_GB2312"/>
                <w:color w:val="000000" w:themeColor="text1"/>
                <w:sz w:val="20"/>
                <w:szCs w:val="20"/>
                <w:highlight w:val="none"/>
                <w14:textFill>
                  <w14:solidFill>
                    <w14:schemeClr w14:val="tx1"/>
                  </w14:solidFill>
                </w14:textFill>
              </w:rPr>
              <w:t>】</w:t>
            </w:r>
          </w:p>
        </w:tc>
      </w:tr>
      <w:tr w14:paraId="7CB4C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64B714CC">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认/申购起点</w:t>
            </w:r>
          </w:p>
        </w:tc>
        <w:tc>
          <w:tcPr>
            <w:tcW w:w="3740" w:type="pct"/>
            <w:vAlign w:val="center"/>
          </w:tcPr>
          <w:p w14:paraId="473CD38A">
            <w:pPr>
              <w:spacing w:line="300" w:lineRule="exact"/>
              <w:ind w:right="36" w:rightChars="15"/>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B】类份额：初始认购金额不低于【人民币】【1】元，首次申购金额不低于【人民币】【1】元，以【人民币】【0.01】元的整数倍增加。追加认购/申购金额不低于【人民币】【0.01】元，以【人民币】【0.01】元的整数倍增加。</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G】类份额：初始认购金额不低于【人民币】【1】元，首次申购金额不低于【人民币】【1】元，以【人民币】【0.01】元的整数倍增加。追加认购/申购金额不低于【人民币】【0.01】元，以【人民币】【0.01】元的整数倍增加。</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H】类份额：初始认购金额不低于【人民币】【1】元，首次申购金额不低于【人民币】【1】元，以【人民币】【0.01】元的整数倍增加。追加认购/申购金额不低于【人民币】【0.01】元，以【人民币】【0.01】元的整数倍增加。</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M】类份额：初始认购金额不低于【人民币】【1】元，首次申购金额不低于【人民币】【1】元，以【人民币】【0.01】元的整数倍增加。追加认购/申购金额不低于【人民币】【0.01】元，以【人民币】【0.01】元的整数倍增加。</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N】类份额：初始认购金额不低于【人民币】【1】元，首次申购金额不低于【人民币】【1】元，以【人民币】【0.01】元的整数倍增加。追加认购/申购金额不低于【人民币】【0.01】元，以【人民币】【0.01】元的整数倍增加。</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S】类份额：初始认购金额不低于【人民币】【1】元，首次申购金额不低于【人民币】【1】元，以【人民币】【0.01】元的整数倍增加。追加认购/申购金额不低于【人民币】【0.01】元，以【人民币】【0.01】元的整数倍增加。</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Y】类份额：初始认购金额不低于【人民币】【1】元，首次申购金额不低于【人民币】【1】元，以【人民币】【0.01】元的整数倍增加。追加认购/申购金额不低于【人民币】【0.01】元，以【人民币】【0.01】元的整数倍增加。</w:t>
            </w:r>
            <w:r>
              <w:rPr>
                <w:rFonts w:hint="eastAsia" w:ascii="楷体_GB2312" w:eastAsia="楷体_GB2312" w:cs="楷体_GB2312"/>
                <w:color w:val="000000" w:themeColor="text1"/>
                <w:sz w:val="20"/>
                <w:szCs w:val="20"/>
                <w:highlight w:val="none"/>
                <w14:textFill>
                  <w14:solidFill>
                    <w14:schemeClr w14:val="tx1"/>
                  </w14:solidFill>
                </w14:textFill>
              </w:rPr>
              <w:t xml:space="preserve"> </w:t>
            </w:r>
          </w:p>
          <w:p w14:paraId="6B28446C">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p>
          <w:p w14:paraId="347AFB08">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代销机构对产品的认/申购起点及追加认/申购金额的要求与信银理财不一致的，以代销机构为准，但不得低于上述对应金额。</w:t>
            </w:r>
          </w:p>
          <w:p w14:paraId="23EA89D9">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客户持有理财产品份额时进行申购，不视为首次申购，按追加申购处理。客户全额赎回不再持有理财产品份额后再次申购，视同首次申购处理。</w:t>
            </w:r>
          </w:p>
        </w:tc>
      </w:tr>
      <w:tr w14:paraId="40473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148" w:type="dxa"/>
            <w:vAlign w:val="center"/>
          </w:tcPr>
          <w:p w14:paraId="1AA8A491">
            <w:pPr>
              <w:spacing w:line="300" w:lineRule="exact"/>
              <w:ind w:left="-2" w:leftChars="-1" w:right="36" w:rightChars="15"/>
              <w:rPr>
                <w:rFonts w:hint="eastAsia"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单个投资者持仓上限</w:t>
            </w:r>
          </w:p>
        </w:tc>
        <w:tc>
          <w:tcPr>
            <w:tcW w:w="6380" w:type="dxa"/>
            <w:vAlign w:val="center"/>
          </w:tcPr>
          <w:p w14:paraId="162273A9">
            <w:pPr>
              <w:spacing w:line="300" w:lineRule="exact"/>
              <w:ind w:left="-2" w:leftChars="-1" w:right="36" w:rightChars="15"/>
              <w:rPr>
                <w:rFonts w:hint="eastAsia"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sz w:val="20"/>
                <w:szCs w:val="20"/>
                <w:highlight w:val="none"/>
              </w:rPr>
              <w:t>无。</w:t>
            </w:r>
          </w:p>
        </w:tc>
      </w:tr>
      <w:tr w14:paraId="46DD4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1E20B37C">
            <w:pPr>
              <w:spacing w:line="300" w:lineRule="exact"/>
              <w:ind w:left="-2" w:leftChars="-1" w:right="36" w:rightChars="15"/>
              <w:rPr>
                <w:rFonts w:ascii="Times New Roman" w:eastAsia="楷体_GB2312" w:cs="楷体_GB2312"/>
                <w:b/>
                <w:bCs/>
                <w:color w:val="000000" w:themeColor="text1"/>
                <w:sz w:val="20"/>
                <w:szCs w:val="20"/>
                <w:highlight w:val="none"/>
                <w14:textFill>
                  <w14:solidFill>
                    <w14:schemeClr w14:val="tx1"/>
                  </w14:solidFill>
                </w14:textFill>
              </w:rPr>
            </w:pPr>
            <w:r>
              <w:rPr>
                <w:rFonts w:hint="eastAsia" w:ascii="Times New Roman" w:eastAsia="楷体_GB2312" w:cs="楷体_GB2312"/>
                <w:b/>
                <w:bCs/>
                <w:color w:val="000000" w:themeColor="text1"/>
                <w:sz w:val="20"/>
                <w:szCs w:val="20"/>
                <w:highlight w:val="none"/>
                <w14:textFill>
                  <w14:solidFill>
                    <w14:schemeClr w14:val="tx1"/>
                  </w14:solidFill>
                </w14:textFill>
              </w:rPr>
              <w:t>单个</w:t>
            </w:r>
            <w:r>
              <w:rPr>
                <w:rFonts w:ascii="Times New Roman" w:eastAsia="楷体_GB2312" w:cs="楷体_GB2312"/>
                <w:b/>
                <w:bCs/>
                <w:color w:val="000000" w:themeColor="text1"/>
                <w:sz w:val="20"/>
                <w:szCs w:val="20"/>
                <w:highlight w:val="none"/>
                <w14:textFill>
                  <w14:solidFill>
                    <w14:schemeClr w14:val="tx1"/>
                  </w14:solidFill>
                </w14:textFill>
              </w:rPr>
              <w:t>投资者持仓份额比例限制</w:t>
            </w:r>
          </w:p>
        </w:tc>
        <w:tc>
          <w:tcPr>
            <w:tcW w:w="3740" w:type="pct"/>
            <w:vAlign w:val="center"/>
          </w:tcPr>
          <w:p w14:paraId="1214AC0C">
            <w:pPr>
              <w:spacing w:line="300" w:lineRule="exact"/>
              <w:ind w:left="-2" w:right="36" w:rightChars="15"/>
              <w:rPr>
                <w:rFonts w:ascii="楷体_GB2312" w:eastAsia="楷体_GB2312" w:cs="楷体_GB2312"/>
                <w:b/>
                <w:bCs/>
                <w:color w:val="000000" w:themeColor="text1"/>
                <w:sz w:val="20"/>
                <w:szCs w:val="20"/>
                <w:highlight w:val="none"/>
                <w14:textFill>
                  <w14:solidFill>
                    <w14:schemeClr w14:val="tx1"/>
                  </w14:solidFill>
                </w14:textFill>
              </w:rPr>
            </w:pPr>
            <w:r>
              <w:rPr>
                <w:rFonts w:hint="eastAsia" w:ascii="楷体_GB2312" w:eastAsia="楷体_GB2312" w:cs="楷体_GB2312"/>
                <w:b/>
                <w:bCs/>
                <w:color w:val="000000" w:themeColor="text1"/>
                <w:sz w:val="20"/>
                <w:szCs w:val="20"/>
                <w:highlight w:val="none"/>
                <w14:textFill>
                  <w14:solidFill>
                    <w14:schemeClr w14:val="tx1"/>
                  </w14:solidFill>
                </w14:textFill>
              </w:rPr>
              <w:t>本产品</w:t>
            </w:r>
            <w:r>
              <w:rPr>
                <w:rFonts w:ascii="楷体_GB2312" w:eastAsia="楷体_GB2312" w:cs="楷体_GB2312"/>
                <w:b/>
                <w:bCs/>
                <w:color w:val="000000" w:themeColor="text1"/>
                <w:sz w:val="20"/>
                <w:szCs w:val="20"/>
                <w:highlight w:val="none"/>
                <w14:textFill>
                  <w14:solidFill>
                    <w14:schemeClr w14:val="tx1"/>
                  </w14:solidFill>
                </w14:textFill>
              </w:rPr>
              <w:t>单一投资者持有份额</w:t>
            </w:r>
            <w:r>
              <w:rPr>
                <w:rFonts w:hint="eastAsia" w:ascii="楷体_GB2312" w:eastAsia="楷体_GB2312" w:cs="楷体_GB2312"/>
                <w:b/>
                <w:bCs/>
                <w:color w:val="000000" w:themeColor="text1"/>
                <w:sz w:val="20"/>
                <w:szCs w:val="20"/>
                <w:highlight w:val="none"/>
                <w14:textFill>
                  <w14:solidFill>
                    <w14:schemeClr w14:val="tx1"/>
                  </w14:solidFill>
                </w14:textFill>
              </w:rPr>
              <w:t>【</w:t>
            </w:r>
            <w: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t>b</w:t>
            </w:r>
            <w:r>
              <w:rPr>
                <w:rFonts w:ascii="楷体_GB2312" w:eastAsia="楷体_GB2312" w:cs="楷体_GB2312"/>
                <w:b/>
                <w:bCs/>
                <w:color w:val="000000" w:themeColor="text1"/>
                <w:sz w:val="20"/>
                <w:szCs w:val="20"/>
                <w:highlight w:val="none"/>
                <w14:textFill>
                  <w14:solidFill>
                    <w14:schemeClr w14:val="tx1"/>
                  </w14:solidFill>
                </w14:textFill>
              </w:rPr>
              <w:t>】</w:t>
            </w:r>
            <w:r>
              <w:rPr>
                <w:rFonts w:hint="eastAsia" w:ascii="楷体_GB2312" w:eastAsia="楷体_GB2312" w:cs="楷体_GB2312"/>
                <w:b/>
                <w:bCs/>
                <w:color w:val="000000" w:themeColor="text1"/>
                <w:sz w:val="20"/>
                <w:szCs w:val="20"/>
                <w:highlight w:val="none"/>
                <w14:textFill>
                  <w14:solidFill>
                    <w14:schemeClr w14:val="tx1"/>
                  </w14:solidFill>
                </w14:textFill>
              </w:rPr>
              <w:t>：</w:t>
            </w:r>
          </w:p>
          <w:p w14:paraId="5D43DE3C">
            <w:pPr>
              <w:spacing w:line="300" w:lineRule="exact"/>
              <w:ind w:left="-2" w:right="36" w:rightChars="15"/>
              <w:rPr>
                <w:rFonts w:ascii="楷体_GB2312" w:eastAsia="楷体_GB2312" w:cs="楷体_GB2312"/>
                <w:b/>
                <w:bCs/>
                <w:color w:val="000000" w:themeColor="text1"/>
                <w:sz w:val="20"/>
                <w:szCs w:val="20"/>
                <w:highlight w:val="none"/>
                <w14:textFill>
                  <w14:solidFill>
                    <w14:schemeClr w14:val="tx1"/>
                  </w14:solidFill>
                </w14:textFill>
              </w:rPr>
            </w:pPr>
            <w: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t>a.</w:t>
            </w:r>
            <w:r>
              <w:rPr>
                <w:rFonts w:hint="eastAsia" w:ascii="楷体_GB2312" w:eastAsia="楷体_GB2312" w:cs="楷体_GB2312"/>
                <w:b/>
                <w:bCs/>
                <w:color w:val="000000" w:themeColor="text1"/>
                <w:sz w:val="20"/>
                <w:szCs w:val="20"/>
                <w:highlight w:val="none"/>
                <w14:textFill>
                  <w14:solidFill>
                    <w14:schemeClr w14:val="tx1"/>
                  </w14:solidFill>
                </w14:textFill>
              </w:rPr>
              <w:t>可以</w:t>
            </w:r>
            <w:r>
              <w:rPr>
                <w:rFonts w:ascii="楷体_GB2312" w:eastAsia="楷体_GB2312" w:cs="楷体_GB2312"/>
                <w:b/>
                <w:bCs/>
                <w:color w:val="000000" w:themeColor="text1"/>
                <w:sz w:val="20"/>
                <w:szCs w:val="20"/>
                <w:highlight w:val="none"/>
                <w14:textFill>
                  <w14:solidFill>
                    <w14:schemeClr w14:val="tx1"/>
                  </w14:solidFill>
                </w14:textFill>
              </w:rPr>
              <w:t>超过产品总份额的50%</w:t>
            </w:r>
            <w:r>
              <w:rPr>
                <w:rFonts w:hint="eastAsia" w:ascii="楷体_GB2312" w:eastAsia="楷体_GB2312" w:cs="楷体_GB2312"/>
                <w:b/>
                <w:bCs/>
                <w:color w:val="000000" w:themeColor="text1"/>
                <w:sz w:val="20"/>
                <w:szCs w:val="20"/>
                <w:highlight w:val="none"/>
                <w14:textFill>
                  <w14:solidFill>
                    <w14:schemeClr w14:val="tx1"/>
                  </w14:solidFill>
                </w14:textFill>
              </w:rPr>
              <w:t>。但产品不得</w:t>
            </w:r>
            <w:r>
              <w:rPr>
                <w:rFonts w:ascii="楷体_GB2312" w:eastAsia="楷体_GB2312" w:cs="楷体_GB2312"/>
                <w:b/>
                <w:bCs/>
                <w:color w:val="000000" w:themeColor="text1"/>
                <w:sz w:val="20"/>
                <w:szCs w:val="20"/>
                <w:highlight w:val="none"/>
                <w14:textFill>
                  <w14:solidFill>
                    <w14:schemeClr w14:val="tx1"/>
                  </w14:solidFill>
                </w14:textFill>
              </w:rPr>
              <w:t xml:space="preserve">向个人投资者公开发售。 </w:t>
            </w:r>
          </w:p>
          <w:p w14:paraId="482E2261">
            <w:pPr>
              <w:spacing w:line="300" w:lineRule="exact"/>
              <w:ind w:left="-2" w:right="36" w:rightChars="15"/>
              <w:rPr>
                <w:rFonts w:ascii="楷体_GB2312" w:eastAsia="楷体_GB2312" w:cs="楷体_GB2312"/>
                <w:b/>
                <w:bCs/>
                <w:color w:val="000000" w:themeColor="text1"/>
                <w:sz w:val="20"/>
                <w:szCs w:val="20"/>
                <w:highlight w:val="none"/>
                <w14:textFill>
                  <w14:solidFill>
                    <w14:schemeClr w14:val="tx1"/>
                  </w14:solidFill>
                </w14:textFill>
              </w:rPr>
            </w:pPr>
            <w: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t>b.</w:t>
            </w:r>
            <w:r>
              <w:rPr>
                <w:rFonts w:hint="eastAsia" w:ascii="楷体_GB2312" w:eastAsia="楷体_GB2312" w:cs="楷体_GB2312"/>
                <w:b/>
                <w:bCs/>
                <w:color w:val="000000" w:themeColor="text1"/>
                <w:sz w:val="20"/>
                <w:szCs w:val="20"/>
                <w:highlight w:val="none"/>
                <w14:textFill>
                  <w14:solidFill>
                    <w14:schemeClr w14:val="tx1"/>
                  </w14:solidFill>
                </w14:textFill>
              </w:rPr>
              <w:t>不得</w:t>
            </w:r>
            <w:r>
              <w:rPr>
                <w:rFonts w:ascii="楷体_GB2312" w:eastAsia="楷体_GB2312" w:cs="楷体_GB2312"/>
                <w:b/>
                <w:bCs/>
                <w:color w:val="000000" w:themeColor="text1"/>
                <w:sz w:val="20"/>
                <w:szCs w:val="20"/>
                <w:highlight w:val="none"/>
                <w14:textFill>
                  <w14:solidFill>
                    <w14:schemeClr w14:val="tx1"/>
                  </w14:solidFill>
                </w14:textFill>
              </w:rPr>
              <w:t>超过产品总份额的50%。</w:t>
            </w:r>
            <w:r>
              <w:rPr>
                <w:rFonts w:hint="eastAsia" w:ascii="楷体_GB2312" w:eastAsia="楷体_GB2312" w:cs="楷体_GB2312"/>
                <w:b/>
                <w:bCs/>
                <w:color w:val="000000" w:themeColor="text1"/>
                <w:sz w:val="20"/>
                <w:szCs w:val="20"/>
                <w:highlight w:val="none"/>
                <w14:textFill>
                  <w14:solidFill>
                    <w14:schemeClr w14:val="tx1"/>
                  </w14:solidFill>
                </w14:textFill>
              </w:rPr>
              <w:t>投资者提出认购</w:t>
            </w:r>
            <w:r>
              <w:rPr>
                <w:rFonts w:ascii="楷体_GB2312" w:eastAsia="楷体_GB2312" w:cs="楷体_GB2312"/>
                <w:b/>
                <w:bCs/>
                <w:color w:val="000000" w:themeColor="text1"/>
                <w:sz w:val="20"/>
                <w:szCs w:val="20"/>
                <w:highlight w:val="none"/>
                <w14:textFill>
                  <w14:solidFill>
                    <w14:schemeClr w14:val="tx1"/>
                  </w14:solidFill>
                </w14:textFill>
              </w:rPr>
              <w:t>/申购申请时，如认/申购后投资者持有份额超过产品总份额的50%，信银理财将不接受超过单个投资者持仓份额比例限制的申请。</w:t>
            </w:r>
          </w:p>
        </w:tc>
      </w:tr>
      <w:tr w14:paraId="65E41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5936971B">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单个</w:t>
            </w:r>
            <w:r>
              <w:rPr>
                <w:rFonts w:ascii="Times New Roman" w:eastAsia="楷体_GB2312" w:cs="楷体_GB2312"/>
                <w:color w:val="000000" w:themeColor="text1"/>
                <w:sz w:val="20"/>
                <w:szCs w:val="20"/>
                <w:highlight w:val="none"/>
                <w14:textFill>
                  <w14:solidFill>
                    <w14:schemeClr w14:val="tx1"/>
                  </w14:solidFill>
                </w14:textFill>
              </w:rPr>
              <w:t>投资者持仓</w:t>
            </w:r>
            <w:r>
              <w:rPr>
                <w:rFonts w:hint="eastAsia" w:ascii="Times New Roman" w:eastAsia="楷体_GB2312" w:cs="楷体_GB2312"/>
                <w:color w:val="000000" w:themeColor="text1"/>
                <w:sz w:val="20"/>
                <w:szCs w:val="20"/>
                <w:highlight w:val="none"/>
                <w14:textFill>
                  <w14:solidFill>
                    <w14:schemeClr w14:val="tx1"/>
                  </w14:solidFill>
                </w14:textFill>
              </w:rPr>
              <w:t>下限</w:t>
            </w:r>
          </w:p>
        </w:tc>
        <w:tc>
          <w:tcPr>
            <w:tcW w:w="3740" w:type="pct"/>
            <w:vAlign w:val="center"/>
          </w:tcPr>
          <w:p w14:paraId="15EE35DD">
            <w:pPr>
              <w:spacing w:line="300" w:lineRule="exact"/>
              <w:ind w:left="-2" w:leftChars="-1" w:right="36" w:rightChars="15"/>
              <w:rPr>
                <w:rFonts w:ascii="楷体_GB2312" w:eastAsia="楷体_GB2312" w:cs="楷体_GB2312"/>
                <w:color w:val="000000" w:themeColor="text1"/>
                <w:sz w:val="20"/>
                <w:szCs w:val="20"/>
                <w:highlight w:val="none"/>
                <w:u w:val="single"/>
                <w14:textFill>
                  <w14:solidFill>
                    <w14:schemeClr w14:val="tx1"/>
                  </w14:solidFill>
                </w14:textFill>
              </w:rPr>
            </w:pPr>
            <w:r>
              <w:rPr>
                <w:rFonts w:ascii="楷体_GB2312" w:eastAsia="楷体_GB2312" w:cs="楷体_GB2312"/>
                <w:sz w:val="20"/>
                <w:szCs w:val="20"/>
                <w:highlight w:val="none"/>
              </w:rPr>
              <w:t>【B】类份额：单个投资者持仓份额下限为【0.01】份，投资者提出部分赎回时，如赎回后投资者持有份额不足【0.01】份，则管理人将对投资者剩余份额发起强制赎回。</w:t>
            </w:r>
            <w:r>
              <w:rPr>
                <w:rFonts w:ascii="楷体_GB2312" w:eastAsia="楷体_GB2312" w:cs="楷体_GB2312"/>
                <w:sz w:val="20"/>
                <w:szCs w:val="20"/>
                <w:highlight w:val="none"/>
              </w:rPr>
              <w:br w:type="textWrapping"/>
            </w:r>
            <w:r>
              <w:rPr>
                <w:rFonts w:ascii="楷体_GB2312" w:eastAsia="楷体_GB2312" w:cs="楷体_GB2312"/>
                <w:sz w:val="20"/>
                <w:szCs w:val="20"/>
                <w:highlight w:val="none"/>
              </w:rPr>
              <w:t>【G】类份额：单个投资者持仓份额下限为【0.01】份，投资者提出部分赎回时，如赎回后投资者持有份额不足【0.01】份，则管理人将对投资者剩余份额发起强制赎回。</w:t>
            </w:r>
            <w:r>
              <w:rPr>
                <w:rFonts w:ascii="楷体_GB2312" w:eastAsia="楷体_GB2312" w:cs="楷体_GB2312"/>
                <w:sz w:val="20"/>
                <w:szCs w:val="20"/>
                <w:highlight w:val="none"/>
              </w:rPr>
              <w:br w:type="textWrapping"/>
            </w:r>
            <w:r>
              <w:rPr>
                <w:rFonts w:ascii="楷体_GB2312" w:eastAsia="楷体_GB2312" w:cs="楷体_GB2312"/>
                <w:sz w:val="20"/>
                <w:szCs w:val="20"/>
                <w:highlight w:val="none"/>
              </w:rPr>
              <w:t>【H】类份额：单个投资者持仓份额下限为【0.01】份，投资者提出部分赎回时，如赎回后投资者持有份额不足【0.01】份，则管理人将对投资者剩余份额发起强制赎回。</w:t>
            </w:r>
            <w:r>
              <w:rPr>
                <w:rFonts w:ascii="楷体_GB2312" w:eastAsia="楷体_GB2312" w:cs="楷体_GB2312"/>
                <w:sz w:val="20"/>
                <w:szCs w:val="20"/>
                <w:highlight w:val="none"/>
              </w:rPr>
              <w:br w:type="textWrapping"/>
            </w:r>
            <w:r>
              <w:rPr>
                <w:rFonts w:ascii="楷体_GB2312" w:eastAsia="楷体_GB2312" w:cs="楷体_GB2312"/>
                <w:sz w:val="20"/>
                <w:szCs w:val="20"/>
                <w:highlight w:val="none"/>
              </w:rPr>
              <w:t>【M】类份额：单个投资者持仓份额下限为【0.01】份，投资者提出部分赎回时，如赎回后投资者持有份额不足【0.01】份，则管理人将对投资者剩余份额发起强制赎回。</w:t>
            </w:r>
            <w:r>
              <w:rPr>
                <w:rFonts w:ascii="楷体_GB2312" w:eastAsia="楷体_GB2312" w:cs="楷体_GB2312"/>
                <w:sz w:val="20"/>
                <w:szCs w:val="20"/>
                <w:highlight w:val="none"/>
              </w:rPr>
              <w:br w:type="textWrapping"/>
            </w:r>
            <w:r>
              <w:rPr>
                <w:rFonts w:ascii="楷体_GB2312" w:eastAsia="楷体_GB2312" w:cs="楷体_GB2312"/>
                <w:sz w:val="20"/>
                <w:szCs w:val="20"/>
                <w:highlight w:val="none"/>
              </w:rPr>
              <w:t>【N】类份额：单个投资者持仓份额下限为【0.01】份，投资者提出部分赎回时，如赎回后投资者持有份额不足【0.01】份，则管理人将对投资者剩余份额发起强制赎回。</w:t>
            </w:r>
            <w:r>
              <w:rPr>
                <w:rFonts w:ascii="楷体_GB2312" w:eastAsia="楷体_GB2312" w:cs="楷体_GB2312"/>
                <w:sz w:val="20"/>
                <w:szCs w:val="20"/>
                <w:highlight w:val="none"/>
              </w:rPr>
              <w:br w:type="textWrapping"/>
            </w:r>
            <w:r>
              <w:rPr>
                <w:rFonts w:ascii="楷体_GB2312" w:eastAsia="楷体_GB2312" w:cs="楷体_GB2312"/>
                <w:sz w:val="20"/>
                <w:szCs w:val="20"/>
                <w:highlight w:val="none"/>
              </w:rPr>
              <w:t>【S】类份额：单个投资者持仓份额下限为【0.01】份，投资者提出部分赎回时，如赎回后投资者持有份额不足【0.01】份，则管理人将对投资者剩余份额发起强制赎回。</w:t>
            </w:r>
            <w:r>
              <w:rPr>
                <w:rFonts w:ascii="楷体_GB2312" w:eastAsia="楷体_GB2312" w:cs="楷体_GB2312"/>
                <w:sz w:val="20"/>
                <w:szCs w:val="20"/>
                <w:highlight w:val="none"/>
              </w:rPr>
              <w:br w:type="textWrapping"/>
            </w:r>
            <w:r>
              <w:rPr>
                <w:rFonts w:ascii="楷体_GB2312" w:eastAsia="楷体_GB2312" w:cs="楷体_GB2312"/>
                <w:sz w:val="20"/>
                <w:szCs w:val="20"/>
                <w:highlight w:val="none"/>
              </w:rPr>
              <w:t>【Y】类份额：单个投资者持仓份额下限为【0.01】份，投资者提出部分赎回时，如赎回后投资者持有份额不足【0.01】份，则管理人将对投资者剩余份额发起强制赎回。</w:t>
            </w:r>
            <w:r>
              <w:rPr>
                <w:rFonts w:ascii="楷体_GB2312" w:eastAsia="楷体_GB2312" w:cs="楷体_GB2312"/>
                <w:sz w:val="20"/>
                <w:szCs w:val="20"/>
                <w:highlight w:val="none"/>
              </w:rPr>
              <w:br w:type="textWrapping"/>
            </w:r>
            <w:r>
              <w:rPr>
                <w:rFonts w:ascii="楷体_GB2312" w:eastAsia="楷体_GB2312" w:cs="楷体_GB2312"/>
                <w:sz w:val="20"/>
                <w:szCs w:val="20"/>
                <w:highlight w:val="none"/>
              </w:rPr>
              <w:t>信银理财有权根据实际需要对此份额下限进行调整。</w:t>
            </w:r>
          </w:p>
        </w:tc>
      </w:tr>
      <w:tr w14:paraId="6A0C1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3F33AA28">
            <w:pPr>
              <w:spacing w:line="300" w:lineRule="exact"/>
              <w:ind w:left="-2" w:leftChars="-1" w:right="36" w:rightChars="15"/>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份额单位</w:t>
            </w:r>
          </w:p>
        </w:tc>
        <w:tc>
          <w:tcPr>
            <w:tcW w:w="3740" w:type="pct"/>
            <w:vAlign w:val="center"/>
          </w:tcPr>
          <w:p w14:paraId="3B892992">
            <w:pPr>
              <w:spacing w:line="300" w:lineRule="exact"/>
              <w:ind w:left="-2" w:leftChars="-1" w:right="36" w:rightChars="15"/>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份</w:t>
            </w:r>
          </w:p>
        </w:tc>
      </w:tr>
      <w:tr w14:paraId="2BA00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61F51A2A">
            <w:pPr>
              <w:spacing w:line="300" w:lineRule="exact"/>
              <w:ind w:left="-2" w:leftChars="-1" w:right="36" w:rightChars="15"/>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单位净值</w:t>
            </w:r>
          </w:p>
        </w:tc>
        <w:tc>
          <w:tcPr>
            <w:tcW w:w="3740" w:type="pct"/>
            <w:vAlign w:val="center"/>
          </w:tcPr>
          <w:p w14:paraId="7785CDC4">
            <w:pPr>
              <w:pStyle w:val="19"/>
              <w:numPr>
                <w:ilvl w:val="0"/>
                <w:numId w:val="2"/>
              </w:numPr>
              <w:spacing w:line="300" w:lineRule="exact"/>
              <w:ind w:right="29" w:rightChars="12" w:firstLineChars="0"/>
              <w:rPr>
                <w:rFonts w:ascii="楷体_GB2312" w:eastAsia="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单位净值为单位产品份额的净值，该净值为扣除相关税费后的净值。相关税费包含固定管理费、销售服务费、托管费</w:t>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本理财产品运营过程中产生的增值税及附加税费等。</w:t>
            </w:r>
          </w:p>
          <w:p w14:paraId="6B6F5913">
            <w:pPr>
              <w:pStyle w:val="19"/>
              <w:numPr>
                <w:ilvl w:val="0"/>
                <w:numId w:val="2"/>
              </w:numPr>
              <w:spacing w:line="300" w:lineRule="exact"/>
              <w:ind w:right="29" w:rightChars="12" w:firstLineChars="0"/>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本产品按照单位净值进行申购</w:t>
            </w:r>
            <w:r>
              <w:rPr>
                <w:rFonts w:ascii="楷体_GB2312" w:eastAsia="楷体_GB2312" w:cs="楷体_GB2312"/>
                <w:color w:val="000000" w:themeColor="text1"/>
                <w:sz w:val="20"/>
                <w:szCs w:val="20"/>
                <w:highlight w:val="none"/>
                <w14:textFill>
                  <w14:solidFill>
                    <w14:schemeClr w14:val="tx1"/>
                  </w14:solidFill>
                </w14:textFill>
              </w:rPr>
              <w:t>、赎回</w:t>
            </w:r>
            <w:r>
              <w:rPr>
                <w:rFonts w:hint="eastAsia" w:ascii="楷体_GB2312" w:eastAsia="楷体_GB2312" w:cs="楷体_GB2312"/>
                <w:color w:val="000000" w:themeColor="text1"/>
                <w:sz w:val="20"/>
                <w:szCs w:val="20"/>
                <w:highlight w:val="none"/>
                <w14:textFill>
                  <w14:solidFill>
                    <w14:schemeClr w14:val="tx1"/>
                  </w14:solidFill>
                </w14:textFill>
              </w:rPr>
              <w:t>。单位净值按照【四舍五入</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保留至小数点后【4】位。</w:t>
            </w:r>
          </w:p>
          <w:p w14:paraId="2FA7A419">
            <w:pPr>
              <w:spacing w:line="300" w:lineRule="exact"/>
              <w:ind w:right="29" w:rightChars="12"/>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3.</w:t>
            </w:r>
            <w:r>
              <w:rPr>
                <w:rFonts w:hint="eastAsia" w:ascii="楷体_GB2312" w:eastAsia="楷体_GB2312" w:cs="楷体_GB2312"/>
                <w:color w:val="000000" w:themeColor="text1"/>
                <w:sz w:val="20"/>
                <w:szCs w:val="20"/>
                <w:highlight w:val="none"/>
                <w14:textFill>
                  <w14:solidFill>
                    <w14:schemeClr w14:val="tx1"/>
                  </w14:solidFill>
                </w14:textFill>
              </w:rPr>
              <w:t>本产品到期后，管理人将在到期日后【5】个工作日内披露份额最终单位净值。</w:t>
            </w:r>
          </w:p>
        </w:tc>
      </w:tr>
      <w:tr w14:paraId="318B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13426072">
            <w:pPr>
              <w:spacing w:line="300" w:lineRule="exact"/>
              <w:ind w:left="-2" w:leftChars="-1" w:right="36" w:rightChars="15"/>
              <w:rPr>
                <w:rFonts w:eastAsia="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认购渠道</w:t>
            </w:r>
          </w:p>
        </w:tc>
        <w:tc>
          <w:tcPr>
            <w:tcW w:w="3740" w:type="pct"/>
            <w:vAlign w:val="center"/>
          </w:tcPr>
          <w:p w14:paraId="11A3A543">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投资者可通过信银理财直销渠道认购本产品。</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理财产品通过代销机构销售的，投资者可通过代销机构规定的渠道认购。</w:t>
            </w:r>
          </w:p>
          <w:p w14:paraId="162D6AF6">
            <w:pPr>
              <w:spacing w:line="300" w:lineRule="exact"/>
              <w:ind w:right="36" w:rightChars="15"/>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b/>
                <w:sz w:val="20"/>
                <w:szCs w:val="20"/>
                <w:highlight w:val="none"/>
              </w:rPr>
              <w:t>本产品可能同时在其他渠道销售，本产品收取的销售服务费可能因销售机构不同有所差异，从而导致测算的业绩比较基准有所差异，请投资者关注管理人及销售机构相关信息披露。</w:t>
            </w:r>
          </w:p>
        </w:tc>
      </w:tr>
      <w:tr w14:paraId="53C90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60A12723">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申购</w:t>
            </w:r>
            <w:r>
              <w:rPr>
                <w:rFonts w:ascii="Times New Roman" w:eastAsia="楷体_GB2312" w:cs="楷体_GB2312"/>
                <w:color w:val="000000" w:themeColor="text1"/>
                <w:sz w:val="20"/>
                <w:szCs w:val="20"/>
                <w:highlight w:val="none"/>
                <w14:textFill>
                  <w14:solidFill>
                    <w14:schemeClr w14:val="tx1"/>
                  </w14:solidFill>
                </w14:textFill>
              </w:rPr>
              <w:t>和赎回渠道</w:t>
            </w:r>
          </w:p>
        </w:tc>
        <w:tc>
          <w:tcPr>
            <w:tcW w:w="3740" w:type="pct"/>
            <w:vAlign w:val="center"/>
          </w:tcPr>
          <w:p w14:paraId="45277D9D">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投资者可通过信银理财直销渠道申购及赎回本产品。如本产品通过代销机构销售，投资者可通过代销机构规定的渠道申购和赎回本产品</w:t>
            </w:r>
          </w:p>
          <w:p w14:paraId="2F8C40A2">
            <w:pPr>
              <w:spacing w:line="300" w:lineRule="exact"/>
              <w:ind w:right="36" w:rightChars="15"/>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b/>
                <w:sz w:val="20"/>
                <w:szCs w:val="20"/>
                <w:highlight w:val="none"/>
              </w:rPr>
              <w:t>本产品可能同时在其他渠道销售，本产品收取的销售服务费可能因销售机构不同有所差异，从而导致测算的业绩比较基准有所差异，请投资者关注管理人及销售机构相关信息披露。</w:t>
            </w:r>
          </w:p>
        </w:tc>
      </w:tr>
      <w:tr w14:paraId="7B16C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0B1A12A7">
            <w:pPr>
              <w:spacing w:line="300" w:lineRule="exact"/>
              <w:ind w:left="-2" w:leftChars="-1" w:right="36" w:rightChars="15"/>
              <w:rPr>
                <w:rFonts w:eastAsia="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税收条款</w:t>
            </w:r>
          </w:p>
        </w:tc>
        <w:tc>
          <w:tcPr>
            <w:tcW w:w="3740" w:type="pct"/>
            <w:vAlign w:val="center"/>
          </w:tcPr>
          <w:p w14:paraId="6C401BD1">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根据国家法律法规、部门规章和其他规范性文件，理财产品运营过程中产生的相关税费（包括但不限于增值税及相应的附加税费等）由理财产品承担，由信银理财作为</w:t>
            </w:r>
            <w:r>
              <w:rPr>
                <w:rFonts w:ascii="楷体_GB2312" w:eastAsia="楷体_GB2312" w:cs="楷体_GB2312"/>
                <w:color w:val="000000" w:themeColor="text1"/>
                <w:sz w:val="20"/>
                <w:szCs w:val="20"/>
                <w:highlight w:val="none"/>
                <w14:textFill>
                  <w14:solidFill>
                    <w14:schemeClr w14:val="tx1"/>
                  </w14:solidFill>
                </w14:textFill>
              </w:rPr>
              <w:t>产品管理人</w:t>
            </w:r>
            <w:r>
              <w:rPr>
                <w:rFonts w:hint="eastAsia" w:ascii="楷体_GB2312" w:eastAsia="楷体_GB2312" w:cs="楷体_GB2312"/>
                <w:color w:val="000000" w:themeColor="text1"/>
                <w:sz w:val="20"/>
                <w:szCs w:val="20"/>
                <w:highlight w:val="none"/>
                <w14:textFill>
                  <w14:solidFill>
                    <w14:schemeClr w14:val="tx1"/>
                  </w14:solidFill>
                </w14:textFill>
              </w:rPr>
              <w:t>以</w:t>
            </w:r>
            <w:r>
              <w:rPr>
                <w:rFonts w:ascii="楷体_GB2312" w:eastAsia="楷体_GB2312" w:cs="楷体_GB2312"/>
                <w:color w:val="000000" w:themeColor="text1"/>
                <w:sz w:val="20"/>
                <w:szCs w:val="20"/>
                <w:highlight w:val="none"/>
                <w14:textFill>
                  <w14:solidFill>
                    <w14:schemeClr w14:val="tx1"/>
                  </w14:solidFill>
                </w14:textFill>
              </w:rPr>
              <w:t>理财资金</w:t>
            </w:r>
            <w:r>
              <w:rPr>
                <w:rFonts w:hint="eastAsia" w:ascii="楷体_GB2312" w:eastAsia="楷体_GB2312" w:cs="楷体_GB2312"/>
                <w:color w:val="000000" w:themeColor="text1"/>
                <w:sz w:val="20"/>
                <w:szCs w:val="20"/>
                <w:highlight w:val="none"/>
                <w14:textFill>
                  <w14:solidFill>
                    <w14:schemeClr w14:val="tx1"/>
                  </w14:solidFill>
                </w14:textFill>
              </w:rPr>
              <w:t>予以缴纳。前述税费具体的计算、提取及缴纳，由信银理财按照应税行为发生时有效的相关税收法规确定。理财产品的实际收益为扣除增值税及附加税费后的收益。投资者取得理财收益产生的纳税义务（包括但不限于增值税、所得税等，如有），由投资者自行缴纳，信银理财不承担代扣代缴义务，法律法规另有明确规定的除外。</w:t>
            </w:r>
          </w:p>
        </w:tc>
      </w:tr>
      <w:tr w14:paraId="6D64A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666E12BB">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费用条款</w:t>
            </w:r>
          </w:p>
        </w:tc>
        <w:tc>
          <w:tcPr>
            <w:tcW w:w="3740" w:type="pct"/>
            <w:vAlign w:val="center"/>
          </w:tcPr>
          <w:p w14:paraId="4B51C8CF">
            <w:pPr>
              <w:snapToGrid w:val="0"/>
              <w:spacing w:line="300" w:lineRule="exact"/>
              <w:ind w:left="-2" w:leftChars="-1" w:right="53" w:rightChars="22"/>
              <w:jc w:val="both"/>
              <w:outlineLvl w:val="0"/>
              <w:rPr>
                <w:rFonts w:ascii="楷体_GB2312" w:eastAsia="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本产品的费用包括认购费、申购费、赎回费、销售服务费、托管费、固定管理费、浮动管理费，产品运作和清算中产生的其他资金汇划费、结算费、交易手续费、注册登记费、信息披露费、账户服务费、审计费、律师费</w:t>
            </w:r>
            <w:r>
              <w:rPr>
                <w:rFonts w:hint="eastAsia" w:ascii="楷体_GB2312" w:eastAsia="楷体_GB2312" w:cs="楷体_GB2312"/>
                <w:b/>
                <w:color w:val="000000" w:themeColor="text1"/>
                <w:sz w:val="20"/>
                <w:szCs w:val="20"/>
                <w:highlight w:val="none"/>
                <w14:textFill>
                  <w14:solidFill>
                    <w14:schemeClr w14:val="tx1"/>
                  </w14:solidFill>
                </w14:textFill>
              </w:rPr>
              <w:t>、因投资资产而产生的资产推荐服务费等相关费用</w:t>
            </w:r>
            <w:r>
              <w:rPr>
                <w:rFonts w:ascii="楷体_GB2312" w:eastAsia="楷体_GB2312" w:cs="楷体_GB2312"/>
                <w:b/>
                <w:color w:val="000000" w:themeColor="text1"/>
                <w:sz w:val="20"/>
                <w:szCs w:val="20"/>
                <w:highlight w:val="none"/>
                <w14:textFill>
                  <w14:solidFill>
                    <w14:schemeClr w14:val="tx1"/>
                  </w14:solidFill>
                </w14:textFill>
              </w:rPr>
              <w:t>，以及按照国家规定可以列入的其他费用</w:t>
            </w:r>
            <w:r>
              <w:rPr>
                <w:rFonts w:hint="eastAsia" w:ascii="楷体_GB2312" w:eastAsia="楷体_GB2312" w:cs="楷体_GB2312"/>
                <w:b/>
                <w:color w:val="000000" w:themeColor="text1"/>
                <w:sz w:val="20"/>
                <w:szCs w:val="20"/>
                <w:highlight w:val="none"/>
                <w14:textFill>
                  <w14:solidFill>
                    <w14:schemeClr w14:val="tx1"/>
                  </w14:solidFill>
                </w14:textFill>
              </w:rPr>
              <w:t>，按照实际发生时列支</w:t>
            </w:r>
            <w:r>
              <w:rPr>
                <w:rFonts w:ascii="楷体_GB2312" w:eastAsia="楷体_GB2312" w:cs="楷体_GB2312"/>
                <w:b/>
                <w:color w:val="000000" w:themeColor="text1"/>
                <w:sz w:val="20"/>
                <w:szCs w:val="20"/>
                <w:highlight w:val="none"/>
                <w14:textFill>
                  <w14:solidFill>
                    <w14:schemeClr w14:val="tx1"/>
                  </w14:solidFill>
                </w14:textFill>
              </w:rPr>
              <w:t>。管理人因管理、运营理财产品发生的税费</w:t>
            </w:r>
            <w:r>
              <w:rPr>
                <w:rFonts w:ascii="楷体_GB2312" w:eastAsia="楷体_GB2312"/>
                <w:b/>
                <w:color w:val="000000" w:themeColor="text1"/>
                <w:sz w:val="20"/>
                <w:szCs w:val="20"/>
                <w:highlight w:val="none"/>
                <w14:textFill>
                  <w14:solidFill>
                    <w14:schemeClr w14:val="tx1"/>
                  </w14:solidFill>
                </w14:textFill>
              </w:rPr>
              <w:t>（包括但不限于增值税及相应的附加税费等）</w:t>
            </w:r>
            <w:r>
              <w:rPr>
                <w:rFonts w:ascii="楷体_GB2312" w:eastAsia="楷体_GB2312" w:cs="楷体_GB2312"/>
                <w:b/>
                <w:color w:val="000000" w:themeColor="text1"/>
                <w:sz w:val="20"/>
                <w:szCs w:val="20"/>
                <w:highlight w:val="none"/>
                <w14:textFill>
                  <w14:solidFill>
                    <w14:schemeClr w14:val="tx1"/>
                  </w14:solidFill>
                </w14:textFill>
              </w:rPr>
              <w:t>由产品资产承担。法律法规另有规定时从其规定。</w:t>
            </w:r>
          </w:p>
          <w:p w14:paraId="22D13976">
            <w:pPr>
              <w:snapToGrid w:val="0"/>
              <w:spacing w:line="300" w:lineRule="exact"/>
              <w:ind w:right="53" w:rightChars="22"/>
              <w:outlineLvl w:val="0"/>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1．认购费：</w:t>
            </w:r>
            <w:r>
              <w:rPr>
                <w:rFonts w:hint="eastAsia" w:ascii="楷体_GB2312" w:eastAsia="楷体_GB2312" w:cs="楷体_GB2312"/>
                <w:b/>
                <w:color w:val="000000" w:themeColor="text1"/>
                <w:sz w:val="20"/>
                <w:szCs w:val="20"/>
                <w:highlight w:val="none"/>
                <w14:textFill>
                  <w14:solidFill>
                    <w14:schemeClr w14:val="tx1"/>
                  </w14:solidFill>
                </w14:textFill>
              </w:rPr>
              <w:t>【B】类份额不收取认购费，【G】类份额不收取认购费，【H】类份额不收取认购费，【M】类份额不收取认购费，【N】类份额不收取认购费，【S】类份额不收取认购费，【Y】类份额不收取认购费；</w:t>
            </w:r>
          </w:p>
          <w:p w14:paraId="1B0234C7">
            <w:pPr>
              <w:snapToGrid w:val="0"/>
              <w:spacing w:line="300" w:lineRule="exact"/>
              <w:ind w:left="-2" w:leftChars="-1" w:right="53" w:rightChars="22"/>
              <w:jc w:val="both"/>
              <w:outlineLvl w:val="0"/>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2．申购费：</w:t>
            </w:r>
            <w:r>
              <w:rPr>
                <w:rFonts w:hint="eastAsia" w:ascii="楷体_GB2312" w:eastAsia="楷体_GB2312" w:cs="楷体_GB2312"/>
                <w:b/>
                <w:color w:val="000000" w:themeColor="text1"/>
                <w:sz w:val="20"/>
                <w:szCs w:val="20"/>
                <w:highlight w:val="none"/>
                <w14:textFill>
                  <w14:solidFill>
                    <w14:schemeClr w14:val="tx1"/>
                  </w14:solidFill>
                </w14:textFill>
              </w:rPr>
              <w:t>【B】类份额不收取申购费，【G】类份额不收取申购费，【H】类份额不收取申购费，【M】类份额不收取申购费，【N】类份额不收取申购费，【S】类份额不收取申购费，【Y】类份额不收取申购费；</w:t>
            </w:r>
          </w:p>
          <w:p w14:paraId="53200AF1">
            <w:pPr>
              <w:snapToGrid w:val="0"/>
              <w:spacing w:line="300" w:lineRule="exact"/>
              <w:ind w:left="-2" w:leftChars="-1" w:right="53" w:rightChars="22"/>
              <w:jc w:val="both"/>
              <w:outlineLvl w:val="0"/>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3．赎回费：</w:t>
            </w:r>
            <w:r>
              <w:rPr>
                <w:rFonts w:hint="eastAsia" w:ascii="楷体_GB2312" w:eastAsia="楷体_GB2312" w:cs="楷体_GB2312"/>
                <w:b/>
                <w:color w:val="000000" w:themeColor="text1"/>
                <w:sz w:val="20"/>
                <w:szCs w:val="20"/>
                <w:highlight w:val="none"/>
                <w14:textFill>
                  <w14:solidFill>
                    <w14:schemeClr w14:val="tx1"/>
                  </w14:solidFill>
                </w14:textFill>
              </w:rPr>
              <w:t>【B】类份额不收取赎回费，【G】类份额不收取赎回费，【H】类份额不收取赎回费，【M】类份额不收取赎回费，【N】类份额不收取赎回费，【S】类份额不收取赎回费，【Y】类份额不收取赎回费；</w:t>
            </w:r>
          </w:p>
          <w:p w14:paraId="5039E83A">
            <w:pPr>
              <w:snapToGrid w:val="0"/>
              <w:spacing w:line="300" w:lineRule="exact"/>
              <w:ind w:right="96" w:rightChars="40"/>
              <w:jc w:val="both"/>
              <w:outlineLvl w:val="0"/>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4．销售服务费：</w:t>
            </w:r>
            <w:r>
              <w:rPr>
                <w:rFonts w:hint="eastAsia" w:ascii="楷体_GB2312" w:eastAsia="楷体_GB2312" w:cs="楷体_GB2312"/>
                <w:b/>
                <w:color w:val="000000" w:themeColor="text1"/>
                <w:sz w:val="20"/>
                <w:szCs w:val="20"/>
                <w:highlight w:val="none"/>
                <w14:textFill>
                  <w14:solidFill>
                    <w14:schemeClr w14:val="tx1"/>
                  </w14:solidFill>
                </w14:textFill>
              </w:rPr>
              <w:t>【B】类份额费率【0.30%】/年，【G】类份额费率【0.30%】/年，【H】类份额费率【0.15%】/年，【M】类份额费率【0.20%】/年，【N】类份额费率【0.15%】/年，【S】类份额费率【0.30%】/年，【Y】类份额费率【0.10%】/年；</w:t>
            </w:r>
          </w:p>
          <w:p w14:paraId="49129AEB">
            <w:pPr>
              <w:snapToGrid w:val="0"/>
              <w:spacing w:line="300" w:lineRule="exact"/>
              <w:ind w:right="53" w:rightChars="22"/>
              <w:jc w:val="both"/>
              <w:outlineLvl w:val="0"/>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5．托管费：费率【</w:t>
            </w:r>
            <w:r>
              <w:rPr>
                <w:rFonts w:hint="eastAsia" w:ascii="楷体_GB2312" w:eastAsia="楷体_GB2312" w:cs="楷体_GB2312"/>
                <w:b/>
                <w:color w:val="000000" w:themeColor="text1"/>
                <w:sz w:val="20"/>
                <w:szCs w:val="20"/>
                <w:highlight w:val="none"/>
                <w14:textFill>
                  <w14:solidFill>
                    <w14:schemeClr w14:val="tx1"/>
                  </w14:solidFill>
                </w14:textFill>
              </w:rPr>
              <w:t>0.05%</w:t>
            </w:r>
            <w:r>
              <w:rPr>
                <w:rFonts w:ascii="楷体_GB2312" w:eastAsia="楷体_GB2312" w:cs="楷体_GB2312"/>
                <w:b/>
                <w:color w:val="000000" w:themeColor="text1"/>
                <w:sz w:val="20"/>
                <w:szCs w:val="20"/>
                <w:highlight w:val="none"/>
                <w14:textFill>
                  <w14:solidFill>
                    <w14:schemeClr w14:val="tx1"/>
                  </w14:solidFill>
                </w14:textFill>
              </w:rPr>
              <w:t>】/年</w:t>
            </w:r>
            <w:r>
              <w:rPr>
                <w:rFonts w:hint="eastAsia" w:ascii="楷体_GB2312" w:eastAsia="楷体_GB2312" w:cs="楷体_GB2312"/>
                <w:b/>
                <w:color w:val="000000" w:themeColor="text1"/>
                <w:sz w:val="20"/>
                <w:szCs w:val="20"/>
                <w:highlight w:val="none"/>
                <w14:textFill>
                  <w14:solidFill>
                    <w14:schemeClr w14:val="tx1"/>
                  </w14:solidFill>
                </w14:textFill>
              </w:rPr>
              <w:t>；</w:t>
            </w:r>
          </w:p>
          <w:p w14:paraId="2CF42B0C">
            <w:pPr>
              <w:snapToGrid w:val="0"/>
              <w:spacing w:line="300" w:lineRule="exact"/>
              <w:ind w:right="53" w:rightChars="22"/>
              <w:jc w:val="both"/>
              <w:outlineLvl w:val="0"/>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6．固定管理费：费率【</w:t>
            </w:r>
            <w:r>
              <w:rPr>
                <w:rFonts w:hint="eastAsia" w:ascii="楷体_GB2312" w:eastAsia="楷体_GB2312" w:cs="楷体_GB2312"/>
                <w:b/>
                <w:color w:val="000000" w:themeColor="text1"/>
                <w:sz w:val="20"/>
                <w:szCs w:val="20"/>
                <w:highlight w:val="none"/>
                <w14:textFill>
                  <w14:solidFill>
                    <w14:schemeClr w14:val="tx1"/>
                  </w14:solidFill>
                </w14:textFill>
              </w:rPr>
              <w:t>0.30%</w:t>
            </w:r>
            <w:r>
              <w:rPr>
                <w:rFonts w:ascii="楷体_GB2312" w:eastAsia="楷体_GB2312" w:cs="楷体_GB2312"/>
                <w:b/>
                <w:color w:val="000000" w:themeColor="text1"/>
                <w:sz w:val="20"/>
                <w:szCs w:val="20"/>
                <w:highlight w:val="none"/>
                <w14:textFill>
                  <w14:solidFill>
                    <w14:schemeClr w14:val="tx1"/>
                  </w14:solidFill>
                </w14:textFill>
              </w:rPr>
              <w:t>】/年</w:t>
            </w:r>
            <w:r>
              <w:rPr>
                <w:rFonts w:hint="eastAsia" w:ascii="楷体_GB2312" w:eastAsia="楷体_GB2312" w:cs="楷体_GB2312"/>
                <w:b/>
                <w:color w:val="000000" w:themeColor="text1"/>
                <w:sz w:val="20"/>
                <w:szCs w:val="20"/>
                <w:highlight w:val="none"/>
                <w14:textFill>
                  <w14:solidFill>
                    <w14:schemeClr w14:val="tx1"/>
                  </w14:solidFill>
                </w14:textFill>
              </w:rPr>
              <w:t>；</w:t>
            </w:r>
          </w:p>
          <w:p w14:paraId="46993BA4">
            <w:pPr>
              <w:snapToGrid w:val="0"/>
              <w:spacing w:line="300" w:lineRule="exact"/>
              <w:ind w:right="53" w:rightChars="22"/>
              <w:jc w:val="both"/>
              <w:outlineLvl w:val="0"/>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7．浮动管理费：</w:t>
            </w:r>
          </w:p>
          <w:p w14:paraId="0812BFCA">
            <w:pPr>
              <w:snapToGrid w:val="0"/>
              <w:spacing w:line="300" w:lineRule="exact"/>
              <w:ind w:right="53" w:rightChars="22"/>
              <w:outlineLvl w:val="0"/>
              <w:rPr>
                <w:rFonts w:ascii="楷体_GB2312" w:eastAsia="楷体_GB2312" w:cs="楷体_GB2312"/>
                <w:b/>
                <w:color w:val="000000" w:themeColor="text1"/>
                <w:sz w:val="20"/>
                <w:szCs w:val="20"/>
                <w:highlight w:val="none"/>
                <w14:textFill>
                  <w14:solidFill>
                    <w14:schemeClr w14:val="tx1"/>
                  </w14:solidFill>
                </w14:textFill>
              </w:rPr>
            </w:pPr>
            <w:r>
              <w:rPr>
                <w:rFonts w:hint="eastAsia" w:ascii="楷体_GB2312" w:eastAsia="楷体_GB2312" w:cs="楷体_GB2312"/>
                <w:b/>
                <w:color w:val="000000" w:themeColor="text1"/>
                <w:sz w:val="20"/>
                <w:szCs w:val="20"/>
                <w:highlight w:val="none"/>
                <w14:textFill>
                  <w14:solidFill>
                    <w14:schemeClr w14:val="tx1"/>
                  </w14:solidFill>
                </w14:textFill>
              </w:rPr>
              <w:t>【B】类份额不收取浮动管理费。</w:t>
            </w:r>
            <w:r>
              <w:rPr>
                <w:rFonts w:hint="eastAsia" w:ascii="楷体_GB2312" w:eastAsia="楷体_GB2312" w:cs="楷体_GB2312"/>
                <w:b/>
                <w:color w:val="000000" w:themeColor="text1"/>
                <w:sz w:val="20"/>
                <w:szCs w:val="20"/>
                <w:highlight w:val="none"/>
                <w14:textFill>
                  <w14:solidFill>
                    <w14:schemeClr w14:val="tx1"/>
                  </w14:solidFill>
                </w14:textFill>
              </w:rPr>
              <w:br w:type="textWrapping"/>
            </w:r>
            <w:r>
              <w:rPr>
                <w:rFonts w:hint="eastAsia" w:ascii="楷体_GB2312" w:eastAsia="楷体_GB2312" w:cs="楷体_GB2312"/>
                <w:b/>
                <w:color w:val="000000" w:themeColor="text1"/>
                <w:sz w:val="20"/>
                <w:szCs w:val="20"/>
                <w:highlight w:val="none"/>
                <w14:textFill>
                  <w14:solidFill>
                    <w14:schemeClr w14:val="tx1"/>
                  </w14:solidFill>
                </w14:textFill>
              </w:rPr>
              <w:t>【G】类份额不收取浮动管理费。</w:t>
            </w:r>
            <w:r>
              <w:rPr>
                <w:rFonts w:hint="eastAsia" w:ascii="楷体_GB2312" w:eastAsia="楷体_GB2312" w:cs="楷体_GB2312"/>
                <w:b/>
                <w:color w:val="000000" w:themeColor="text1"/>
                <w:sz w:val="20"/>
                <w:szCs w:val="20"/>
                <w:highlight w:val="none"/>
                <w14:textFill>
                  <w14:solidFill>
                    <w14:schemeClr w14:val="tx1"/>
                  </w14:solidFill>
                </w14:textFill>
              </w:rPr>
              <w:br w:type="textWrapping"/>
            </w:r>
            <w:r>
              <w:rPr>
                <w:rFonts w:hint="eastAsia" w:ascii="楷体_GB2312" w:eastAsia="楷体_GB2312" w:cs="楷体_GB2312"/>
                <w:b/>
                <w:color w:val="000000" w:themeColor="text1"/>
                <w:sz w:val="20"/>
                <w:szCs w:val="20"/>
                <w:highlight w:val="none"/>
                <w14:textFill>
                  <w14:solidFill>
                    <w14:schemeClr w14:val="tx1"/>
                  </w14:solidFill>
                </w14:textFill>
              </w:rPr>
              <w:t>【H】类份额不收取浮动管理费。</w:t>
            </w:r>
            <w:r>
              <w:rPr>
                <w:rFonts w:hint="eastAsia" w:ascii="楷体_GB2312" w:eastAsia="楷体_GB2312" w:cs="楷体_GB2312"/>
                <w:b/>
                <w:color w:val="000000" w:themeColor="text1"/>
                <w:sz w:val="20"/>
                <w:szCs w:val="20"/>
                <w:highlight w:val="none"/>
                <w14:textFill>
                  <w14:solidFill>
                    <w14:schemeClr w14:val="tx1"/>
                  </w14:solidFill>
                </w14:textFill>
              </w:rPr>
              <w:br w:type="textWrapping"/>
            </w:r>
            <w:r>
              <w:rPr>
                <w:rFonts w:hint="eastAsia" w:ascii="楷体_GB2312" w:eastAsia="楷体_GB2312" w:cs="楷体_GB2312"/>
                <w:b/>
                <w:color w:val="000000" w:themeColor="text1"/>
                <w:sz w:val="20"/>
                <w:szCs w:val="20"/>
                <w:highlight w:val="none"/>
                <w14:textFill>
                  <w14:solidFill>
                    <w14:schemeClr w14:val="tx1"/>
                  </w14:solidFill>
                </w14:textFill>
              </w:rPr>
              <w:t>【M】类份额不收取浮动管理费。</w:t>
            </w:r>
            <w:r>
              <w:rPr>
                <w:rFonts w:hint="eastAsia" w:ascii="楷体_GB2312" w:eastAsia="楷体_GB2312" w:cs="楷体_GB2312"/>
                <w:b/>
                <w:color w:val="000000" w:themeColor="text1"/>
                <w:sz w:val="20"/>
                <w:szCs w:val="20"/>
                <w:highlight w:val="none"/>
                <w14:textFill>
                  <w14:solidFill>
                    <w14:schemeClr w14:val="tx1"/>
                  </w14:solidFill>
                </w14:textFill>
              </w:rPr>
              <w:br w:type="textWrapping"/>
            </w:r>
            <w:r>
              <w:rPr>
                <w:rFonts w:hint="eastAsia" w:ascii="楷体_GB2312" w:eastAsia="楷体_GB2312" w:cs="楷体_GB2312"/>
                <w:b/>
                <w:color w:val="000000" w:themeColor="text1"/>
                <w:sz w:val="20"/>
                <w:szCs w:val="20"/>
                <w:highlight w:val="none"/>
                <w14:textFill>
                  <w14:solidFill>
                    <w14:schemeClr w14:val="tx1"/>
                  </w14:solidFill>
                </w14:textFill>
              </w:rPr>
              <w:t>【N】类份额不收取浮动管理费。</w:t>
            </w:r>
            <w:r>
              <w:rPr>
                <w:rFonts w:hint="eastAsia" w:ascii="楷体_GB2312" w:eastAsia="楷体_GB2312" w:cs="楷体_GB2312"/>
                <w:b/>
                <w:color w:val="000000" w:themeColor="text1"/>
                <w:sz w:val="20"/>
                <w:szCs w:val="20"/>
                <w:highlight w:val="none"/>
                <w14:textFill>
                  <w14:solidFill>
                    <w14:schemeClr w14:val="tx1"/>
                  </w14:solidFill>
                </w14:textFill>
              </w:rPr>
              <w:br w:type="textWrapping"/>
            </w:r>
            <w:r>
              <w:rPr>
                <w:rFonts w:hint="eastAsia" w:ascii="楷体_GB2312" w:eastAsia="楷体_GB2312" w:cs="楷体_GB2312"/>
                <w:b/>
                <w:color w:val="000000" w:themeColor="text1"/>
                <w:sz w:val="20"/>
                <w:szCs w:val="20"/>
                <w:highlight w:val="none"/>
                <w14:textFill>
                  <w14:solidFill>
                    <w14:schemeClr w14:val="tx1"/>
                  </w14:solidFill>
                </w14:textFill>
              </w:rPr>
              <w:t>【S】类份额不收取浮动管理费。</w:t>
            </w:r>
            <w:r>
              <w:rPr>
                <w:rFonts w:hint="eastAsia" w:ascii="楷体_GB2312" w:eastAsia="楷体_GB2312" w:cs="楷体_GB2312"/>
                <w:b/>
                <w:color w:val="000000" w:themeColor="text1"/>
                <w:sz w:val="20"/>
                <w:szCs w:val="20"/>
                <w:highlight w:val="none"/>
                <w14:textFill>
                  <w14:solidFill>
                    <w14:schemeClr w14:val="tx1"/>
                  </w14:solidFill>
                </w14:textFill>
              </w:rPr>
              <w:br w:type="textWrapping"/>
            </w:r>
            <w:r>
              <w:rPr>
                <w:rFonts w:hint="eastAsia" w:ascii="楷体_GB2312" w:eastAsia="楷体_GB2312" w:cs="楷体_GB2312"/>
                <w:b/>
                <w:color w:val="000000" w:themeColor="text1"/>
                <w:sz w:val="20"/>
                <w:szCs w:val="20"/>
                <w:highlight w:val="none"/>
                <w14:textFill>
                  <w14:solidFill>
                    <w14:schemeClr w14:val="tx1"/>
                  </w14:solidFill>
                </w14:textFill>
              </w:rPr>
              <w:t>【Y】类份额不收取浮动管理费。</w:t>
            </w:r>
          </w:p>
          <w:p w14:paraId="048B7A86">
            <w:pPr>
              <w:snapToGrid w:val="0"/>
              <w:spacing w:line="300" w:lineRule="exact"/>
              <w:ind w:left="-2" w:leftChars="-1" w:right="53" w:rightChars="22"/>
              <w:outlineLvl w:val="0"/>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t>以上1-7项费用金额均四舍五入保留小数点后【2】位。</w:t>
            </w:r>
          </w:p>
          <w:p w14:paraId="1213D97C">
            <w:pPr>
              <w:snapToGrid w:val="0"/>
              <w:spacing w:line="300" w:lineRule="exact"/>
              <w:ind w:right="53" w:rightChars="22"/>
              <w:outlineLvl w:val="0"/>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具体请参见本说明书“</w:t>
            </w:r>
            <w:r>
              <w:rPr>
                <w:rFonts w:hint="eastAsia" w:ascii="黑体" w:eastAsia="黑体" w:cs="黑体"/>
                <w:b/>
                <w:color w:val="000000" w:themeColor="text1"/>
                <w:sz w:val="20"/>
                <w:szCs w:val="20"/>
                <w:highlight w:val="none"/>
                <w14:textFill>
                  <w14:solidFill>
                    <w14:schemeClr w14:val="tx1"/>
                  </w14:solidFill>
                </w14:textFill>
              </w:rPr>
              <w:t>九、理财产品的费用</w:t>
            </w:r>
            <w:r>
              <w:rPr>
                <w:rFonts w:ascii="楷体_GB2312" w:eastAsia="楷体_GB2312" w:cs="楷体_GB2312"/>
                <w:b/>
                <w:color w:val="000000" w:themeColor="text1"/>
                <w:sz w:val="20"/>
                <w:szCs w:val="20"/>
                <w:highlight w:val="none"/>
                <w14:textFill>
                  <w14:solidFill>
                    <w14:schemeClr w14:val="tx1"/>
                  </w14:solidFill>
                </w14:textFill>
              </w:rPr>
              <w:t>”部分。</w:t>
            </w:r>
          </w:p>
          <w:p w14:paraId="330868F5">
            <w:pPr>
              <w:spacing w:line="300" w:lineRule="exact"/>
              <w:ind w:right="36" w:rightChars="15"/>
              <w:jc w:val="both"/>
              <w:rPr>
                <w:rFonts w:ascii="楷体_GB2312" w:eastAsia="楷体_GB2312" w:cs="楷体_GB2312"/>
                <w:b/>
                <w:color w:val="000000" w:themeColor="text1"/>
                <w:sz w:val="20"/>
                <w:szCs w:val="20"/>
                <w:highlight w:val="none"/>
                <w14:textFill>
                  <w14:solidFill>
                    <w14:schemeClr w14:val="tx1"/>
                  </w14:solidFill>
                </w14:textFill>
              </w:rPr>
            </w:pPr>
            <w:r>
              <w:rPr>
                <w:rFonts w:hint="eastAsia" w:ascii="楷体_GB2312" w:eastAsia="楷体_GB2312" w:cs="楷体_GB2312"/>
                <w:b/>
                <w:sz w:val="20"/>
                <w:szCs w:val="20"/>
                <w:highlight w:val="none"/>
              </w:rPr>
              <w:t>本产品可能同时在其他渠道销售，本产品收取的销售服务费可能因销售机构不同有所差异，从而导致测算的业绩比较基准有所差异，请投资者关注管理人及销售机构相关信息披露。</w:t>
            </w:r>
          </w:p>
          <w:p w14:paraId="6FCEB163">
            <w:pPr>
              <w:snapToGrid w:val="0"/>
              <w:spacing w:line="300" w:lineRule="exact"/>
              <w:ind w:right="53" w:rightChars="22"/>
              <w:outlineLvl w:val="0"/>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投资者通过代销机构购买理财产品的，代销机构收取的销售相关费用（如有）以代销机构规定为准，但不得超过上述费用标准。</w:t>
            </w:r>
          </w:p>
        </w:tc>
      </w:tr>
      <w:tr w14:paraId="7B0F3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005AA985">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理财产品</w:t>
            </w:r>
            <w:r>
              <w:rPr>
                <w:rFonts w:ascii="Times New Roman" w:eastAsia="楷体_GB2312" w:cs="楷体_GB2312"/>
                <w:color w:val="000000" w:themeColor="text1"/>
                <w:sz w:val="20"/>
                <w:szCs w:val="20"/>
                <w:highlight w:val="none"/>
                <w14:textFill>
                  <w14:solidFill>
                    <w14:schemeClr w14:val="tx1"/>
                  </w14:solidFill>
                </w14:textFill>
              </w:rPr>
              <w:t>管理人</w:t>
            </w:r>
            <w:r>
              <w:rPr>
                <w:rFonts w:hint="eastAsia" w:ascii="Times New Roman" w:eastAsia="楷体_GB2312" w:cs="楷体_GB2312"/>
                <w:color w:val="000000" w:themeColor="text1"/>
                <w:sz w:val="20"/>
                <w:szCs w:val="20"/>
                <w:highlight w:val="none"/>
                <w14:textFill>
                  <w14:solidFill>
                    <w14:schemeClr w14:val="tx1"/>
                  </w14:solidFill>
                </w14:textFill>
              </w:rPr>
              <w:t>/产品</w:t>
            </w:r>
            <w:r>
              <w:rPr>
                <w:rFonts w:ascii="Times New Roman" w:eastAsia="楷体_GB2312" w:cs="楷体_GB2312"/>
                <w:color w:val="000000" w:themeColor="text1"/>
                <w:sz w:val="20"/>
                <w:szCs w:val="20"/>
                <w:highlight w:val="none"/>
                <w14:textFill>
                  <w14:solidFill>
                    <w14:schemeClr w14:val="tx1"/>
                  </w14:solidFill>
                </w14:textFill>
              </w:rPr>
              <w:t>管理</w:t>
            </w:r>
            <w:r>
              <w:rPr>
                <w:rFonts w:hint="eastAsia" w:ascii="Times New Roman" w:eastAsia="楷体_GB2312" w:cs="楷体_GB2312"/>
                <w:color w:val="000000" w:themeColor="text1"/>
                <w:sz w:val="20"/>
                <w:szCs w:val="20"/>
                <w:highlight w:val="none"/>
                <w14:textFill>
                  <w14:solidFill>
                    <w14:schemeClr w14:val="tx1"/>
                  </w14:solidFill>
                </w14:textFill>
              </w:rPr>
              <w:t>人/管理人</w:t>
            </w:r>
            <w:r>
              <w:rPr>
                <w:rFonts w:ascii="Times New Roman" w:eastAsia="楷体_GB2312" w:cs="楷体_GB2312"/>
                <w:color w:val="000000" w:themeColor="text1"/>
                <w:sz w:val="20"/>
                <w:szCs w:val="20"/>
                <w:highlight w:val="none"/>
                <w14:textFill>
                  <w14:solidFill>
                    <w14:schemeClr w14:val="tx1"/>
                  </w14:solidFill>
                </w14:textFill>
              </w:rPr>
              <w:t>、</w:t>
            </w:r>
            <w:r>
              <w:rPr>
                <w:rFonts w:hint="eastAsia" w:ascii="Times New Roman" w:eastAsia="楷体_GB2312" w:cs="楷体_GB2312"/>
                <w:color w:val="000000" w:themeColor="text1"/>
                <w:sz w:val="20"/>
                <w:szCs w:val="20"/>
                <w:highlight w:val="none"/>
                <w14:textFill>
                  <w14:solidFill>
                    <w14:schemeClr w14:val="tx1"/>
                  </w14:solidFill>
                </w14:textFill>
              </w:rPr>
              <w:t>收益</w:t>
            </w:r>
            <w:r>
              <w:rPr>
                <w:rFonts w:ascii="Times New Roman" w:eastAsia="楷体_GB2312" w:cs="楷体_GB2312"/>
                <w:color w:val="000000" w:themeColor="text1"/>
                <w:sz w:val="20"/>
                <w:szCs w:val="20"/>
                <w:highlight w:val="none"/>
                <w14:textFill>
                  <w14:solidFill>
                    <w14:schemeClr w14:val="tx1"/>
                  </w14:solidFill>
                </w14:textFill>
              </w:rPr>
              <w:t>计算方</w:t>
            </w:r>
          </w:p>
        </w:tc>
        <w:tc>
          <w:tcPr>
            <w:tcW w:w="3740" w:type="pct"/>
            <w:vAlign w:val="center"/>
          </w:tcPr>
          <w:p w14:paraId="2A38F6CB">
            <w:pPr>
              <w:spacing w:line="300" w:lineRule="atLeast"/>
              <w:ind w:left="-2" w:right="31"/>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企业名称：【信银理财有限责任公司】</w:t>
            </w:r>
          </w:p>
          <w:p w14:paraId="73B734D5">
            <w:pPr>
              <w:spacing w:line="300" w:lineRule="atLeast"/>
              <w:ind w:left="-2" w:right="31"/>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住所：【上海市黄浦区中山东二路600号1幢35层、36层】</w:t>
            </w:r>
          </w:p>
          <w:p w14:paraId="16CBCF8D">
            <w:pPr>
              <w:spacing w:line="300" w:lineRule="atLeast"/>
              <w:ind w:left="-2" w:leftChars="0" w:right="31" w:right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客户服务热线：【950950】</w:t>
            </w:r>
          </w:p>
        </w:tc>
      </w:tr>
      <w:tr w14:paraId="7E0BD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shd w:val="clear" w:color="auto" w:fill="auto"/>
            <w:vAlign w:val="center"/>
          </w:tcPr>
          <w:p w14:paraId="5C90D0DE">
            <w:pPr>
              <w:spacing w:line="300" w:lineRule="exact"/>
              <w:ind w:left="-2" w:leftChars="-1" w:right="36" w:rightChars="15"/>
              <w:rPr>
                <w:rFonts w:hint="eastAsia" w:ascii="Times New Roman" w:hAnsi="宋体" w:eastAsia="楷体_GB2312" w:cs="楷体_GB2312"/>
                <w:color w:val="000000" w:themeColor="text1"/>
                <w:sz w:val="20"/>
                <w:szCs w:val="20"/>
                <w:highlight w:val="none"/>
                <w:lang w:val="en-US" w:eastAsia="zh-CN" w:bidi="ar-SA"/>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管理人主要职责</w:t>
            </w:r>
          </w:p>
        </w:tc>
        <w:tc>
          <w:tcPr>
            <w:tcW w:w="3740" w:type="pct"/>
            <w:shd w:val="clear" w:color="auto" w:fill="auto"/>
            <w:vAlign w:val="center"/>
          </w:tcPr>
          <w:p w14:paraId="786DC71C">
            <w:pPr>
              <w:numPr>
                <w:ilvl w:val="0"/>
                <w:numId w:val="3"/>
              </w:numPr>
              <w:spacing w:line="300" w:lineRule="atLeast"/>
              <w:ind w:left="425" w:right="31" w:hanging="425"/>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依法募集资金，办理产品份额的发售和登记事宜；</w:t>
            </w:r>
          </w:p>
          <w:p w14:paraId="5D6703E1">
            <w:pPr>
              <w:numPr>
                <w:ilvl w:val="0"/>
                <w:numId w:val="3"/>
              </w:numPr>
              <w:spacing w:line="300" w:lineRule="atLeast"/>
              <w:ind w:left="425" w:right="31" w:hanging="425"/>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办理产品登记备案或者注册手续；</w:t>
            </w:r>
          </w:p>
          <w:p w14:paraId="7BDE41CB">
            <w:pPr>
              <w:numPr>
                <w:ilvl w:val="0"/>
                <w:numId w:val="3"/>
              </w:numPr>
              <w:spacing w:line="300" w:lineRule="atLeast"/>
              <w:ind w:left="425" w:right="31" w:hanging="425"/>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对所管理的不同产品受托财产分别管理、分别记账，进行投资；</w:t>
            </w:r>
          </w:p>
          <w:p w14:paraId="4BF702AE">
            <w:pPr>
              <w:numPr>
                <w:ilvl w:val="0"/>
                <w:numId w:val="3"/>
              </w:numPr>
              <w:spacing w:line="300" w:lineRule="atLeast"/>
              <w:ind w:left="425" w:right="31" w:hanging="425"/>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按照产品合同的约定确定收益分配方案，及时向投资者分配收益；</w:t>
            </w:r>
          </w:p>
          <w:p w14:paraId="258E0354">
            <w:pPr>
              <w:numPr>
                <w:ilvl w:val="0"/>
                <w:numId w:val="3"/>
              </w:numPr>
              <w:spacing w:line="300" w:lineRule="atLeast"/>
              <w:ind w:left="425" w:right="31" w:hanging="425"/>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进行产品会计核算并编制产品财务会计报告；</w:t>
            </w:r>
          </w:p>
          <w:p w14:paraId="4658768D">
            <w:pPr>
              <w:numPr>
                <w:ilvl w:val="0"/>
                <w:numId w:val="3"/>
              </w:numPr>
              <w:spacing w:line="300" w:lineRule="atLeast"/>
              <w:ind w:left="425" w:right="31" w:hanging="425"/>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依法计算并披露产品净值或者投资收益情况，确定申购、赎回价格；</w:t>
            </w:r>
          </w:p>
          <w:p w14:paraId="335BC975">
            <w:pPr>
              <w:numPr>
                <w:ilvl w:val="0"/>
                <w:numId w:val="3"/>
              </w:numPr>
              <w:spacing w:line="300" w:lineRule="atLeast"/>
              <w:ind w:left="425" w:right="31" w:hanging="425"/>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办理与受托财产管理业务活动有关的信息披露事项；</w:t>
            </w:r>
          </w:p>
          <w:p w14:paraId="4156FF0B">
            <w:pPr>
              <w:numPr>
                <w:ilvl w:val="0"/>
                <w:numId w:val="3"/>
              </w:numPr>
              <w:spacing w:line="300" w:lineRule="atLeast"/>
              <w:ind w:left="425" w:right="31" w:hanging="425"/>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保存受托财产管理业务活动的记录、账册、报表和其他相关资料；</w:t>
            </w:r>
          </w:p>
          <w:p w14:paraId="473B81A1">
            <w:pPr>
              <w:numPr>
                <w:ilvl w:val="0"/>
                <w:numId w:val="3"/>
              </w:numPr>
              <w:spacing w:line="300" w:lineRule="atLeast"/>
              <w:ind w:left="425" w:right="31" w:hanging="425"/>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以管理人名义，代表投资者利益行使诉讼权利或者实施其他法律行为；</w:t>
            </w:r>
          </w:p>
          <w:p w14:paraId="7DD14248">
            <w:pPr>
              <w:numPr>
                <w:ilvl w:val="0"/>
                <w:numId w:val="3"/>
              </w:numPr>
              <w:spacing w:line="300" w:lineRule="atLeast"/>
              <w:ind w:left="425" w:right="31" w:hanging="425"/>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在兑付受托资金及收益时，应当保证受托资金及收益返回委托人的原账户、同名账户或者合同约定的受益人账户；</w:t>
            </w:r>
          </w:p>
          <w:p w14:paraId="5870FBDB">
            <w:pPr>
              <w:numPr>
                <w:ilvl w:val="0"/>
                <w:numId w:val="3"/>
              </w:numPr>
              <w:spacing w:line="300" w:lineRule="atLeast"/>
              <w:ind w:left="425" w:right="31" w:rightChars="0" w:hanging="425"/>
              <w:rPr>
                <w:rFonts w:hint="eastAsia" w:ascii="楷体_GB2312" w:hAnsi="宋体" w:eastAsia="楷体_GB2312" w:cs="楷体_GB2312"/>
                <w:color w:val="000000" w:themeColor="text1"/>
                <w:sz w:val="20"/>
                <w:szCs w:val="20"/>
                <w:highlight w:val="none"/>
                <w:lang w:val="en-US" w:eastAsia="zh-CN" w:bidi="ar-SA"/>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国家金融监督管理总局</w:t>
            </w:r>
            <w:r>
              <w:rPr>
                <w:rFonts w:hint="eastAsia" w:ascii="楷体_GB2312" w:eastAsia="楷体_GB2312" w:cs="楷体_GB2312"/>
                <w:color w:val="000000" w:themeColor="text1"/>
                <w:sz w:val="20"/>
                <w:szCs w:val="20"/>
                <w:highlight w:val="none"/>
                <w14:textFill>
                  <w14:solidFill>
                    <w14:schemeClr w14:val="tx1"/>
                  </w14:solidFill>
                </w14:textFill>
              </w:rPr>
              <w:t>规定的其他职责。</w:t>
            </w:r>
          </w:p>
        </w:tc>
      </w:tr>
      <w:tr w14:paraId="163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1C6B8663">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销售机构</w:t>
            </w:r>
          </w:p>
        </w:tc>
        <w:tc>
          <w:tcPr>
            <w:tcW w:w="3740" w:type="pct"/>
            <w:vAlign w:val="center"/>
          </w:tcPr>
          <w:p w14:paraId="10B3CE33">
            <w:pPr>
              <w:spacing w:line="300" w:lineRule="atLeast"/>
              <w:ind w:right="31"/>
              <w:rPr>
                <w:rFonts w:hint="eastAsia"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【B】类份额（份额代码【AF251526B】）合作销售机构信息：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1.企业名称：【南京银行股份有限公司】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住所：【南京市建邺区江山大街88号】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客户服务热线：【025-95302】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2</w:t>
            </w:r>
            <w:r>
              <w:rPr>
                <w:rFonts w:hint="eastAsia" w:ascii="楷体_GB2312" w:eastAsia="楷体_GB2312" w:cs="楷体_GB2312"/>
                <w:color w:val="000000" w:themeColor="text1"/>
                <w:sz w:val="20"/>
                <w:szCs w:val="20"/>
                <w:highlight w:val="none"/>
                <w14:textFill>
                  <w14:solidFill>
                    <w14:schemeClr w14:val="tx1"/>
                  </w14:solidFill>
                </w14:textFill>
              </w:rPr>
              <w:t>.企业名称：【江苏扬州农村商业银行股份有限公司】</w:t>
            </w:r>
          </w:p>
          <w:p w14:paraId="574E2D23">
            <w:pPr>
              <w:spacing w:line="300" w:lineRule="atLeast"/>
              <w:ind w:right="31"/>
              <w:rPr>
                <w:rFonts w:hint="eastAsia"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住所：【江苏省扬州市同泰路107号】</w:t>
            </w:r>
          </w:p>
          <w:p w14:paraId="2FB63C01">
            <w:pPr>
              <w:spacing w:line="300" w:lineRule="atLeast"/>
              <w:ind w:right="31"/>
              <w:rPr>
                <w:rFonts w:ascii="楷体_GB2312" w:eastAsia="楷体_GB2312" w:cs="楷体_GB2312"/>
                <w:sz w:val="20"/>
                <w:szCs w:val="20"/>
                <w:highlight w:val="none"/>
              </w:rPr>
            </w:pPr>
            <w:r>
              <w:rPr>
                <w:rFonts w:hint="eastAsia" w:ascii="楷体_GB2312" w:eastAsia="楷体_GB2312" w:cs="楷体_GB2312"/>
                <w:color w:val="000000" w:themeColor="text1"/>
                <w:sz w:val="20"/>
                <w:szCs w:val="20"/>
                <w:highlight w:val="none"/>
                <w14:textFill>
                  <w14:solidFill>
                    <w14:schemeClr w14:val="tx1"/>
                  </w14:solidFill>
                </w14:textFill>
              </w:rPr>
              <w:t>客户服务热线：【96008】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3.企业名称：【江苏涟水农村商业银行股份有限公司】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住所：【淮安市涟水县涟城镇涟州路５号】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客户服务热线：【0517-96008】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4.企业名称：【江苏江南农村商业银行股份有限公司】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住所：【江苏省常州市武进区延政中路9号】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客户服务热线：【0519-96005】</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5.企业名称：【福建海峡银行股份有限公司】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住所：【福建省福州市台江区江滨中大道358号海峡银行大厦】</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客户服务热线：【4008939999】</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6.企业名称：【信银理财有限责任公司】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住所：【上海市黄浦区中山东二路600号1幢35层、36层】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客户服务热线：【950950】</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7.企业名称：【中原银行股份有限公司】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住所：【河南省郑州市郑东新区金融岛外环路9号】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客户服务热线：【95186】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8.企业名称：【江苏银行股份有限公司】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住所：【江苏省南京市中华路26号】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客户服务热线：【95319】</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9.企业名称：【北京银行股份有限公司】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住所：【北京市西城区金融大街甲17号首层】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客户服务热线：【95526】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10.企业名称：【江苏苏州农村商业银行股份有限公司】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住所：【江苏省苏州市吴江区中山南路1777号】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客户服务热线：【956111】</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 xml:space="preserve"> </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【G】类份额（份额代码【AF251526G】）合作销售机构信息：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1.企业名称：【江苏溧水农村商业银行股份有限公司】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住所：【南京市溧水区永阳街道中山路22号】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客户服务热线：【025-96008】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2.企业名称：【江苏高淳农村商业银行股份有限公司】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住所：【江苏省南京市高淳区宝塔路123号】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客户服务热线：【025-96008】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3.企业名称：【苏州银行股份有限公司】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住所：【江苏省苏州工业园区钟园路728号苏州银行大厦】</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客户服务热线：【0512-96067】</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4.企业名称：【江苏如皋农村商业银行股份有限公司】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住所：【江苏省如皋市如城街道海阳南路 999 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客户服务热线：【0513-96008】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5.企业名称：【江苏高邮农村商业银行股份有限公司】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住所：【高邮市文游中路28号】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客户服务热线：【0514-96008】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6.企业名称：【江苏东台农村商业银行股份有限公司】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住所：【东台市东城大道10号】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客户服务热线：【0515-96008】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7.企业名称：【江苏建湖农村商业银行股份有限公司】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住所：【江苏省建湖县湖南中路958号】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客户服务热线：【0515-96008】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8.企业名称：【江苏大丰农村商业银行股份有限公司】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住所：【江苏省盐城市大丰区常新中路9号】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客户服务热线：【0515-96008】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9.企业名称：【江苏阜宁农村商业银行股份有限公司】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住所：【江苏省阜宁县城南新区上海路459号】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客户服务热线：【0515-96008】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10.企业名称：【江苏盐城农村商业银行股份有限公司】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住所：【江苏省盐城市盐南高新区新都西路8号】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客户服务热线：【051588880000】</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11.企业名称：【江苏灌南农村商业银行股份有限公司】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住所：【江苏省连云港市灌南县人民路29号】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客户服务热线：【0518-96008】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12.企业名称：【江苏赣榆农村商业银行股份有限公司】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住所：【连云港市赣榆区黄海东路304号】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客户服务热线：【0518-96008】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13.企业名称：【江苏江南农村商业银行股份有限公司】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住所：【江苏省常州市武进区延政中路9号】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客户服务热线：【0519-96005】</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14.企业名称：【江苏泰兴农村商业银行股份有限公司】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住所：【江苏省泰兴市国庆东路166号】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客户服务热线：【0523-96008】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15.企业名称：【江苏泰州农村商业银行股份有限公司】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住所：【江苏省泰州市海陵区西仓路36号】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客户服务热线：【0523-96008】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16.企业名称：【浙江东阳农村商业银行股份有限公司】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住所：【东阳市双岘路18号】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17.企业名称：【浙江乐清农村商业银行股份有限公司】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住所：【乐清市城南街道伯乐西路99号】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18.企业名称：【宁波余姚农村商业银行股份有限公司】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住所：【余姚市新建路69号】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19.企业名称：【宁波镇海农村商业银行股份有限公司】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住所：【宁波市镇海区骆驼街道镇海大道中段788号】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20.企业名称：【宁波宁海农村商业银行股份有限公司】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住所：【宁海县跃龙街道学勉路1号（金融中心）】</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21.企业名称：【浙江丽水莲都农村商业银行股份有限公司】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住所：【浙江丽水市解放街438号】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22.企业名称：【浙江三门农村商业银行股份有限公司】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住所：【浙江省三门县海游街道上洋路68号】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23.企业名称：【浙江衢州柯城农村商业银行股份有限公司】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住所：【浙江省上街92号】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24.企业名称：【浙江云和农村商业银行股份有限公司】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住所：【浙江省丽水市云和县浮云街道新建路72号】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25.企业名称：【浙江庆元农村商业银行股份有限公司】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住所：【浙江省丽水市庆元县濛洲街道云鹤路3号】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26.企业名称：【浙江景宁农村商业银行股份有限公司】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住所：【浙江省丽水市景宁畲族自治县红星街道人民中路201号】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27.企业名称：【浙江松阳农村商业银行股份有限公司】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住所：【浙江省丽水市松阳县水南街道要津南路71号】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28.企业名称：【浙江缙云农村商业银行股份有限公司】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住所：【浙江省丽水市缙云县五云镇新区仙都路68号】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29.企业名称：【浙江遂昌农村商业银行股份有限公司】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住所：【浙江省丽水市遂昌县妙高街道溪边路100号】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30.企业名称：【浙江龙泉农村商业银行股份有限公司】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住所：【浙江省丽水市龙泉市中山东路101号】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31.企业名称：【浙江义乌农村商业银行股份有限公司】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住所：【浙江省义乌市福田街道城北路677号】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32.企业名称：【浙江仙居农村商业银行股份有限公司】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住所：【浙江省仙居县南峰街道穿城中路21号】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33.企业名称：【浙江兰溪农村商业银行股份有限公司】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住所：【浙江省兰溪市兰江街道丹溪大道18号】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34.企业名称：【浙江临海农村商业银行股份有限公司】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住所：【浙江省台州市临海市大洋街道河阳路299号】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35.企业名称：【浙江台州椒江农村商业银行股份有限公司】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住所：【浙江省台州市椒江区工人东路322号】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36.企业名称：【浙江温岭农村商业银行股份有限公司】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住所：【浙江省台州市温岭市城东街道下保路100号】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37.企业名称：【浙江台州路桥农村商业银行股份有限公司】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住所：【浙江省台州市路桥区西路桥大道328号】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38.企业名称：【浙江台州黄岩农村商业银行股份有限公司】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住所：【浙江省台州市黄岩区洞天路88号】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39.企业名称：【浙江嘉善农村商业银行股份有限公司】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住所：【浙江省嘉兴市嘉善县罗星街道车站南路999号】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40.企业名称：【浙江桐乡农村商业银行股份有限公司】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住所：【浙江省嘉兴市桐乡市梧桐街道校场东路59号】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41.企业名称：【浙江禾城农村商业银行股份有限公司】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住所：【浙江省嘉兴市经济技术开发区文昌路1229号】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42.企业名称：【浙江天台农村商业银行股份有限公司】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住所：【浙江省天台县赤城街道飞鹤路358号】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43.企业名称：【宁波北仑农村商业银行股份有限公司】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住所：【浙江省宁波市北仑区新碶宝山路69号（凤凰国际商务广场）1幢69号、63号（凤凰国际商务广场）1幢（2-26层）】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44.企业名称：【宁波奉化农村商业银行股份有限公司】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住所：【浙江省宁波市奉化区锦屏街道中山路27号】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45.企业名称：【宁波甬城农村商业银行股份有限公司】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住所：【浙江省宁波市江北区育才路15、17号】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46.企业名称：【浙江嵊州农村商业银行股份有限公司】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住所：【浙江省嵊州市剡湖街道官河路398号】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47.企业名称：【浙江嵊泗农村商业银行股份有限公司】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住所：【浙江省嵊泗县菜园镇沙河路110号】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48.企业名称：【浙江平湖农村商业银行股份有限公司】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住所：【浙江省平湖市当湖街道胜利路518号】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49.企业名称：【浙江平阳农村商业银行股份有限公司】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住所：【浙江省平阳县鳌江镇车站大道999号】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50.企业名称：【浙江建德农村商业银行股份有限公司】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住所：【浙江省建德市新安江街道江滨中路176号】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51.企业名称：【浙江德清农村商业银行股份有限公司】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住所：【浙江省德清县武康街道沈长圩街50号】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52.企业名称：【宁波慈溪农村商业银行股份有限公司】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住所：【浙江省慈溪市浒山街道南城路 25 号、59 号 5-6 楼】</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53.企业名称：【浙江新昌农村商业银行股份有限公司】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住所：【浙江省新昌县七星街道七星路18号】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54.企业名称：【杭州联合农村商业银行股份有限公司】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住所：【浙江省杭州市上城区建国中路99号】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55.企业名称：【浙江临安农村商业银行股份有限公司】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住所：【浙江省杭州市临安区锦城街道城中街442号】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56.企业名称：【浙江杭州余杭农村商业银行股份有限公司】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住所：【浙江省杭州市临平区南苑街道南大街72号】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57.企业名称：【浙江富阳农村商业银行股份有限公司】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住所：【浙江省杭州市富阳区鹿山街道依江路501号第1幢】</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58.企业名称：【浙江桐庐农村商业银行股份有限公司】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住所：【浙江省杭州市桐庐县城迎春南路278号】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59.企业名称：【浙江淳安农村商业银行股份有限公司】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住所：【浙江省杭州市淳安县千岛湖镇环湖北路369号】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60.企业名称：【浙江萧山农村商业银行股份有限公司】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住所：【浙江省杭州市萧山区人民路258号】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61.企业名称：【浙江武义农村商业银行股份有限公司】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住所：【浙江省武义县城武阳中路37号】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62.企业名称：【浙江江山农村商业银行股份有限公司】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住所：【浙江省江山市双塔街道江滨路188号】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63.企业名称：【浙江浦江农村商业银行股份有限公司】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住所：【浙江省浦江县人民东路90号】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64.企业名称：【浙江海宁农村商业银行股份有限公司】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住所：【浙江省海宁市海洲街道钱江西路278号】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65.企业名称：【浙江海盐农村商业银行股份有限公司】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住所：【浙江省海盐县武原街道枣园西路176号】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66.企业名称：【浙江文成农村商业银行股份有限公司】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住所：【浙江省温州市文成县大峃镇伯温路6号】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67.企业名称：【浙江永嘉农村商业银行股份有限公司】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住所：【浙江省温州市永嘉县瓯北街道阳光大道3918号101室、201室、301室、401室、501室、1101室、1801室、2201室】</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68.企业名称：【浙江泰顺农村商业银行股份有限公司】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住所：【浙江省温州市泰顺县罗阳镇新城区文祥大道181号】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69.企业名称：【浙江温州瓯海农村商业银行股份有限公司】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住所：【浙江省温州市瓯海区瓯海大道989号】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70.企业名称：【浙江温州鹿城农村商业银行股份有限公司】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住所：【浙江省温州市鹿城区会展路1500号富银大厦】</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71.企业名称：【浙江温州龙湾农村商业银行股份有限公司】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住所：【浙江省温州市龙湾区永中街道永宁西路555号】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72.企业名称：【湖州吴兴农村商业银行股份有限公司】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住所：【浙江省湖州市东街55号】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73.企业名称：【浙江南浔农村商业银行股份有限公司】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住所：【浙江省湖州市南浔区南浔镇人瑞路1188号】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74.企业名称：【浙江安吉农村商业银行股份有限公司】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住所：【浙江省湖州市安吉县昌硕街道昌硕东路1号(自主申报)】</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75.企业名称：【浙江长兴农村商业银行股份有限公司】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住所：【浙江省湖州市长兴县太湖街道明珠路1298号】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76.企业名称：【浙江玉环农村商业银行股份有限公司】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住所：【浙江省玉环市玉城街道珠港大道26号】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77.企业名称：【浙江上虞农村商业银行股份有限公司】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住所：【浙江省百官街道德盛路55号】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78.企业名称：【浙江绍兴恒信农村商业银行股份有限公司】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住所：【浙江省绍兴市中兴中路159号】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79.企业名称：【浙江绍兴瑞丰农村商业银行股份有限公司】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住所：【浙江省绍兴市柯桥区柯桥笛扬路1363号】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80.企业名称：【浙江舟山定海海洋农村商业银行股份有限公司】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住所：【浙江省舟山市定海区环城东路81号】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81.企业名称：【浙江岱山农村商业银行股份有限公司】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住所：【浙江省舟山市岱山县高亭镇衢山大道1009号(自主申报)】</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82.企业名称：【浙江舟山普陀农村商业银行股份有限公司】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住所：【浙江省舟山市普陀区东港街道麒麟街225号（自贸试验区内）】</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83.企业名称：【浙江苍南农村商业银行股份有限公司】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住所：【浙江省苍南县灵溪镇人民大道425号】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84.企业名称：【浙江常山农村商业银行股份有限公司】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住所：【浙江省衢州市常山县天马街道人民路125号】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85.企业名称：【浙江开化农村商业银行股份有限公司】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住所：【浙江省衢州市开化县华埠镇永吉二路8号】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86.企业名称：【浙江衢州衢江农村商业银行股份有限公司】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住所：【浙江省衢州市衢江区樟潭街道信安东路37号】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87.企业名称：【浙江龙游农村商业银行股份有限公司】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住所：【浙江省衢州市龙游县龙洲街道荣昌大道683、685、687号】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88.企业名称：【浙江诸暨农村商业银行股份有限公司】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住所：【浙江省诸暨市暨阳街道大桥东路2号】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89.企业名称：【浙江金华成泰农村商业银行股份有限公司】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住所：【浙江省金华市八一南街123号】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90.企业名称：【浙江永康农村商业银行股份有限公司】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住所：【浙江省金华市永康市九铃东路3259号】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91.企业名称：【浙江青田农村商业银行股份有限公司】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住所：【浙江省青田县鹤城街道鹤城东路180号】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92.企业名称：【浙江瑞安农村商业银行股份有限公司】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住所：【瑞安市安阳街道万松东路148号】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93.企业名称：【内蒙古银行股份有限公司】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住所：【内蒙古自治区呼和浩特市赛罕区腾飞南路33号】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客户服务热线：【40005-96019】</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94.企业名称：【徽商银行股份有限公司】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住所：【安徽省合肥市云谷路1699号徽银大厦】</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客户服务热线：【40088-96588】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95.企业名称：【信银理财有限责任公司】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住所：【上海市黄浦区中山东二路600号1幢35层、36层】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客户服务热线：【950950】</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96.企业名称：【台州银行股份有限公司】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住所：【浙江省台州市路桥区南官大道92号】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客户服务热线：【95371】</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97.企业名称：【宁波银行股份有限公司】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住所：【浙江省宁波市鄞州区宁东路345号】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客户服务热线：【95574】</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98.企业名称：【上海银行股份有限公司】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住所：【上海市黄浦区中山南路688号】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客户服务热线：【95594】</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99.企业名称：【江苏紫金农村商业银行股份有限公司】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住所：【南京市建邺区江东中路381号】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100.企业名称：【徐州农村商业银行股份有限公司】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住所：【徐州市铜山区北京南路26号】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101.企业名称：【江苏宜兴农村商业银行股份有限公司】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住所：【江苏省宜兴市宜城街道解放东路579号】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102.企业名称：【江苏淮安农村商业银行股份有限公司】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住所：【江苏省淮安市清江浦区水渡口大道20号金融中心B1号楼】</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103.企业名称：【江苏靖江农村商业银行股份有限公司】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住所：【江苏省靖江市南环西路12号】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104.企业名称：【江苏姜堰农村商业银行股份有限公司】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住所：【泰州市姜堰区姜堰大道128号】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105.企业名称：【江苏兴化农村商业银行股份有限公司】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住所：【江苏省兴化市长安南路999号】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客户服务热线：【96028】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106.企业名称：【广发银行股份有限公司】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住所：【广州市越秀区东风东路713号】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客户服务热线：【400-830-8003】</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关联关系情况：【广发银行股份有限公司】系信银理财实际控制人施加重大影响的法人，与信银理财具有关联关系。信银理财委托【广发银行股份有限公司】销售本理财产品，存在关联交易风险，请投资者仔细阅读理财产品说明书中相应风险揭示部分。</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 xml:space="preserve"> </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【H】类份额（份额代码【AF251526H】）合作销售机构信息：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1.企业名称：【江苏扬中农村商业银行股份有限公司】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住所：【扬中市扬子西路79号】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客户服务热线：【0511-96008】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2.企业名称：【江苏句容农村商业银行股份有限公司】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住所：【江苏省句容市福地东路66号】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客户服务热线：【0511-96008】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3.企业名称：【江苏如东农村商业银行股份有限公司】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住所：【江苏省如东县掘港镇钟山路66号】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客户服务热线：【0513-96008】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4.企业名称：【江苏仪征农村商业银行股份有限公司】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住所：【江苏省仪征市真州镇解放东路 818 号金融集聚区 1 座 801811，901-911，1001-1011，2 座 101】</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客户服务热线：【0514-96008】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5.企业名称：【江苏宝应农村商业银行股份有限公司】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住所：【江苏省宝应县文津路1号】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客户服务热线：【0514-96008】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6.企业名称：【江苏射阳农村商业银行股份有限公司】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住所：【江苏省盐城市射阳县合德镇解放路385号】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客户服务热线：【0515-69966666】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7.企业名称：【江苏滨海农村商业银行股份有限公司】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住所：【滨海县城迎宾中路1号】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客户服务热线：【0515-96008】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8.企业名称：【江苏泗阳农村商业银行股份有限公司】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住所：【宿迁市泗阳县众兴镇北京中路21号】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客户服务热线：【0527-96008】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9.企业名称：【江苏泗洪农村商业银行股份有限公司】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住所：【江苏省宿迁市泗洪县长江东路17号】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客户服务热线：【0527-96008】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10.企业名称：【浙江东阳农村商业银行股份有限公司】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住所：【东阳市双岘路18号】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11.企业名称：【浙江乐清农村商业银行股份有限公司】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住所：【乐清市城南街道伯乐西路99号】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12.企业名称：【宁波余姚农村商业银行股份有限公司】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住所：【余姚市新建路69号】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13.企业名称：【宁波镇海农村商业银行股份有限公司】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住所：【宁波市镇海区骆驼街道镇海大道中段788号】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14.企业名称：【宁波宁海农村商业银行股份有限公司】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住所：【宁海县跃龙街道学勉路1号（金融中心）】</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15.企业名称：【浙江丽水莲都农村商业银行股份有限公司】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住所：【浙江丽水市解放街438号】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16.企业名称：【浙江三门农村商业银行股份有限公司】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住所：【浙江省三门县海游街道上洋路68号】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17.企业名称：【浙江衢州柯城农村商业银行股份有限公司】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住所：【浙江省上街92号】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18.企业名称：【浙江云和农村商业银行股份有限公司】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住所：【浙江省丽水市云和县浮云街道新建路72号】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19.企业名称：【浙江庆元农村商业银行股份有限公司】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住所：【浙江省丽水市庆元县濛洲街道云鹤路3号】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20.企业名称：【浙江景宁农村商业银行股份有限公司】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住所：【浙江省丽水市景宁畲族自治县红星街道人民中路201号】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21.企业名称：【浙江松阳农村商业银行股份有限公司】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住所：【浙江省丽水市松阳县水南街道要津南路71号】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22.企业名称：【浙江缙云农村商业银行股份有限公司】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住所：【浙江省丽水市缙云县五云镇新区仙都路68号】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23.企业名称：【浙江遂昌农村商业银行股份有限公司】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住所：【浙江省丽水市遂昌县妙高街道溪边路100号】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24.企业名称：【浙江龙泉农村商业银行股份有限公司】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住所：【浙江省丽水市龙泉市中山东路101号】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25.企业名称：【浙江义乌农村商业银行股份有限公司】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住所：【浙江省义乌市福田街道城北路677号】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26.企业名称：【浙江仙居农村商业银行股份有限公司】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住所：【浙江省仙居县南峰街道穿城中路21号】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27.企业名称：【浙江兰溪农村商业银行股份有限公司】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住所：【浙江省兰溪市兰江街道丹溪大道18号】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28.企业名称：【浙江临海农村商业银行股份有限公司】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住所：【浙江省台州市临海市大洋街道河阳路299号】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29.企业名称：【浙江台州椒江农村商业银行股份有限公司】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住所：【浙江省台州市椒江区工人东路322号】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30.企业名称：【浙江温岭农村商业银行股份有限公司】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住所：【浙江省台州市温岭市城东街道下保路100号】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31.企业名称：【浙江台州路桥农村商业银行股份有限公司】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住所：【浙江省台州市路桥区西路桥大道328号】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32.企业名称：【浙江台州黄岩农村商业银行股份有限公司】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住所：【浙江省台州市黄岩区洞天路88号】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33.企业名称：【浙江嘉善农村商业银行股份有限公司】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住所：【浙江省嘉兴市嘉善县罗星街道车站南路999号】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34.企业名称：【浙江桐乡农村商业银行股份有限公司】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住所：【浙江省嘉兴市桐乡市梧桐街道校场东路59号】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35.企业名称：【浙江禾城农村商业银行股份有限公司】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住所：【浙江省嘉兴市经济技术开发区文昌路1229号】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36.企业名称：【浙江天台农村商业银行股份有限公司】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住所：【浙江省天台县赤城街道飞鹤路358号】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37.企业名称：【宁波北仑农村商业银行股份有限公司】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住所：【浙江省宁波市北仑区新碶宝山路69号（凤凰国际商务广场）1幢69号、63号（凤凰国际商务广场）1幢（2-26层）】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38.企业名称：【宁波奉化农村商业银行股份有限公司】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住所：【浙江省宁波市奉化区锦屏街道中山路27号】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39.企业名称：【宁波甬城农村商业银行股份有限公司】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住所：【浙江省宁波市江北区育才路15、17号】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40.企业名称：【浙江嵊州农村商业银行股份有限公司】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住所：【浙江省嵊州市剡湖街道官河路398号】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41.企业名称：【浙江嵊泗农村商业银行股份有限公司】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住所：【浙江省嵊泗县菜园镇沙河路110号】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42.企业名称：【浙江平湖农村商业银行股份有限公司】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住所：【浙江省平湖市当湖街道胜利路518号】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43.企业名称：【浙江平阳农村商业银行股份有限公司】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住所：【浙江省平阳县鳌江镇车站大道999号】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44.企业名称：【浙江建德农村商业银行股份有限公司】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住所：【浙江省建德市新安江街道江滨中路176号】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45.企业名称：【浙江德清农村商业银行股份有限公司】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住所：【浙江省德清县武康街道沈长圩街50号】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46.企业名称：【宁波慈溪农村商业银行股份有限公司】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住所：【浙江省慈溪市浒山街道南城路 25 号、59 号 5-6 楼】</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47.企业名称：【浙江新昌农村商业银行股份有限公司】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住所：【浙江省新昌县七星街道七星路18号】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48.企业名称：【杭州联合农村商业银行股份有限公司】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住所：【浙江省杭州市上城区建国中路99号】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49.企业名称：【浙江临安农村商业银行股份有限公司】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住所：【浙江省杭州市临安区锦城街道城中街442号】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50.企业名称：【浙江杭州余杭农村商业银行股份有限公司】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住所：【浙江省杭州市临平区南苑街道南大街72号】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51.企业名称：【浙江富阳农村商业银行股份有限公司】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住所：【浙江省杭州市富阳区鹿山街道依江路501号第1幢】</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52.企业名称：【浙江桐庐农村商业银行股份有限公司】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住所：【浙江省杭州市桐庐县城迎春南路278号】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53.企业名称：【浙江淳安农村商业银行股份有限公司】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住所：【浙江省杭州市淳安县千岛湖镇环湖北路369号】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54.企业名称：【浙江萧山农村商业银行股份有限公司】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住所：【浙江省杭州市萧山区人民路258号】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55.企业名称：【浙江武义农村商业银行股份有限公司】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住所：【浙江省武义县城武阳中路37号】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56.企业名称：【浙江江山农村商业银行股份有限公司】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住所：【浙江省江山市双塔街道江滨路188号】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57.企业名称：【浙江浦江农村商业银行股份有限公司】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住所：【浙江省浦江县人民东路90号】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58.企业名称：【浙江海宁农村商业银行股份有限公司】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住所：【浙江省海宁市海洲街道钱江西路278号】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59.企业名称：【浙江海盐农村商业银行股份有限公司】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住所：【浙江省海盐县武原街道枣园西路176号】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60.企业名称：【浙江文成农村商业银行股份有限公司】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住所：【浙江省温州市文成县大峃镇伯温路6号】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61.企业名称：【浙江永嘉农村商业银行股份有限公司】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住所：【浙江省温州市永嘉县瓯北街道阳光大道3918号101室、201室、301室、401室、501室、1101室、1801室、2201室】</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62.企业名称：【浙江泰顺农村商业银行股份有限公司】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住所：【浙江省温州市泰顺县罗阳镇新城区文祥大道181号】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63.企业名称：【浙江温州瓯海农村商业银行股份有限公司】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住所：【浙江省温州市瓯海区瓯海大道989号】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64.企业名称：【浙江温州鹿城农村商业银行股份有限公司】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住所：【浙江省温州市鹿城区会展路1500号富银大厦】</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65.企业名称：【浙江温州龙湾农村商业银行股份有限公司】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住所：【浙江省温州市龙湾区永中街道永宁西路555号】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66.企业名称：【湖州吴兴农村商业银行股份有限公司】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住所：【浙江省湖州市东街55号】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67.企业名称：【浙江南浔农村商业银行股份有限公司】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住所：【浙江省湖州市南浔区南浔镇人瑞路1188号】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68.企业名称：【浙江安吉农村商业银行股份有限公司】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住所：【浙江省湖州市安吉县昌硕街道昌硕东路1号(自主申报)】</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69.企业名称：【浙江长兴农村商业银行股份有限公司】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住所：【浙江省湖州市长兴县太湖街道明珠路1298号】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70.企业名称：【浙江玉环农村商业银行股份有限公司】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住所：【浙江省玉环市玉城街道珠港大道26号】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71.企业名称：【浙江上虞农村商业银行股份有限公司】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住所：【浙江省百官街道德盛路55号】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72.企业名称：【浙江绍兴恒信农村商业银行股份有限公司】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住所：【浙江省绍兴市中兴中路159号】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73.企业名称：【浙江绍兴瑞丰农村商业银行股份有限公司】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住所：【浙江省绍兴市柯桥区柯桥笛扬路1363号】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74.企业名称：【浙江舟山定海海洋农村商业银行股份有限公司】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住所：【浙江省舟山市定海区环城东路81号】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75.企业名称：【浙江岱山农村商业银行股份有限公司】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住所：【浙江省舟山市岱山县高亭镇衢山大道1009号(自主申报)】</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76.企业名称：【浙江舟山普陀农村商业银行股份有限公司】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住所：【浙江省舟山市普陀区东港街道麒麟街225号（自贸试验区内）】</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77.企业名称：【浙江苍南农村商业银行股份有限公司】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住所：【浙江省苍南县灵溪镇人民大道425号】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78.企业名称：【浙江常山农村商业银行股份有限公司】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住所：【浙江省衢州市常山县天马街道人民路125号】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79.企业名称：【浙江开化农村商业银行股份有限公司】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住所：【浙江省衢州市开化县华埠镇永吉二路8号】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80.企业名称：【浙江衢州衢江农村商业银行股份有限公司】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住所：【浙江省衢州市衢江区樟潭街道信安东路37号】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81.企业名称：【浙江龙游农村商业银行股份有限公司】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住所：【浙江省衢州市龙游县龙洲街道荣昌大道683、685、687号】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82.企业名称：【浙江诸暨农村商业银行股份有限公司】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住所：【浙江省诸暨市暨阳街道大桥东路2号】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83.企业名称：【浙江金华成泰农村商业银行股份有限公司】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住所：【浙江省金华市八一南街123号】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84.企业名称：【浙江永康农村商业银行股份有限公司】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住所：【浙江省金华市永康市九铃东路3259号】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85.企业名称：【浙江青田农村商业银行股份有限公司】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住所：【浙江省青田县鹤城街道鹤城东路180号】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86.企业名称：【浙江瑞安农村商业银行股份有限公司】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住所：【瑞安市安阳街道万松东路148号】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87.企业名称：【青海银行股份有限公司】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住所：【青海省西宁市城西区西关大街130号2号楼】</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客户服务热线：【0971-96399】</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88.企业名称：【信银理财有限责任公司】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住所：【上海市黄浦区中山东二路600号1幢35层、36层】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客户服务热线：【950950】</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89.企业名称：【上海浦东发展银行股份有限公司】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住所：【上海市黄浦区中山东一路12号】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客户服务热线：【95528】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90.企业名称：【江苏江都农村商业银行股份有限公司】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住所：【扬州市江都区龙城路21号】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91.企业名称：【江苏民丰农村商业银行股份有限公司】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住所：【江苏省宿迁市宿城区高宝湖路1号】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92.企业名称：【江苏响水农村商业银行股份有限公司】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住所：【江苏省盐城市响水县双园路84号】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 xml:space="preserve"> </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【M】类份额（份额代码【AF251526M】）合作销售机构信息：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1.企业名称：【广州银行股份有限公司】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住所：【广州市天河区珠江东路30号】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客户服务热线：【400-83-96699】</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2.企业名称：【信银理财有限责任公司】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住所：【上海市黄浦区中山东二路600号1幢35层、36层】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客户服务热线：【950950】</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3.企业名称：【杭州银行股份有限公司】</w:t>
            </w: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销售简称：安盈象固收稳利日开170号M（幸福金桂）</w:t>
            </w: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住所：【浙江省杭州市上城区解放东路168号】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客户服务热线：【95398】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4.企业名称：【渤海银行股份有限公司】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住所：【天津市河东区海河东路 218 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客户服务热线：【95541】</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5.企业名称：【兴业银行股份有限公司】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住所：【福建省福州市台江区江滨中大道398号兴业银行大厦】</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客户服务热线：【95561】</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 xml:space="preserve"> </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【N】类份额（份额代码【AF251526N】）合作销售机构信息：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1.企业名称：【三原县农村信用合作联社】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住所：【陕西省咸阳市三原县宴友思大街中段】</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2.企业名称：【乾县农村信用合作联社】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住所：【陕西省咸阳市乾县西兰大街中段】</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3.企业名称：【兴平市农村信用合作联社】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住所：【陕西省咸阳市兴平市金城路】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4.企业名称：【陕西彬州农村商业银行股份有限公司】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住所：【陕西省咸阳市彬州市城关镇西大街】</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5.企业名称：【旬邑县农村信用合作联社】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住所：【陕西省咸阳市旬邑县南大街】</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6.企业名称：【武功县农村信用合作联社】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住所：【陕西省咸阳市武功县普集镇后稷路】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7.企业名称：【永寿县农村信用合作联社】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住所：【陕西省咸阳市永寿县监军镇西兰路中段】</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8.企业名称：【泾阳县农村信用合作联社】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住所：【陕西省咸阳市泾阳县泾干大街19号】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9.企业名称：【淳化县农村信用合作联社】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住所：【陕西省咸阳市淳化县南新街】</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10.企业名称：【礼泉县农村信用合作联社】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住所：【陕西省咸阳市礼泉县建设路南段】</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11.企业名称：【陕西咸阳农村商业银行股份有限公司】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住所：【陕西省咸阳市秦都区文兴路智汇原8号商业楼1单元1层4号、5号、6号】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12.企业名称：【陕西长武农村商业银行股份有限公司】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住所：【陕西省咸阳市长武县城西门什字北街002号】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13.企业名称：【陕西丹凤农村商业银行股份有限公司】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住所：【陕西省商洛市丹凤县龙驹寨街道办事处县城新凤街】</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14.企业名称：【陕西商南农村商业银行股份有限公司】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住所：【陕西省商洛市商南县滨河西路中段】</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15.企业名称：【陕西山阳农村商业银行股份有限公司】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住所：【陕西省商洛市山阳县南大街73号】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16.企业名称：【陕西宁陕农村商业银行股份有限公司】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住所：【陕西省安康市宁陕县城关镇迎宾大道15号】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17.企业名称：【陕西岚皋农村商业银行股份有限公司】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住所：【陕西省安康市岚皋县城关镇河滨大道87号】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18.企业名称：【陕西旬阳农村商业银行股份有限公司】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住所：【陕西省安康市旬阳市城区祝尔慷大道19号】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19.企业名称：【陕西安康农村商业银行股份有限公司】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住所：【陕西省安康市汉滨区大桥南路2号】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20.企业名称：【陕西汉阴农村商业银行股份有限公司】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住所：【陕西省安康市汉阴县城关镇北城街65号】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21.企业名称：【陕西白河农村商业银行股份有限公司】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住所：【陕西省安康市白河县城关镇狮子山社区滨河大道】</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22.企业名称：【陕西石泉农村商业银行股份有限公司】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住所：【陕西省安康市石泉县城关镇向阳大道东段2号】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23.企业名称：【陕西紫阳农村商业银行股份有限公司】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住所：【陕西省安康市紫阳县城关镇紫府路7号】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24.企业名称：【陕西镇坪农村商业银行股份有限公司】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住所：【陕西省安康市镇坪县城关镇上新街32号】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25.企业名称：【陕西凤县农村商业银行股份有限公司】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住所：【陕西省宝鸡市凤县双石铺镇新建路】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26.企业名称：【陕西千阳农村商业银行股份有限公司】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住所：【陕西省宝鸡市千阳县城关镇西大街9号】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27.企业名称：【陕西太白农村商业银行股份有限公司】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住所：【陕西省宝鸡市太白县南大街30号】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28.企业名称：【陕西岐山农村商业银行股份有限公司】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住所：【陕西省宝鸡市岐山县凤鸣镇凤鸣西路凤鸣印象商城一层】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29.企业名称：【陕西宝鸡渭滨农村商业银行股份有限公司】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住所：【陕西省宝鸡市渭滨区经二路东段151号】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30.企业名称：【陕西眉县农村商业银行股份有限公司】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住所：【陕西省宝鸡市眉县首善镇平阳街334号】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31.企业名称：【陕西宝鸡金台农村商业银行股份有限公司】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住所：【陕西省宝鸡市金台区大庆路86号】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32.企业名称：【陕西陇县农村商业银行股份有限公司】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住所：【陕西省宝鸡市陇县南岸新城陇州大道】</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33.企业名称：【陕西麟游农村商业银行股份有限公司】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住所：【陕西省宝鸡市麟游县东大街49号】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34.企业名称：【陕西平利农村商业银行股份有限公司】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住所：【陕西省平利县城关镇新正街177号】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35.企业名称：【陕西吴起农村合作银行】</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住所：【陕西省延安市吴起县北苑东路26号】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36.企业名称：【陕西子长农村商业银行股份有限公司】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住所：【陕西省延安市子长市长兴街】</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37.企业名称：【陕西安塞农村商业银行股份有限公司】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住所：【陕西省延安市安塞区富民街22号】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38.企业名称：【宜川县农村信用合作联社】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住所：【陕西省延安市宜川县城党湾街】</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39.企业名称：【延安农村商业银行股份有限公司】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住所：【陕西省延安市宝塔区永兴路信合大厦】</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40.企业名称：【陕西富县农村合作银行】</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住所：【陕西省延安市富县富城镇正街8号】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41.企业名称：【延川县农村信用合作联社】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住所：【陕西省延安市延川县北大街百货公司家属楼下】</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42.企业名称：【延长县农村信用合作联社】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住所：【陕西省延安市延长县七里村镇城区中街】</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43.企业名称：【志丹县农村信用合作联社】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住所：【陕西省延安市志丹县保安街134号】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44.企业名称：【陕西洛川农村商业银行股份有限公司】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住所：【陕西省延安市洛川县中心街】</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45.企业名称：【陕西甘泉农村商业银行股份有限公司】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住所：【陕西省延安市甘泉县中心街019号】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46.企业名称：【黄陵县农村信用合作联社】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住所：【陕西省延安市黄陵县中心广场桥山大厦】</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47.企业名称：【黄龙县农村信用合作联社】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住所：【陕西省延安市黄龙县石堡镇广场大街40号】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48.企业名称：【陕西杨凌农村商业银行股份有限公司】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住所：【陕西省杨凌示范区康乐路43号】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49.企业名称：【陕西定边农村商业银行股份有限公司】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住所：【陕西省榆林市定边县西环路体育中心对面】</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50.企业名称：【陕西府谷农村商业银行股份有限公司】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住所：【陕西省榆林市府谷县新区营盘中路】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51.企业名称：【陕西榆林农村商业银行股份有限公司】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住所：【陕西省榆林市榆阳区长城中路2号】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52.企业名称：【陕西清涧农村商业银行股份有限公司】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住所：【陕西省榆林市清涧县西城区】</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53.企业名称：【陕西神木农村商业银行股份有限公司】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住所：【陕西省榆林市神木市神木镇东兴街中段】</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54.企业名称：【陕西米脂农村商业银行股份有限公司】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住所：【陕西省榆林市米脂县迎宾大道南侧园艺路东侧】</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55.企业名称：【陕西绥德农村商业银行股份有限公司】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住所：【陕西省榆林市绥德县北门街26号】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56.企业名称：【陕西佛坪农村商业银行股份有限公司】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住所：【陕西省汉中市佛坪县河堤街40号】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57.企业名称：【陕西勉县农村商业银行股份有限公司】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住所：【陕西省汉中市勉县勉阳街道办和平路东】</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58.企业名称：【城固县农村信用合作联社】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住所：【陕西省汉中市城固县博望街道桔园路中段】</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59.企业名称：【宁强县农村信用合作联社】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住所：【陕西省汉中市宁强县汉源街道办事处羌州路中段】</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60.企业名称：【陕西汉中农村商业银行股份有限公司】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住所：【陕西省汉中市汉台区民主街1号】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61.企业名称：【洋县农村信用合作联社】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住所：【陕西省汉中市洋县洋州街道办事处北环路以北洋县医院以西】</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62.企业名称：【留坝县农村信用合作联社】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住所：【陕西省汉中市留坝县紫柏街道办事处紫柏路150号】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63.企业名称：【略阳县农村信用合作联社】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住所：【陕西省汉中市略阳县电厂路油库坪】</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64.企业名称：【陕西西乡农村商业银行股份有限公司】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住所：【陕西省汉中市西乡县东一路和鹿龄路交汇处】</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65.企业名称：【陕西镇巴农村商业银行股份有限公司】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住所：【陕西省汉中市镇巴县泾洋镇新街4号】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66.企业名称：【大荔县农村信用合作联社】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住所：【陕西省渭南市大荔县城关镇花城路24号】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67.企业名称：【富平县农村信用合作联社】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住所：【陕西省渭南市富平县频阳大街23号】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68.企业名称：【铜川市印台区农村信用合作联社】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住所：【陕西省铜川市印台区同官路】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69.企业名称：【宜君县农村信用合作联社】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住所：【陕西省铜川市宜君县宜阳南街3号】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70.企业名称：【铜川市王益区农村信用合作联社】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住所：【陕西省铜川市王益区红旗街86号】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71.企业名称：【铜川市耀州区农村信用合作联社】</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住所：【陕西省铜川市耀州区华原路塔坡什字】</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72.企业名称：【陕西镇安农村商业银行股份有限公司】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住所：【陕西省镇安县南新街38号】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客户服务热线：【029-96262】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73.企业名称：【信银理财有限责任公司】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住所：【上海市黄浦区中山东二路600号1幢35层、36层】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客户服务热线：【950950】</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74.企业名称：【上海浦东发展银行股份有限公司】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住所：【上海市黄浦区中山东一路12号】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客户服务热线：【95528】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 xml:space="preserve"> </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【S】类份额（份额代码【AF251526S】）合作销售机构信息：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1.企业名称：【苏州银行股份有限公司】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住所：【江苏省苏州工业园区钟园路728号苏州银行大厦】</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客户服务热线：【0512-96067】</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2.企业名称：【信银理财有限责任公司】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住所：【上海市黄浦区中山东二路600号1幢35层、36层】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客户服务热线：【950950】</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3.企业名称：【交通银行股份有限公司】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住所：【上海市浦东新区银城中路188号】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客户服务热线：【95559】</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 xml:space="preserve"> </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【Y】类份额（份额代码【AF251526Y】）合作销售机构信息：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1.企业名称：【信银理财有限责任公司】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住所：【上海市黄浦区中山东二路600号1幢35层、36层】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客户服务热线：【950950】</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2.企业名称：【中信银行股份有限公司】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住所：【北京市朝阳区光华路10号中信大厦】</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客户服务热线：【95558】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 xml:space="preserve"> </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后续合作销售机构如有新增、减少和变更，信银理财将按照本说明书约定的方式告知投资者。</w:t>
            </w:r>
          </w:p>
        </w:tc>
      </w:tr>
      <w:tr w14:paraId="41011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635CE154">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销售机构主要职责</w:t>
            </w:r>
          </w:p>
        </w:tc>
        <w:tc>
          <w:tcPr>
            <w:tcW w:w="3740" w:type="pct"/>
            <w:vAlign w:val="center"/>
          </w:tcPr>
          <w:p w14:paraId="53BCDD7E">
            <w:pPr>
              <w:pStyle w:val="19"/>
              <w:numPr>
                <w:ilvl w:val="0"/>
                <w:numId w:val="4"/>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理财产品的宣传推广；</w:t>
            </w:r>
          </w:p>
          <w:p w14:paraId="331B0106">
            <w:pPr>
              <w:pStyle w:val="19"/>
              <w:numPr>
                <w:ilvl w:val="0"/>
                <w:numId w:val="4"/>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投资者风险承受能力评估和投资者适当性管理；</w:t>
            </w:r>
          </w:p>
          <w:p w14:paraId="4671FF3F">
            <w:pPr>
              <w:pStyle w:val="19"/>
              <w:numPr>
                <w:ilvl w:val="0"/>
                <w:numId w:val="4"/>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理财产品认</w:t>
            </w:r>
            <w:r>
              <w:rPr>
                <w:rFonts w:hint="eastAsia" w:ascii="楷体_GB2312" w:eastAsia="楷体_GB2312" w:cs="楷体_GB2312"/>
                <w:color w:val="000000" w:themeColor="text1"/>
                <w:sz w:val="20"/>
                <w:szCs w:val="20"/>
                <w:highlight w:val="none"/>
                <w14:textFill>
                  <w14:solidFill>
                    <w14:schemeClr w14:val="tx1"/>
                  </w14:solidFill>
                </w14:textFill>
              </w:rPr>
              <w:t>/申购、赎回等业务办理；</w:t>
            </w:r>
          </w:p>
          <w:p w14:paraId="3A0B6798">
            <w:pPr>
              <w:pStyle w:val="19"/>
              <w:numPr>
                <w:ilvl w:val="0"/>
                <w:numId w:val="4"/>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协助管理人与投资者订立相关协议；</w:t>
            </w:r>
          </w:p>
          <w:p w14:paraId="1F84350B">
            <w:pPr>
              <w:pStyle w:val="19"/>
              <w:numPr>
                <w:ilvl w:val="0"/>
                <w:numId w:val="4"/>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协助管理人与投资者沟通及进行信息披露；</w:t>
            </w:r>
          </w:p>
          <w:p w14:paraId="1CBCFAAB">
            <w:pPr>
              <w:pStyle w:val="19"/>
              <w:numPr>
                <w:ilvl w:val="0"/>
                <w:numId w:val="4"/>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接受投资者咨询、投诉和客户维护等销售服务；</w:t>
            </w:r>
          </w:p>
          <w:p w14:paraId="7E1B7E63">
            <w:pPr>
              <w:pStyle w:val="19"/>
              <w:numPr>
                <w:ilvl w:val="0"/>
                <w:numId w:val="4"/>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国务院银行业监督管理机构</w:t>
            </w:r>
            <w:r>
              <w:rPr>
                <w:rFonts w:hint="eastAsia" w:ascii="楷体_GB2312" w:eastAsia="楷体_GB2312" w:cs="楷体_GB2312"/>
                <w:color w:val="000000" w:themeColor="text1"/>
                <w:sz w:val="20"/>
                <w:szCs w:val="20"/>
                <w:highlight w:val="none"/>
                <w14:textFill>
                  <w14:solidFill>
                    <w14:schemeClr w14:val="tx1"/>
                  </w14:solidFill>
                </w14:textFill>
              </w:rPr>
              <w:t>规定的其他职责。</w:t>
            </w:r>
          </w:p>
        </w:tc>
      </w:tr>
      <w:tr w14:paraId="6A137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57D3B4A9">
            <w:pPr>
              <w:spacing w:line="300" w:lineRule="exact"/>
              <w:ind w:left="-2" w:leftChars="-1" w:right="36" w:rightChars="15"/>
              <w:rPr>
                <w:rFonts w:eastAsia="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托管人</w:t>
            </w:r>
          </w:p>
        </w:tc>
        <w:tc>
          <w:tcPr>
            <w:tcW w:w="3740" w:type="pct"/>
            <w:vAlign w:val="center"/>
          </w:tcPr>
          <w:p w14:paraId="31136C9A">
            <w:pPr>
              <w:spacing w:line="300" w:lineRule="exact"/>
              <w:ind w:left="-2" w:leftChars="-1" w:right="36" w:rightChars="15"/>
              <w:rPr>
                <w:rFonts w:ascii="楷体_GB2312" w:eastAsia="楷体_GB2312" w:cs="楷体_GB2312"/>
                <w:sz w:val="20"/>
                <w:szCs w:val="20"/>
                <w:highlight w:val="none"/>
              </w:rPr>
            </w:pPr>
            <w:r>
              <w:rPr>
                <w:rFonts w:hint="eastAsia" w:ascii="楷体_GB2312" w:eastAsia="楷体_GB2312" w:cs="楷体_GB2312"/>
                <w:sz w:val="20"/>
                <w:szCs w:val="20"/>
                <w:highlight w:val="none"/>
              </w:rPr>
              <w:t>企业名称：【宁波银行股份有限公司】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住所：【浙江省宁波市鄞州区宁东路345号】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客户服务热线：【95574】</w:t>
            </w:r>
          </w:p>
        </w:tc>
      </w:tr>
      <w:tr w14:paraId="45A4A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2147DA73">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托管人职责</w:t>
            </w:r>
          </w:p>
        </w:tc>
        <w:tc>
          <w:tcPr>
            <w:tcW w:w="3740" w:type="pct"/>
            <w:vAlign w:val="center"/>
          </w:tcPr>
          <w:p w14:paraId="7E73EC82">
            <w:pPr>
              <w:pStyle w:val="19"/>
              <w:numPr>
                <w:ilvl w:val="0"/>
                <w:numId w:val="5"/>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安全保管理财产品财产；</w:t>
            </w:r>
          </w:p>
          <w:p w14:paraId="47801E9A">
            <w:pPr>
              <w:pStyle w:val="19"/>
              <w:numPr>
                <w:ilvl w:val="0"/>
                <w:numId w:val="5"/>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为每只理财产品开设独立的托管账户，不同托管账户中的资产应当相互独立，为理财产品开立所需的证券账户等其他账户；</w:t>
            </w:r>
          </w:p>
          <w:p w14:paraId="1246962F">
            <w:pPr>
              <w:pStyle w:val="19"/>
              <w:numPr>
                <w:ilvl w:val="0"/>
                <w:numId w:val="5"/>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按照托管协议约定和管理人的投资指令，及时办理理财产品的清算、交割事宜，核对理财产品资金划拨记录；</w:t>
            </w:r>
          </w:p>
          <w:p w14:paraId="0627AEFD">
            <w:pPr>
              <w:pStyle w:val="19"/>
              <w:numPr>
                <w:ilvl w:val="0"/>
                <w:numId w:val="5"/>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建立与理财产品管理人的对账机制，复核、审查理财产品资金头寸、资产账目、资产净值、理财产品份额认/申购、赎回价格等数据，及时核查认/申购、赎回以及投资资金的支付和到账情况；</w:t>
            </w:r>
          </w:p>
          <w:p w14:paraId="00792897">
            <w:pPr>
              <w:pStyle w:val="19"/>
              <w:numPr>
                <w:ilvl w:val="0"/>
                <w:numId w:val="5"/>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监督理财产品投资运作，发现理财产品违反法律、行政法规、规章规定或合同约定进行投资的，应当拒绝执行，及时通知理财产品管理人并报告</w:t>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国务院</w:t>
            </w:r>
            <w:r>
              <w:rPr>
                <w:rFonts w:hint="eastAsia" w:ascii="楷体_GB2312" w:eastAsia="楷体_GB2312" w:cs="楷体_GB2312"/>
                <w:color w:val="000000" w:themeColor="text1"/>
                <w:sz w:val="20"/>
                <w:szCs w:val="20"/>
                <w:highlight w:val="none"/>
                <w14:textFill>
                  <w14:solidFill>
                    <w14:schemeClr w14:val="tx1"/>
                  </w14:solidFill>
                </w14:textFill>
              </w:rPr>
              <w:t>银行业监督管理机构；</w:t>
            </w:r>
          </w:p>
          <w:p w14:paraId="28F483F9">
            <w:pPr>
              <w:pStyle w:val="19"/>
              <w:numPr>
                <w:ilvl w:val="0"/>
                <w:numId w:val="5"/>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办理与理财产品托管业务活动相关的信息披露事项，包括披露理财产品托管协议、对理财产品信息披露文件中的理财产品财务会计报告等出具意见，以及在公募理财产品半年度和年度报告中出具理财托管机构报告等；</w:t>
            </w:r>
          </w:p>
          <w:p w14:paraId="4114A047">
            <w:pPr>
              <w:pStyle w:val="19"/>
              <w:numPr>
                <w:ilvl w:val="0"/>
                <w:numId w:val="5"/>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保存理财产品托管业务活动的记录、账册、报表和其他相关材料1</w:t>
            </w:r>
            <w:r>
              <w:rPr>
                <w:rFonts w:ascii="楷体_GB2312" w:eastAsia="楷体_GB2312" w:cs="楷体_GB2312"/>
                <w:color w:val="000000" w:themeColor="text1"/>
                <w:sz w:val="20"/>
                <w:szCs w:val="20"/>
                <w:highlight w:val="none"/>
                <w14:textFill>
                  <w14:solidFill>
                    <w14:schemeClr w14:val="tx1"/>
                  </w14:solidFill>
                </w14:textFill>
              </w:rPr>
              <w:t>5</w:t>
            </w:r>
            <w:r>
              <w:rPr>
                <w:rFonts w:hint="eastAsia" w:ascii="楷体_GB2312" w:eastAsia="楷体_GB2312" w:cs="楷体_GB2312"/>
                <w:color w:val="000000" w:themeColor="text1"/>
                <w:sz w:val="20"/>
                <w:szCs w:val="20"/>
                <w:highlight w:val="none"/>
                <w14:textFill>
                  <w14:solidFill>
                    <w14:schemeClr w14:val="tx1"/>
                  </w14:solidFill>
                </w14:textFill>
              </w:rPr>
              <w:t>年以上；</w:t>
            </w:r>
          </w:p>
          <w:p w14:paraId="1A8406D1">
            <w:pPr>
              <w:pStyle w:val="19"/>
              <w:numPr>
                <w:ilvl w:val="0"/>
                <w:numId w:val="5"/>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对理财产品投资信息和相关资料承担保密责任，除法律、行政法规、规章规定、审计要求或者合同约定外，不得向任何机构或者个人提供相关信息和资料；</w:t>
            </w:r>
          </w:p>
          <w:p w14:paraId="7C3D3666">
            <w:pPr>
              <w:pStyle w:val="19"/>
              <w:numPr>
                <w:ilvl w:val="0"/>
                <w:numId w:val="5"/>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国务院银行业监督管理机构规定的其他职责。</w:t>
            </w:r>
          </w:p>
        </w:tc>
      </w:tr>
      <w:tr w14:paraId="5012F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47B7A139">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理财托管</w:t>
            </w:r>
            <w:r>
              <w:rPr>
                <w:rFonts w:ascii="Times New Roman" w:eastAsia="楷体_GB2312" w:cs="楷体_GB2312"/>
                <w:color w:val="000000" w:themeColor="text1"/>
                <w:sz w:val="20"/>
                <w:szCs w:val="20"/>
                <w:highlight w:val="none"/>
                <w14:textFill>
                  <w14:solidFill>
                    <w14:schemeClr w14:val="tx1"/>
                  </w14:solidFill>
                </w14:textFill>
              </w:rPr>
              <w:t>账户</w:t>
            </w:r>
          </w:p>
        </w:tc>
        <w:tc>
          <w:tcPr>
            <w:tcW w:w="3740" w:type="pct"/>
            <w:vAlign w:val="center"/>
          </w:tcPr>
          <w:p w14:paraId="0F51F566">
            <w:pPr>
              <w:spacing w:line="300" w:lineRule="exact"/>
              <w:ind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理财</w:t>
            </w:r>
            <w:r>
              <w:rPr>
                <w:rFonts w:ascii="楷体_GB2312" w:eastAsia="楷体_GB2312" w:cs="楷体_GB2312"/>
                <w:color w:val="000000" w:themeColor="text1"/>
                <w:sz w:val="20"/>
                <w:szCs w:val="20"/>
                <w:highlight w:val="none"/>
                <w14:textFill>
                  <w14:solidFill>
                    <w14:schemeClr w14:val="tx1"/>
                  </w14:solidFill>
                </w14:textFill>
              </w:rPr>
              <w:t>产品</w:t>
            </w:r>
            <w:r>
              <w:rPr>
                <w:rFonts w:hint="eastAsia" w:ascii="楷体_GB2312" w:eastAsia="楷体_GB2312" w:cs="楷体_GB2312"/>
                <w:color w:val="000000" w:themeColor="text1"/>
                <w:sz w:val="20"/>
                <w:szCs w:val="20"/>
                <w:highlight w:val="none"/>
                <w14:textFill>
                  <w14:solidFill>
                    <w14:schemeClr w14:val="tx1"/>
                  </w14:solidFill>
                </w14:textFill>
              </w:rPr>
              <w:t>管理人为理财产品资金管理之目的，以理财产品的名义在托管人处单独开立资金账户，理财产品资金的一切收支活动，包括但不限于接收募集资金、划付对外投资资金、缴纳理财产品税费、接收理财产品回收资金、支付理财产品费用以及向投资者划付理财产品分配款项，均通过该账户进行。</w:t>
            </w:r>
          </w:p>
        </w:tc>
      </w:tr>
      <w:tr w14:paraId="429D3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7BFD781C">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投资者</w:t>
            </w:r>
            <w:r>
              <w:rPr>
                <w:rFonts w:ascii="Times New Roman" w:eastAsia="楷体_GB2312" w:cs="楷体_GB2312"/>
                <w:color w:val="000000" w:themeColor="text1"/>
                <w:sz w:val="20"/>
                <w:szCs w:val="20"/>
                <w:highlight w:val="none"/>
                <w14:textFill>
                  <w14:solidFill>
                    <w14:schemeClr w14:val="tx1"/>
                  </w14:solidFill>
                </w14:textFill>
              </w:rPr>
              <w:t>账户</w:t>
            </w:r>
          </w:p>
        </w:tc>
        <w:tc>
          <w:tcPr>
            <w:tcW w:w="3740" w:type="pct"/>
            <w:vAlign w:val="center"/>
          </w:tcPr>
          <w:p w14:paraId="65168BED">
            <w:pPr>
              <w:spacing w:line="300" w:lineRule="exact"/>
              <w:ind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投资者认购或申购（如有）理财</w:t>
            </w:r>
            <w:r>
              <w:rPr>
                <w:rFonts w:ascii="楷体_GB2312" w:eastAsia="楷体_GB2312" w:cs="楷体_GB2312"/>
                <w:color w:val="000000" w:themeColor="text1"/>
                <w:sz w:val="20"/>
                <w:szCs w:val="20"/>
                <w:highlight w:val="none"/>
                <w14:textFill>
                  <w14:solidFill>
                    <w14:schemeClr w14:val="tx1"/>
                  </w14:solidFill>
                </w14:textFill>
              </w:rPr>
              <w:t>产品</w:t>
            </w:r>
            <w:r>
              <w:rPr>
                <w:rFonts w:hint="eastAsia" w:ascii="楷体_GB2312" w:eastAsia="楷体_GB2312" w:cs="楷体_GB2312"/>
                <w:color w:val="000000" w:themeColor="text1"/>
                <w:sz w:val="20"/>
                <w:szCs w:val="20"/>
                <w:highlight w:val="none"/>
                <w14:textFill>
                  <w14:solidFill>
                    <w14:schemeClr w14:val="tx1"/>
                  </w14:solidFill>
                </w14:textFill>
              </w:rPr>
              <w:t>的资金划出账户与理财产品到期或期间赎回（如有）接收资金的银行</w:t>
            </w:r>
            <w:r>
              <w:rPr>
                <w:rFonts w:ascii="楷体_GB2312" w:eastAsia="楷体_GB2312" w:cs="楷体_GB2312"/>
                <w:color w:val="000000" w:themeColor="text1"/>
                <w:sz w:val="20"/>
                <w:szCs w:val="20"/>
                <w:highlight w:val="none"/>
                <w14:textFill>
                  <w14:solidFill>
                    <w14:schemeClr w14:val="tx1"/>
                  </w14:solidFill>
                </w14:textFill>
              </w:rPr>
              <w:t>结算</w:t>
            </w:r>
            <w:r>
              <w:rPr>
                <w:rFonts w:hint="eastAsia" w:ascii="楷体_GB2312" w:eastAsia="楷体_GB2312" w:cs="楷体_GB2312"/>
                <w:color w:val="000000" w:themeColor="text1"/>
                <w:sz w:val="20"/>
                <w:szCs w:val="20"/>
                <w:highlight w:val="none"/>
                <w14:textFill>
                  <w14:solidFill>
                    <w14:schemeClr w14:val="tx1"/>
                  </w14:solidFill>
                </w14:textFill>
              </w:rPr>
              <w:t>账户。在本理财产品存续期间，除非经理财</w:t>
            </w:r>
            <w:r>
              <w:rPr>
                <w:rFonts w:ascii="楷体_GB2312" w:eastAsia="楷体_GB2312" w:cs="楷体_GB2312"/>
                <w:color w:val="000000" w:themeColor="text1"/>
                <w:sz w:val="20"/>
                <w:szCs w:val="20"/>
                <w:highlight w:val="none"/>
                <w14:textFill>
                  <w14:solidFill>
                    <w14:schemeClr w14:val="tx1"/>
                  </w14:solidFill>
                </w14:textFill>
              </w:rPr>
              <w:t>产品</w:t>
            </w:r>
            <w:r>
              <w:rPr>
                <w:rFonts w:hint="eastAsia" w:ascii="楷体_GB2312" w:eastAsia="楷体_GB2312" w:cs="楷体_GB2312"/>
                <w:color w:val="000000" w:themeColor="text1"/>
                <w:sz w:val="20"/>
                <w:szCs w:val="20"/>
                <w:highlight w:val="none"/>
                <w14:textFill>
                  <w14:solidFill>
                    <w14:schemeClr w14:val="tx1"/>
                  </w14:solidFill>
                </w14:textFill>
              </w:rPr>
              <w:t>管理人同意，该账户不得变更、注销。如发生投资者账户被有权机关采取司法强制措施的，投资者不得申请对投资者账户予以变更或注销。</w:t>
            </w:r>
          </w:p>
        </w:tc>
      </w:tr>
      <w:tr w14:paraId="21893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296E86EC">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投资者</w:t>
            </w:r>
            <w:r>
              <w:rPr>
                <w:rFonts w:ascii="Times New Roman" w:eastAsia="楷体_GB2312" w:cs="楷体_GB2312"/>
                <w:color w:val="000000" w:themeColor="text1"/>
                <w:sz w:val="20"/>
                <w:szCs w:val="20"/>
                <w:highlight w:val="none"/>
                <w14:textFill>
                  <w14:solidFill>
                    <w14:schemeClr w14:val="tx1"/>
                  </w14:solidFill>
                </w14:textFill>
              </w:rPr>
              <w:t>理财账户</w:t>
            </w:r>
          </w:p>
        </w:tc>
        <w:tc>
          <w:tcPr>
            <w:tcW w:w="3740" w:type="pct"/>
            <w:vAlign w:val="center"/>
          </w:tcPr>
          <w:p w14:paraId="5552D07A">
            <w:pPr>
              <w:spacing w:line="300" w:lineRule="exact"/>
              <w:ind w:right="36" w:rightChars="15"/>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信银理财</w:t>
            </w:r>
            <w:r>
              <w:rPr>
                <w:rFonts w:hint="eastAsia" w:ascii="楷体_GB2312" w:eastAsia="楷体_GB2312" w:cs="楷体_GB2312"/>
                <w:color w:val="000000" w:themeColor="text1"/>
                <w:sz w:val="20"/>
                <w:szCs w:val="20"/>
                <w:highlight w:val="none"/>
                <w14:textFill>
                  <w14:solidFill>
                    <w14:schemeClr w14:val="tx1"/>
                  </w14:solidFill>
                </w14:textFill>
              </w:rPr>
              <w:t>为投资者</w:t>
            </w:r>
            <w:r>
              <w:rPr>
                <w:rFonts w:ascii="楷体_GB2312" w:eastAsia="楷体_GB2312" w:cs="楷体_GB2312"/>
                <w:color w:val="000000" w:themeColor="text1"/>
                <w:sz w:val="20"/>
                <w:szCs w:val="20"/>
                <w:highlight w:val="none"/>
                <w14:textFill>
                  <w14:solidFill>
                    <w14:schemeClr w14:val="tx1"/>
                  </w14:solidFill>
                </w14:textFill>
              </w:rPr>
              <w:t>开立的</w:t>
            </w:r>
            <w:r>
              <w:rPr>
                <w:rFonts w:hint="eastAsia" w:ascii="楷体_GB2312" w:eastAsia="楷体_GB2312" w:cs="楷体_GB2312"/>
                <w:color w:val="000000" w:themeColor="text1"/>
                <w:sz w:val="20"/>
                <w:szCs w:val="20"/>
                <w:highlight w:val="none"/>
                <w14:textFill>
                  <w14:solidFill>
                    <w14:schemeClr w14:val="tx1"/>
                  </w14:solidFill>
                </w14:textFill>
              </w:rPr>
              <w:t>，唯一</w:t>
            </w:r>
            <w:r>
              <w:rPr>
                <w:rFonts w:ascii="楷体_GB2312" w:eastAsia="楷体_GB2312" w:cs="楷体_GB2312"/>
                <w:color w:val="000000" w:themeColor="text1"/>
                <w:sz w:val="20"/>
                <w:szCs w:val="20"/>
                <w:highlight w:val="none"/>
                <w14:textFill>
                  <w14:solidFill>
                    <w14:schemeClr w14:val="tx1"/>
                  </w14:solidFill>
                </w14:textFill>
              </w:rPr>
              <w:t>用于</w:t>
            </w:r>
            <w:r>
              <w:rPr>
                <w:rFonts w:hint="eastAsia" w:ascii="楷体_GB2312" w:eastAsia="楷体_GB2312" w:cs="楷体_GB2312"/>
                <w:color w:val="000000" w:themeColor="text1"/>
                <w:sz w:val="20"/>
                <w:szCs w:val="20"/>
                <w:highlight w:val="none"/>
                <w14:textFill>
                  <w14:solidFill>
                    <w14:schemeClr w14:val="tx1"/>
                  </w14:solidFill>
                </w14:textFill>
              </w:rPr>
              <w:t>信银</w:t>
            </w:r>
            <w:r>
              <w:rPr>
                <w:rFonts w:ascii="楷体_GB2312" w:eastAsia="楷体_GB2312" w:cs="楷体_GB2312"/>
                <w:color w:val="000000" w:themeColor="text1"/>
                <w:sz w:val="20"/>
                <w:szCs w:val="20"/>
                <w:highlight w:val="none"/>
                <w14:textFill>
                  <w14:solidFill>
                    <w14:schemeClr w14:val="tx1"/>
                  </w14:solidFill>
                </w14:textFill>
              </w:rPr>
              <w:t>理财管理和记录投资者持有信银理财理财产品份额及</w:t>
            </w:r>
            <w:r>
              <w:rPr>
                <w:rFonts w:hint="eastAsia" w:ascii="楷体_GB2312" w:eastAsia="楷体_GB2312" w:cs="楷体_GB2312"/>
                <w:color w:val="000000" w:themeColor="text1"/>
                <w:sz w:val="20"/>
                <w:szCs w:val="20"/>
                <w:highlight w:val="none"/>
                <w14:textFill>
                  <w14:solidFill>
                    <w14:schemeClr w14:val="tx1"/>
                  </w14:solidFill>
                </w14:textFill>
              </w:rPr>
              <w:t>理财</w:t>
            </w:r>
            <w:r>
              <w:rPr>
                <w:rFonts w:ascii="楷体_GB2312" w:eastAsia="楷体_GB2312" w:cs="楷体_GB2312"/>
                <w:color w:val="000000" w:themeColor="text1"/>
                <w:sz w:val="20"/>
                <w:szCs w:val="20"/>
                <w:highlight w:val="none"/>
                <w14:textFill>
                  <w14:solidFill>
                    <w14:schemeClr w14:val="tx1"/>
                  </w14:solidFill>
                </w14:textFill>
              </w:rPr>
              <w:t>产品</w:t>
            </w:r>
            <w:r>
              <w:rPr>
                <w:rFonts w:hint="eastAsia" w:ascii="楷体_GB2312" w:eastAsia="楷体_GB2312" w:cs="楷体_GB2312"/>
                <w:color w:val="000000" w:themeColor="text1"/>
                <w:sz w:val="20"/>
                <w:szCs w:val="20"/>
                <w:highlight w:val="none"/>
                <w14:textFill>
                  <w14:solidFill>
                    <w14:schemeClr w14:val="tx1"/>
                  </w14:solidFill>
                </w14:textFill>
              </w:rPr>
              <w:t>份额</w:t>
            </w:r>
            <w:r>
              <w:rPr>
                <w:rFonts w:ascii="楷体_GB2312" w:eastAsia="楷体_GB2312" w:cs="楷体_GB2312"/>
                <w:color w:val="000000" w:themeColor="text1"/>
                <w:sz w:val="20"/>
                <w:szCs w:val="20"/>
                <w:highlight w:val="none"/>
                <w14:textFill>
                  <w14:solidFill>
                    <w14:schemeClr w14:val="tx1"/>
                  </w14:solidFill>
                </w14:textFill>
              </w:rPr>
              <w:t>变化</w:t>
            </w:r>
            <w:r>
              <w:rPr>
                <w:rFonts w:hint="eastAsia" w:ascii="楷体_GB2312" w:eastAsia="楷体_GB2312" w:cs="楷体_GB2312"/>
                <w:color w:val="000000" w:themeColor="text1"/>
                <w:sz w:val="20"/>
                <w:szCs w:val="20"/>
                <w:highlight w:val="none"/>
                <w14:textFill>
                  <w14:solidFill>
                    <w14:schemeClr w14:val="tx1"/>
                  </w14:solidFill>
                </w14:textFill>
              </w:rPr>
              <w:t>等</w:t>
            </w:r>
            <w:r>
              <w:rPr>
                <w:rFonts w:ascii="楷体_GB2312" w:eastAsia="楷体_GB2312" w:cs="楷体_GB2312"/>
                <w:color w:val="000000" w:themeColor="text1"/>
                <w:sz w:val="20"/>
                <w:szCs w:val="20"/>
                <w:highlight w:val="none"/>
                <w14:textFill>
                  <w14:solidFill>
                    <w14:schemeClr w14:val="tx1"/>
                  </w14:solidFill>
                </w14:textFill>
              </w:rPr>
              <w:t>情况的账户。</w:t>
            </w:r>
            <w:r>
              <w:rPr>
                <w:rFonts w:hint="eastAsia" w:ascii="楷体_GB2312" w:eastAsia="楷体_GB2312" w:cs="楷体_GB2312"/>
                <w:color w:val="000000" w:themeColor="text1"/>
                <w:sz w:val="20"/>
                <w:szCs w:val="20"/>
                <w:highlight w:val="none"/>
                <w14:textFill>
                  <w14:solidFill>
                    <w14:schemeClr w14:val="tx1"/>
                  </w14:solidFill>
                </w14:textFill>
              </w:rPr>
              <w:t>投资者购买信银</w:t>
            </w:r>
            <w:r>
              <w:rPr>
                <w:rFonts w:ascii="楷体_GB2312" w:eastAsia="楷体_GB2312" w:cs="楷体_GB2312"/>
                <w:color w:val="000000" w:themeColor="text1"/>
                <w:sz w:val="20"/>
                <w:szCs w:val="20"/>
                <w:highlight w:val="none"/>
                <w14:textFill>
                  <w14:solidFill>
                    <w14:schemeClr w14:val="tx1"/>
                  </w14:solidFill>
                </w14:textFill>
              </w:rPr>
              <w:t>理财理财产品的，信银理财</w:t>
            </w:r>
            <w:r>
              <w:rPr>
                <w:rFonts w:hint="eastAsia" w:ascii="楷体_GB2312" w:eastAsia="楷体_GB2312" w:cs="楷体_GB2312"/>
                <w:color w:val="000000" w:themeColor="text1"/>
                <w:sz w:val="20"/>
                <w:szCs w:val="20"/>
                <w:highlight w:val="none"/>
                <w14:textFill>
                  <w14:solidFill>
                    <w14:schemeClr w14:val="tx1"/>
                  </w14:solidFill>
                </w14:textFill>
              </w:rPr>
              <w:t>将为其开立</w:t>
            </w:r>
            <w:r>
              <w:rPr>
                <w:rFonts w:ascii="楷体_GB2312" w:eastAsia="楷体_GB2312" w:cs="楷体_GB2312"/>
                <w:color w:val="000000" w:themeColor="text1"/>
                <w:sz w:val="20"/>
                <w:szCs w:val="20"/>
                <w:highlight w:val="none"/>
                <w14:textFill>
                  <w14:solidFill>
                    <w14:schemeClr w14:val="tx1"/>
                  </w14:solidFill>
                </w14:textFill>
              </w:rPr>
              <w:t>理财账户</w:t>
            </w:r>
            <w:r>
              <w:rPr>
                <w:rFonts w:hint="eastAsia" w:ascii="楷体_GB2312" w:eastAsia="楷体_GB2312" w:cs="楷体_GB2312"/>
                <w:color w:val="000000" w:themeColor="text1"/>
                <w:sz w:val="20"/>
                <w:szCs w:val="20"/>
                <w:highlight w:val="none"/>
                <w14:textFill>
                  <w14:solidFill>
                    <w14:schemeClr w14:val="tx1"/>
                  </w14:solidFill>
                </w14:textFill>
              </w:rPr>
              <w:t>。开户需要的信息和要求以</w:t>
            </w:r>
            <w:r>
              <w:rPr>
                <w:rFonts w:ascii="楷体_GB2312" w:eastAsia="楷体_GB2312" w:cs="楷体_GB2312"/>
                <w:color w:val="000000" w:themeColor="text1"/>
                <w:sz w:val="20"/>
                <w:szCs w:val="20"/>
                <w:highlight w:val="none"/>
                <w14:textFill>
                  <w14:solidFill>
                    <w14:schemeClr w14:val="tx1"/>
                  </w14:solidFill>
                </w14:textFill>
              </w:rPr>
              <w:t>信银理财或代销机构</w:t>
            </w:r>
            <w:r>
              <w:rPr>
                <w:rFonts w:hint="eastAsia" w:ascii="楷体_GB2312" w:eastAsia="楷体_GB2312" w:cs="楷体_GB2312"/>
                <w:color w:val="000000" w:themeColor="text1"/>
                <w:sz w:val="20"/>
                <w:szCs w:val="20"/>
                <w:highlight w:val="none"/>
                <w14:textFill>
                  <w14:solidFill>
                    <w14:schemeClr w14:val="tx1"/>
                  </w14:solidFill>
                </w14:textFill>
              </w:rPr>
              <w:t>营业</w:t>
            </w:r>
            <w:r>
              <w:rPr>
                <w:rFonts w:ascii="楷体_GB2312" w:eastAsia="楷体_GB2312" w:cs="楷体_GB2312"/>
                <w:color w:val="000000" w:themeColor="text1"/>
                <w:sz w:val="20"/>
                <w:szCs w:val="20"/>
                <w:highlight w:val="none"/>
                <w14:textFill>
                  <w14:solidFill>
                    <w14:schemeClr w14:val="tx1"/>
                  </w14:solidFill>
                </w14:textFill>
              </w:rPr>
              <w:t>场所或线上办理要求</w:t>
            </w:r>
            <w:r>
              <w:rPr>
                <w:rFonts w:hint="eastAsia" w:ascii="楷体_GB2312" w:eastAsia="楷体_GB2312" w:cs="楷体_GB2312"/>
                <w:color w:val="000000" w:themeColor="text1"/>
                <w:sz w:val="20"/>
                <w:szCs w:val="20"/>
                <w:highlight w:val="none"/>
                <w14:textFill>
                  <w14:solidFill>
                    <w14:schemeClr w14:val="tx1"/>
                  </w14:solidFill>
                </w14:textFill>
              </w:rPr>
              <w:t>为准</w:t>
            </w:r>
            <w:r>
              <w:rPr>
                <w:rFonts w:ascii="楷体_GB2312" w:eastAsia="楷体_GB2312" w:cs="楷体_GB2312"/>
                <w:color w:val="000000" w:themeColor="text1"/>
                <w:sz w:val="20"/>
                <w:szCs w:val="20"/>
                <w:highlight w:val="none"/>
                <w14:textFill>
                  <w14:solidFill>
                    <w14:schemeClr w14:val="tx1"/>
                  </w14:solidFill>
                </w14:textFill>
              </w:rPr>
              <w:t>。</w:t>
            </w:r>
          </w:p>
        </w:tc>
      </w:tr>
      <w:tr w14:paraId="3B582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18139C17">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投资者</w:t>
            </w:r>
            <w:r>
              <w:rPr>
                <w:rFonts w:ascii="Times New Roman" w:eastAsia="楷体_GB2312" w:cs="楷体_GB2312"/>
                <w:color w:val="000000" w:themeColor="text1"/>
                <w:sz w:val="20"/>
                <w:szCs w:val="20"/>
                <w:highlight w:val="none"/>
                <w14:textFill>
                  <w14:solidFill>
                    <w14:schemeClr w14:val="tx1"/>
                  </w14:solidFill>
                </w14:textFill>
              </w:rPr>
              <w:t>理财交易账户</w:t>
            </w:r>
          </w:p>
        </w:tc>
        <w:tc>
          <w:tcPr>
            <w:tcW w:w="3740" w:type="pct"/>
            <w:vAlign w:val="center"/>
          </w:tcPr>
          <w:p w14:paraId="7A62FF19">
            <w:pPr>
              <w:spacing w:line="300" w:lineRule="exact"/>
              <w:ind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销售机构为投资者开立的、记录投资者通过该销售机构办理认购、申购、赎回、转换、转托管及定期定额投资等业务导致理财份额变动及结余情况的账户。</w:t>
            </w:r>
            <w:r>
              <w:rPr>
                <w:rFonts w:ascii="楷体_GB2312" w:eastAsia="楷体_GB2312" w:cs="楷体_GB2312"/>
                <w:color w:val="000000" w:themeColor="text1"/>
                <w:sz w:val="20"/>
                <w:szCs w:val="20"/>
                <w:highlight w:val="none"/>
                <w14:textFill>
                  <w14:solidFill>
                    <w14:schemeClr w14:val="tx1"/>
                  </w14:solidFill>
                </w14:textFill>
              </w:rPr>
              <w:t>具体</w:t>
            </w:r>
            <w:r>
              <w:rPr>
                <w:rFonts w:hint="eastAsia" w:ascii="楷体_GB2312" w:eastAsia="楷体_GB2312" w:cs="楷体_GB2312"/>
                <w:color w:val="000000" w:themeColor="text1"/>
                <w:sz w:val="20"/>
                <w:szCs w:val="20"/>
                <w:highlight w:val="none"/>
                <w14:textFill>
                  <w14:solidFill>
                    <w14:schemeClr w14:val="tx1"/>
                  </w14:solidFill>
                </w14:textFill>
              </w:rPr>
              <w:t>开户</w:t>
            </w:r>
            <w:r>
              <w:rPr>
                <w:rFonts w:ascii="楷体_GB2312" w:eastAsia="楷体_GB2312" w:cs="楷体_GB2312"/>
                <w:color w:val="000000" w:themeColor="text1"/>
                <w:sz w:val="20"/>
                <w:szCs w:val="20"/>
                <w:highlight w:val="none"/>
                <w14:textFill>
                  <w14:solidFill>
                    <w14:schemeClr w14:val="tx1"/>
                  </w14:solidFill>
                </w14:textFill>
              </w:rPr>
              <w:t>流程应</w:t>
            </w:r>
            <w:r>
              <w:rPr>
                <w:rFonts w:hint="eastAsia" w:ascii="楷体_GB2312" w:eastAsia="楷体_GB2312" w:cs="楷体_GB2312"/>
                <w:color w:val="000000" w:themeColor="text1"/>
                <w:sz w:val="20"/>
                <w:szCs w:val="20"/>
                <w:highlight w:val="none"/>
                <w14:textFill>
                  <w14:solidFill>
                    <w14:schemeClr w14:val="tx1"/>
                  </w14:solidFill>
                </w14:textFill>
              </w:rPr>
              <w:t>遵守</w:t>
            </w:r>
            <w:r>
              <w:rPr>
                <w:rFonts w:ascii="楷体_GB2312" w:eastAsia="楷体_GB2312" w:cs="楷体_GB2312"/>
                <w:color w:val="000000" w:themeColor="text1"/>
                <w:sz w:val="20"/>
                <w:szCs w:val="20"/>
                <w:highlight w:val="none"/>
                <w14:textFill>
                  <w14:solidFill>
                    <w14:schemeClr w14:val="tx1"/>
                  </w14:solidFill>
                </w14:textFill>
              </w:rPr>
              <w:t>信银理财或代销机构</w:t>
            </w:r>
            <w:r>
              <w:rPr>
                <w:rFonts w:hint="eastAsia" w:ascii="楷体_GB2312" w:eastAsia="楷体_GB2312" w:cs="楷体_GB2312"/>
                <w:color w:val="000000" w:themeColor="text1"/>
                <w:sz w:val="20"/>
                <w:szCs w:val="20"/>
                <w:highlight w:val="none"/>
                <w14:textFill>
                  <w14:solidFill>
                    <w14:schemeClr w14:val="tx1"/>
                  </w14:solidFill>
                </w14:textFill>
              </w:rPr>
              <w:t>网点</w:t>
            </w:r>
            <w:r>
              <w:rPr>
                <w:rFonts w:ascii="楷体_GB2312" w:eastAsia="楷体_GB2312" w:cs="楷体_GB2312"/>
                <w:color w:val="000000" w:themeColor="text1"/>
                <w:sz w:val="20"/>
                <w:szCs w:val="20"/>
                <w:highlight w:val="none"/>
                <w14:textFill>
                  <w14:solidFill>
                    <w14:schemeClr w14:val="tx1"/>
                  </w14:solidFill>
                </w14:textFill>
              </w:rPr>
              <w:t>或线上办理要求。</w:t>
            </w:r>
          </w:p>
        </w:tc>
      </w:tr>
      <w:tr w14:paraId="31049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59" w:type="pct"/>
            <w:vAlign w:val="center"/>
          </w:tcPr>
          <w:p w14:paraId="7CC69757">
            <w:pPr>
              <w:spacing w:line="300" w:lineRule="exact"/>
              <w:ind w:left="-2" w:leftChars="-1" w:right="36" w:rightChars="15"/>
              <w:rPr>
                <w:rFonts w:eastAsia="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信息披露</w:t>
            </w:r>
          </w:p>
        </w:tc>
        <w:tc>
          <w:tcPr>
            <w:tcW w:w="3740" w:type="pct"/>
            <w:vAlign w:val="center"/>
          </w:tcPr>
          <w:p w14:paraId="020CC8FE">
            <w:pPr>
              <w:pStyle w:val="19"/>
              <w:numPr>
                <w:ilvl w:val="3"/>
                <w:numId w:val="5"/>
              </w:numPr>
              <w:spacing w:line="300" w:lineRule="exact"/>
              <w:ind w:left="427" w:right="36" w:rightChars="15" w:hanging="42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信银理财</w:t>
            </w:r>
            <w:r>
              <w:rPr>
                <w:rFonts w:ascii="楷体_GB2312" w:eastAsia="楷体_GB2312" w:cs="楷体_GB2312"/>
                <w:color w:val="000000" w:themeColor="text1"/>
                <w:sz w:val="20"/>
                <w:szCs w:val="20"/>
                <w:highlight w:val="none"/>
                <w14:textFill>
                  <w14:solidFill>
                    <w14:schemeClr w14:val="tx1"/>
                  </w14:solidFill>
                </w14:textFill>
              </w:rPr>
              <w:t>将通过【</w:t>
            </w:r>
            <w:r>
              <w:rPr>
                <w:rFonts w:hint="eastAsia" w:ascii="楷体_GB2312" w:eastAsia="楷体_GB2312" w:cs="楷体_GB2312"/>
                <w:color w:val="000000" w:themeColor="text1"/>
                <w:sz w:val="20"/>
                <w:szCs w:val="20"/>
                <w:highlight w:val="none"/>
                <w14:textFill>
                  <w14:solidFill>
                    <w14:schemeClr w14:val="tx1"/>
                  </w14:solidFill>
                </w14:textFill>
              </w:rPr>
              <w:t>信银理财官方网站（</w:t>
            </w:r>
            <w:r>
              <w:rPr>
                <w:highlight w:val="none"/>
              </w:rPr>
              <w:fldChar w:fldCharType="begin"/>
            </w:r>
            <w:r>
              <w:rPr>
                <w:highlight w:val="none"/>
              </w:rPr>
              <w:instrText xml:space="preserve"> HYPERLINK "http://www.citic-wealth.com" </w:instrText>
            </w:r>
            <w:r>
              <w:rPr>
                <w:highlight w:val="none"/>
              </w:rPr>
              <w:fldChar w:fldCharType="separate"/>
            </w:r>
            <w:r>
              <w:rPr>
                <w:rStyle w:val="11"/>
                <w:rFonts w:ascii="楷体_GB2312" w:eastAsia="楷体_GB2312" w:cs="楷体_GB2312"/>
                <w:sz w:val="20"/>
                <w:szCs w:val="20"/>
                <w:highlight w:val="none"/>
              </w:rPr>
              <w:t>http://www.citic-wealth.com</w:t>
            </w:r>
            <w:r>
              <w:rPr>
                <w:rStyle w:val="11"/>
                <w:rFonts w:ascii="楷体_GB2312" w:eastAsia="楷体_GB2312" w:cs="楷体_GB2312"/>
                <w:sz w:val="20"/>
                <w:szCs w:val="20"/>
                <w:highlight w:val="none"/>
              </w:rPr>
              <w:fldChar w:fldCharType="end"/>
            </w: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披露</w:t>
            </w:r>
            <w:r>
              <w:rPr>
                <w:rFonts w:ascii="楷体_GB2312" w:eastAsia="楷体_GB2312" w:cs="楷体_GB2312"/>
                <w:color w:val="000000" w:themeColor="text1"/>
                <w:sz w:val="20"/>
                <w:szCs w:val="20"/>
                <w:highlight w:val="none"/>
                <w14:textFill>
                  <w14:solidFill>
                    <w14:schemeClr w14:val="tx1"/>
                  </w14:solidFill>
                </w14:textFill>
              </w:rPr>
              <w:t>本理财产品的各类信息</w:t>
            </w: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并按照国家金融监督管理总局</w:t>
            </w:r>
            <w:r>
              <w:rPr>
                <w:rFonts w:ascii="楷体_GB2312" w:eastAsia="楷体_GB2312" w:cs="楷体_GB2312"/>
                <w:color w:val="000000" w:themeColor="text1"/>
                <w:sz w:val="20"/>
                <w:szCs w:val="20"/>
                <w:highlight w:val="none"/>
                <w14:textFill>
                  <w14:solidFill>
                    <w14:schemeClr w14:val="tx1"/>
                  </w14:solidFill>
                </w14:textFill>
              </w:rPr>
              <w:t>规定</w:t>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在【中国理财网（www.chinawealth.com.cn）】披露本理财产品的相关信息</w:t>
            </w:r>
            <w:r>
              <w:rPr>
                <w:rFonts w:ascii="楷体_GB2312" w:eastAsia="楷体_GB2312" w:cs="楷体_GB2312"/>
                <w:color w:val="000000" w:themeColor="text1"/>
                <w:sz w:val="20"/>
                <w:szCs w:val="20"/>
                <w:highlight w:val="none"/>
                <w14:textFill>
                  <w14:solidFill>
                    <w14:schemeClr w14:val="tx1"/>
                  </w14:solidFill>
                </w14:textFill>
              </w:rPr>
              <w:t>。</w:t>
            </w:r>
          </w:p>
          <w:p w14:paraId="1180A691">
            <w:pPr>
              <w:pStyle w:val="19"/>
              <w:numPr>
                <w:ilvl w:val="3"/>
                <w:numId w:val="5"/>
              </w:numPr>
              <w:spacing w:line="300" w:lineRule="exact"/>
              <w:ind w:left="427" w:right="36" w:rightChars="15" w:hanging="42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本理财产品存续期间内，信银理财有权提前【2】个工作日向投资者发出</w:t>
            </w:r>
            <w:r>
              <w:rPr>
                <w:rFonts w:ascii="楷体_GB2312" w:eastAsia="楷体_GB2312" w:cs="楷体_GB2312"/>
                <w:color w:val="000000" w:themeColor="text1"/>
                <w:sz w:val="20"/>
                <w:szCs w:val="20"/>
                <w:highlight w:val="none"/>
                <w14:textFill>
                  <w14:solidFill>
                    <w14:schemeClr w14:val="tx1"/>
                  </w14:solidFill>
                </w14:textFill>
              </w:rPr>
              <w:t>通知</w:t>
            </w:r>
            <w:r>
              <w:rPr>
                <w:rFonts w:hint="eastAsia" w:ascii="楷体_GB2312" w:eastAsia="楷体_GB2312" w:cs="楷体_GB2312"/>
                <w:color w:val="000000" w:themeColor="text1"/>
                <w:sz w:val="20"/>
                <w:szCs w:val="20"/>
                <w:highlight w:val="none"/>
                <w14:textFill>
                  <w14:solidFill>
                    <w14:schemeClr w14:val="tx1"/>
                  </w14:solidFill>
                </w14:textFill>
              </w:rPr>
              <w:t>，以</w:t>
            </w:r>
            <w:r>
              <w:rPr>
                <w:rFonts w:ascii="楷体_GB2312" w:eastAsia="楷体_GB2312" w:cs="楷体_GB2312"/>
                <w:color w:val="000000" w:themeColor="text1"/>
                <w:sz w:val="20"/>
                <w:szCs w:val="20"/>
                <w:highlight w:val="none"/>
                <w14:textFill>
                  <w14:solidFill>
                    <w14:schemeClr w14:val="tx1"/>
                  </w14:solidFill>
                </w14:textFill>
              </w:rPr>
              <w:t>符合监管规定的方式</w:t>
            </w:r>
            <w:r>
              <w:rPr>
                <w:rFonts w:hint="eastAsia" w:ascii="楷体_GB2312" w:eastAsia="楷体_GB2312" w:cs="楷体_GB2312"/>
                <w:color w:val="000000" w:themeColor="text1"/>
                <w:sz w:val="20"/>
                <w:szCs w:val="20"/>
                <w:highlight w:val="none"/>
                <w14:textFill>
                  <w14:solidFill>
                    <w14:schemeClr w14:val="tx1"/>
                  </w14:solidFill>
                </w14:textFill>
              </w:rPr>
              <w:t>对说明书条款进行补充、说明和修改，投资者不接受的，可于最近</w:t>
            </w:r>
            <w:r>
              <w:rPr>
                <w:rFonts w:ascii="楷体_GB2312" w:eastAsia="楷体_GB2312" w:cs="楷体_GB2312"/>
                <w:color w:val="000000" w:themeColor="text1"/>
                <w:sz w:val="20"/>
                <w:szCs w:val="20"/>
                <w:highlight w:val="none"/>
                <w14:textFill>
                  <w14:solidFill>
                    <w14:schemeClr w14:val="tx1"/>
                  </w14:solidFill>
                </w14:textFill>
              </w:rPr>
              <w:t>一个</w:t>
            </w:r>
            <w:r>
              <w:rPr>
                <w:rFonts w:hint="eastAsia" w:ascii="楷体_GB2312" w:eastAsia="楷体_GB2312" w:cs="楷体_GB2312"/>
                <w:color w:val="000000" w:themeColor="text1"/>
                <w:sz w:val="20"/>
                <w:szCs w:val="20"/>
                <w:highlight w:val="none"/>
                <w14:textFill>
                  <w14:solidFill>
                    <w14:schemeClr w14:val="tx1"/>
                  </w14:solidFill>
                </w14:textFill>
              </w:rPr>
              <w:t>开放日赎回理财产品。信银理财有权</w:t>
            </w:r>
            <w:r>
              <w:rPr>
                <w:rFonts w:ascii="楷体_GB2312" w:eastAsia="楷体_GB2312" w:cs="楷体_GB2312"/>
                <w:color w:val="000000" w:themeColor="text1"/>
                <w:sz w:val="20"/>
                <w:szCs w:val="20"/>
                <w:highlight w:val="none"/>
                <w14:textFill>
                  <w14:solidFill>
                    <w14:schemeClr w14:val="tx1"/>
                  </w14:solidFill>
                </w14:textFill>
              </w:rPr>
              <w:t>根据情况决定增加临时开放日。</w:t>
            </w:r>
            <w:r>
              <w:rPr>
                <w:rFonts w:hint="eastAsia" w:ascii="楷体_GB2312" w:eastAsia="楷体_GB2312" w:cs="楷体_GB2312"/>
                <w:color w:val="000000" w:themeColor="text1"/>
                <w:sz w:val="20"/>
                <w:szCs w:val="20"/>
                <w:highlight w:val="none"/>
                <w14:textFill>
                  <w14:solidFill>
                    <w14:schemeClr w14:val="tx1"/>
                  </w14:solidFill>
                </w14:textFill>
              </w:rPr>
              <w:t>信银理财根据</w:t>
            </w:r>
            <w:r>
              <w:rPr>
                <w:rFonts w:ascii="楷体_GB2312" w:eastAsia="楷体_GB2312" w:cs="楷体_GB2312"/>
                <w:color w:val="000000" w:themeColor="text1"/>
                <w:sz w:val="20"/>
                <w:szCs w:val="20"/>
                <w:highlight w:val="none"/>
                <w14:textFill>
                  <w14:solidFill>
                    <w14:schemeClr w14:val="tx1"/>
                  </w14:solidFill>
                </w14:textFill>
              </w:rPr>
              <w:t>法律法规</w:t>
            </w:r>
            <w:r>
              <w:rPr>
                <w:rFonts w:hint="eastAsia" w:ascii="楷体_GB2312" w:eastAsia="楷体_GB2312" w:cs="楷体_GB2312"/>
                <w:color w:val="000000" w:themeColor="text1"/>
                <w:sz w:val="20"/>
                <w:szCs w:val="20"/>
                <w:highlight w:val="none"/>
                <w14:textFill>
                  <w14:solidFill>
                    <w14:schemeClr w14:val="tx1"/>
                  </w14:solidFill>
                </w14:textFill>
              </w:rPr>
              <w:t>、监管</w:t>
            </w:r>
            <w:r>
              <w:rPr>
                <w:rFonts w:ascii="楷体_GB2312" w:eastAsia="楷体_GB2312" w:cs="楷体_GB2312"/>
                <w:color w:val="000000" w:themeColor="text1"/>
                <w:sz w:val="20"/>
                <w:szCs w:val="20"/>
                <w:highlight w:val="none"/>
                <w14:textFill>
                  <w14:solidFill>
                    <w14:schemeClr w14:val="tx1"/>
                  </w14:solidFill>
                </w14:textFill>
              </w:rPr>
              <w:t>规定</w:t>
            </w:r>
            <w:r>
              <w:rPr>
                <w:rFonts w:hint="eastAsia" w:ascii="楷体_GB2312" w:eastAsia="楷体_GB2312" w:cs="楷体_GB2312"/>
                <w:color w:val="000000" w:themeColor="text1"/>
                <w:sz w:val="20"/>
                <w:szCs w:val="20"/>
                <w:highlight w:val="none"/>
                <w14:textFill>
                  <w14:solidFill>
                    <w14:schemeClr w14:val="tx1"/>
                  </w14:solidFill>
                </w14:textFill>
              </w:rPr>
              <w:t>的</w:t>
            </w:r>
            <w:r>
              <w:rPr>
                <w:rFonts w:ascii="楷体_GB2312" w:eastAsia="楷体_GB2312" w:cs="楷体_GB2312"/>
                <w:color w:val="000000" w:themeColor="text1"/>
                <w:sz w:val="20"/>
                <w:szCs w:val="20"/>
                <w:highlight w:val="none"/>
                <w14:textFill>
                  <w14:solidFill>
                    <w14:schemeClr w14:val="tx1"/>
                  </w14:solidFill>
                </w14:textFill>
              </w:rPr>
              <w:t>强制性要求</w:t>
            </w:r>
            <w:r>
              <w:rPr>
                <w:rFonts w:hint="eastAsia" w:ascii="楷体_GB2312" w:eastAsia="楷体_GB2312" w:cs="楷体_GB2312"/>
                <w:color w:val="000000" w:themeColor="text1"/>
                <w:sz w:val="20"/>
                <w:szCs w:val="20"/>
                <w:highlight w:val="none"/>
                <w14:textFill>
                  <w14:solidFill>
                    <w14:schemeClr w14:val="tx1"/>
                  </w14:solidFill>
                </w14:textFill>
              </w:rPr>
              <w:t>对产品</w:t>
            </w:r>
            <w:r>
              <w:rPr>
                <w:rFonts w:ascii="楷体_GB2312" w:eastAsia="楷体_GB2312" w:cs="楷体_GB2312"/>
                <w:color w:val="000000" w:themeColor="text1"/>
                <w:sz w:val="20"/>
                <w:szCs w:val="20"/>
                <w:highlight w:val="none"/>
                <w14:textFill>
                  <w14:solidFill>
                    <w14:schemeClr w14:val="tx1"/>
                  </w14:solidFill>
                </w14:textFill>
              </w:rPr>
              <w:t>说明书做出修改的，无须</w:t>
            </w:r>
            <w:r>
              <w:rPr>
                <w:rFonts w:hint="eastAsia" w:ascii="楷体_GB2312" w:eastAsia="楷体_GB2312" w:cs="楷体_GB2312"/>
                <w:color w:val="000000" w:themeColor="text1"/>
                <w:sz w:val="20"/>
                <w:szCs w:val="20"/>
                <w:highlight w:val="none"/>
                <w14:textFill>
                  <w14:solidFill>
                    <w14:schemeClr w14:val="tx1"/>
                  </w14:solidFill>
                </w14:textFill>
              </w:rPr>
              <w:t>取得</w:t>
            </w:r>
            <w:r>
              <w:rPr>
                <w:rFonts w:ascii="楷体_GB2312" w:eastAsia="楷体_GB2312" w:cs="楷体_GB2312"/>
                <w:color w:val="000000" w:themeColor="text1"/>
                <w:sz w:val="20"/>
                <w:szCs w:val="20"/>
                <w:highlight w:val="none"/>
                <w14:textFill>
                  <w14:solidFill>
                    <w14:schemeClr w14:val="tx1"/>
                  </w14:solidFill>
                </w14:textFill>
              </w:rPr>
              <w:t>投资</w:t>
            </w:r>
            <w:r>
              <w:rPr>
                <w:rFonts w:hint="eastAsia" w:ascii="楷体_GB2312" w:eastAsia="楷体_GB2312" w:cs="楷体_GB2312"/>
                <w:color w:val="000000" w:themeColor="text1"/>
                <w:sz w:val="20"/>
                <w:szCs w:val="20"/>
                <w:highlight w:val="none"/>
                <w14:textFill>
                  <w14:solidFill>
                    <w14:schemeClr w14:val="tx1"/>
                  </w14:solidFill>
                </w14:textFill>
              </w:rPr>
              <w:t>者</w:t>
            </w:r>
            <w:r>
              <w:rPr>
                <w:rFonts w:ascii="楷体_GB2312" w:eastAsia="楷体_GB2312" w:cs="楷体_GB2312"/>
                <w:color w:val="000000" w:themeColor="text1"/>
                <w:sz w:val="20"/>
                <w:szCs w:val="20"/>
                <w:highlight w:val="none"/>
                <w14:textFill>
                  <w14:solidFill>
                    <w14:schemeClr w14:val="tx1"/>
                  </w14:solidFill>
                </w14:textFill>
              </w:rPr>
              <w:t>同意。</w:t>
            </w:r>
          </w:p>
          <w:p w14:paraId="23924610">
            <w:pPr>
              <w:pStyle w:val="19"/>
              <w:numPr>
                <w:ilvl w:val="3"/>
                <w:numId w:val="5"/>
              </w:numPr>
              <w:spacing w:line="300" w:lineRule="exact"/>
              <w:ind w:left="427" w:right="36" w:rightChars="15" w:hanging="42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如信银理财</w:t>
            </w:r>
            <w:r>
              <w:rPr>
                <w:rFonts w:ascii="楷体_GB2312" w:eastAsia="楷体_GB2312" w:cs="楷体_GB2312"/>
                <w:color w:val="000000" w:themeColor="text1"/>
                <w:sz w:val="20"/>
                <w:szCs w:val="20"/>
                <w:highlight w:val="none"/>
                <w14:textFill>
                  <w14:solidFill>
                    <w14:schemeClr w14:val="tx1"/>
                  </w14:solidFill>
                </w14:textFill>
              </w:rPr>
              <w:t>决定理财产品不成立，将在决定本理财产品不成立后的【2】</w:t>
            </w:r>
            <w:r>
              <w:rPr>
                <w:rFonts w:hint="eastAsia" w:ascii="楷体_GB2312" w:eastAsia="楷体_GB2312" w:cs="楷体_GB2312"/>
                <w:color w:val="000000" w:themeColor="text1"/>
                <w:sz w:val="20"/>
                <w:szCs w:val="20"/>
                <w:highlight w:val="none"/>
                <w14:textFill>
                  <w14:solidFill>
                    <w14:schemeClr w14:val="tx1"/>
                  </w14:solidFill>
                </w14:textFill>
              </w:rPr>
              <w:t>个</w:t>
            </w:r>
            <w:r>
              <w:rPr>
                <w:rFonts w:ascii="楷体_GB2312" w:eastAsia="楷体_GB2312" w:cs="楷体_GB2312"/>
                <w:color w:val="000000" w:themeColor="text1"/>
                <w:sz w:val="20"/>
                <w:szCs w:val="20"/>
                <w:highlight w:val="none"/>
                <w14:textFill>
                  <w14:solidFill>
                    <w14:schemeClr w14:val="tx1"/>
                  </w14:solidFill>
                </w14:textFill>
              </w:rPr>
              <w:t>工作日</w:t>
            </w:r>
            <w:r>
              <w:rPr>
                <w:rFonts w:hint="eastAsia" w:ascii="楷体_GB2312" w:eastAsia="楷体_GB2312" w:cs="楷体_GB2312"/>
                <w:color w:val="000000" w:themeColor="text1"/>
                <w:sz w:val="20"/>
                <w:szCs w:val="20"/>
                <w:highlight w:val="none"/>
                <w14:textFill>
                  <w14:solidFill>
                    <w14:schemeClr w14:val="tx1"/>
                  </w14:solidFill>
                </w14:textFill>
              </w:rPr>
              <w:t>内向</w:t>
            </w:r>
            <w:r>
              <w:rPr>
                <w:rFonts w:ascii="楷体_GB2312" w:eastAsia="楷体_GB2312" w:cs="楷体_GB2312"/>
                <w:color w:val="000000" w:themeColor="text1"/>
                <w:sz w:val="20"/>
                <w:szCs w:val="20"/>
                <w:highlight w:val="none"/>
                <w14:textFill>
                  <w14:solidFill>
                    <w14:schemeClr w14:val="tx1"/>
                  </w14:solidFill>
                </w14:textFill>
              </w:rPr>
              <w:t>投资者发布信息。</w:t>
            </w:r>
          </w:p>
          <w:p w14:paraId="19010223">
            <w:pPr>
              <w:pStyle w:val="19"/>
              <w:numPr>
                <w:ilvl w:val="0"/>
                <w:numId w:val="1"/>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如信银理财</w:t>
            </w:r>
            <w:r>
              <w:rPr>
                <w:rFonts w:ascii="楷体_GB2312" w:eastAsia="楷体_GB2312" w:cs="楷体_GB2312"/>
                <w:color w:val="000000" w:themeColor="text1"/>
                <w:sz w:val="20"/>
                <w:szCs w:val="20"/>
                <w:highlight w:val="none"/>
                <w14:textFill>
                  <w14:solidFill>
                    <w14:schemeClr w14:val="tx1"/>
                  </w14:solidFill>
                </w14:textFill>
              </w:rPr>
              <w:t>决定提前</w:t>
            </w:r>
            <w:r>
              <w:rPr>
                <w:rFonts w:hint="eastAsia" w:ascii="楷体_GB2312" w:eastAsia="楷体_GB2312" w:cs="楷体_GB2312"/>
                <w:color w:val="000000" w:themeColor="text1"/>
                <w:sz w:val="20"/>
                <w:szCs w:val="20"/>
                <w:highlight w:val="none"/>
                <w14:textFill>
                  <w14:solidFill>
                    <w14:schemeClr w14:val="tx1"/>
                  </w14:solidFill>
                </w14:textFill>
              </w:rPr>
              <w:t>结束募集期或</w:t>
            </w:r>
            <w:r>
              <w:rPr>
                <w:rFonts w:ascii="楷体_GB2312" w:eastAsia="楷体_GB2312" w:cs="楷体_GB2312"/>
                <w:color w:val="000000" w:themeColor="text1"/>
                <w:sz w:val="20"/>
                <w:szCs w:val="20"/>
                <w:highlight w:val="none"/>
                <w14:textFill>
                  <w14:solidFill>
                    <w14:schemeClr w14:val="tx1"/>
                  </w14:solidFill>
                </w14:textFill>
              </w:rPr>
              <w:t>延长募集期</w:t>
            </w:r>
            <w:r>
              <w:rPr>
                <w:rFonts w:hint="eastAsia" w:ascii="楷体_GB2312" w:eastAsia="楷体_GB2312" w:cs="楷体_GB2312"/>
                <w:color w:val="000000" w:themeColor="text1"/>
                <w:sz w:val="20"/>
                <w:szCs w:val="20"/>
                <w:highlight w:val="none"/>
                <w14:textFill>
                  <w14:solidFill>
                    <w14:schemeClr w14:val="tx1"/>
                  </w14:solidFill>
                </w14:textFill>
              </w:rPr>
              <w:t>的，将在</w:t>
            </w:r>
            <w:r>
              <w:rPr>
                <w:rFonts w:ascii="楷体_GB2312" w:eastAsia="楷体_GB2312" w:cs="楷体_GB2312"/>
                <w:color w:val="000000" w:themeColor="text1"/>
                <w:sz w:val="20"/>
                <w:szCs w:val="20"/>
                <w:highlight w:val="none"/>
                <w14:textFill>
                  <w14:solidFill>
                    <w14:schemeClr w14:val="tx1"/>
                  </w14:solidFill>
                </w14:textFill>
              </w:rPr>
              <w:t>决定调整募集期后的【2】</w:t>
            </w:r>
            <w:r>
              <w:rPr>
                <w:rFonts w:hint="eastAsia" w:ascii="楷体_GB2312" w:eastAsia="楷体_GB2312" w:cs="楷体_GB2312"/>
                <w:color w:val="000000" w:themeColor="text1"/>
                <w:sz w:val="20"/>
                <w:szCs w:val="20"/>
                <w:highlight w:val="none"/>
                <w14:textFill>
                  <w14:solidFill>
                    <w14:schemeClr w14:val="tx1"/>
                  </w14:solidFill>
                </w14:textFill>
              </w:rPr>
              <w:t>个</w:t>
            </w:r>
            <w:r>
              <w:rPr>
                <w:rFonts w:ascii="楷体_GB2312" w:eastAsia="楷体_GB2312" w:cs="楷体_GB2312"/>
                <w:color w:val="000000" w:themeColor="text1"/>
                <w:sz w:val="20"/>
                <w:szCs w:val="20"/>
                <w:highlight w:val="none"/>
                <w14:textFill>
                  <w14:solidFill>
                    <w14:schemeClr w14:val="tx1"/>
                  </w14:solidFill>
                </w14:textFill>
              </w:rPr>
              <w:t>工作日内向</w:t>
            </w:r>
            <w:r>
              <w:rPr>
                <w:rFonts w:hint="eastAsia" w:ascii="楷体_GB2312" w:eastAsia="楷体_GB2312" w:cs="楷体_GB2312"/>
                <w:color w:val="000000" w:themeColor="text1"/>
                <w:sz w:val="20"/>
                <w:szCs w:val="20"/>
                <w:highlight w:val="none"/>
                <w14:textFill>
                  <w14:solidFill>
                    <w14:schemeClr w14:val="tx1"/>
                  </w14:solidFill>
                </w14:textFill>
              </w:rPr>
              <w:t>投资者发布</w:t>
            </w:r>
            <w:r>
              <w:rPr>
                <w:rFonts w:ascii="楷体_GB2312" w:eastAsia="楷体_GB2312" w:cs="楷体_GB2312"/>
                <w:color w:val="000000" w:themeColor="text1"/>
                <w:sz w:val="20"/>
                <w:szCs w:val="20"/>
                <w:highlight w:val="none"/>
                <w14:textFill>
                  <w14:solidFill>
                    <w14:schemeClr w14:val="tx1"/>
                  </w14:solidFill>
                </w14:textFill>
              </w:rPr>
              <w:t>相关信息。</w:t>
            </w:r>
          </w:p>
          <w:p w14:paraId="45B602AC">
            <w:pPr>
              <w:pStyle w:val="19"/>
              <w:numPr>
                <w:ilvl w:val="0"/>
                <w:numId w:val="1"/>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信银理财将</w:t>
            </w:r>
            <w:r>
              <w:rPr>
                <w:rFonts w:ascii="楷体_GB2312" w:eastAsia="楷体_GB2312" w:cs="楷体_GB2312"/>
                <w:color w:val="000000" w:themeColor="text1"/>
                <w:sz w:val="20"/>
                <w:szCs w:val="20"/>
                <w:highlight w:val="none"/>
                <w14:textFill>
                  <w14:solidFill>
                    <w14:schemeClr w14:val="tx1"/>
                  </w14:solidFill>
                </w14:textFill>
              </w:rPr>
              <w:t>在本产品成立后【</w:t>
            </w:r>
            <w:r>
              <w:rPr>
                <w:rFonts w:hint="eastAsia" w:ascii="楷体_GB2312" w:eastAsia="楷体_GB2312" w:cs="楷体_GB2312"/>
                <w:color w:val="000000" w:themeColor="text1"/>
                <w:sz w:val="20"/>
                <w:szCs w:val="20"/>
                <w:highlight w:val="none"/>
                <w14:textFill>
                  <w14:solidFill>
                    <w14:schemeClr w14:val="tx1"/>
                  </w14:solidFill>
                </w14:textFill>
              </w:rPr>
              <w:t>5</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个</w:t>
            </w:r>
            <w:r>
              <w:rPr>
                <w:rFonts w:ascii="楷体_GB2312" w:eastAsia="楷体_GB2312" w:cs="楷体_GB2312"/>
                <w:color w:val="000000" w:themeColor="text1"/>
                <w:sz w:val="20"/>
                <w:szCs w:val="20"/>
                <w:highlight w:val="none"/>
                <w14:textFill>
                  <w14:solidFill>
                    <w14:schemeClr w14:val="tx1"/>
                  </w14:solidFill>
                </w14:textFill>
              </w:rPr>
              <w:t>工作</w:t>
            </w:r>
            <w:r>
              <w:rPr>
                <w:rFonts w:hint="eastAsia" w:ascii="楷体_GB2312" w:eastAsia="楷体_GB2312" w:cs="楷体_GB2312"/>
                <w:color w:val="000000" w:themeColor="text1"/>
                <w:sz w:val="20"/>
                <w:szCs w:val="20"/>
                <w:highlight w:val="none"/>
                <w14:textFill>
                  <w14:solidFill>
                    <w14:schemeClr w14:val="tx1"/>
                  </w14:solidFill>
                </w14:textFill>
              </w:rPr>
              <w:t>日</w:t>
            </w:r>
            <w:r>
              <w:rPr>
                <w:rFonts w:ascii="楷体_GB2312" w:eastAsia="楷体_GB2312" w:cs="楷体_GB2312"/>
                <w:color w:val="000000" w:themeColor="text1"/>
                <w:sz w:val="20"/>
                <w:szCs w:val="20"/>
                <w:highlight w:val="none"/>
                <w14:textFill>
                  <w14:solidFill>
                    <w14:schemeClr w14:val="tx1"/>
                  </w14:solidFill>
                </w14:textFill>
              </w:rPr>
              <w:t>内披露发行公告。</w:t>
            </w:r>
          </w:p>
          <w:p w14:paraId="667B04FA">
            <w:pPr>
              <w:pStyle w:val="19"/>
              <w:numPr>
                <w:ilvl w:val="0"/>
                <w:numId w:val="1"/>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本</w:t>
            </w:r>
            <w:r>
              <w:rPr>
                <w:rFonts w:ascii="楷体_GB2312" w:eastAsia="楷体_GB2312" w:cs="楷体_GB2312"/>
                <w:color w:val="000000" w:themeColor="text1"/>
                <w:sz w:val="20"/>
                <w:szCs w:val="20"/>
                <w:highlight w:val="none"/>
                <w14:textFill>
                  <w14:solidFill>
                    <w14:schemeClr w14:val="tx1"/>
                  </w14:solidFill>
                </w14:textFill>
              </w:rPr>
              <w:t>产品成立后，</w:t>
            </w:r>
            <w:r>
              <w:rPr>
                <w:rFonts w:hint="eastAsia" w:ascii="楷体_GB2312" w:eastAsia="楷体_GB2312" w:cs="楷体_GB2312"/>
                <w:color w:val="000000" w:themeColor="text1"/>
                <w:sz w:val="20"/>
                <w:szCs w:val="20"/>
                <w:highlight w:val="none"/>
                <w14:textFill>
                  <w14:solidFill>
                    <w14:schemeClr w14:val="tx1"/>
                  </w14:solidFill>
                </w14:textFill>
              </w:rPr>
              <w:t>信银理财</w:t>
            </w:r>
            <w:r>
              <w:rPr>
                <w:rFonts w:ascii="楷体_GB2312" w:eastAsia="楷体_GB2312" w:cs="楷体_GB2312"/>
                <w:color w:val="000000" w:themeColor="text1"/>
                <w:sz w:val="20"/>
                <w:szCs w:val="20"/>
                <w:highlight w:val="none"/>
                <w14:textFill>
                  <w14:solidFill>
                    <w14:schemeClr w14:val="tx1"/>
                  </w14:solidFill>
                </w14:textFill>
              </w:rPr>
              <w:t>将</w:t>
            </w:r>
            <w:r>
              <w:rPr>
                <w:rFonts w:hint="eastAsia" w:ascii="楷体_GB2312" w:eastAsia="楷体_GB2312" w:cs="楷体_GB2312"/>
                <w:color w:val="000000" w:themeColor="text1"/>
                <w:sz w:val="20"/>
                <w:szCs w:val="20"/>
                <w:highlight w:val="none"/>
                <w14:textFill>
                  <w14:solidFill>
                    <w14:schemeClr w14:val="tx1"/>
                  </w14:solidFill>
                </w14:textFill>
              </w:rPr>
              <w:t>在</w:t>
            </w:r>
            <w:r>
              <w:rPr>
                <w:rFonts w:ascii="楷体_GB2312" w:eastAsia="楷体_GB2312" w:cs="楷体_GB2312"/>
                <w:color w:val="000000" w:themeColor="text1"/>
                <w:sz w:val="20"/>
                <w:szCs w:val="20"/>
                <w:highlight w:val="none"/>
                <w14:textFill>
                  <w14:solidFill>
                    <w14:schemeClr w14:val="tx1"/>
                  </w14:solidFill>
                </w14:textFill>
              </w:rPr>
              <w:t>每个开放日结束后【</w:t>
            </w:r>
            <w:r>
              <w:rPr>
                <w:rFonts w:hint="eastAsia" w:ascii="楷体_GB2312" w:eastAsia="楷体_GB2312" w:cs="楷体_GB2312"/>
                <w:color w:val="000000" w:themeColor="text1"/>
                <w:sz w:val="20"/>
                <w:szCs w:val="20"/>
                <w:highlight w:val="none"/>
                <w14:textFill>
                  <w14:solidFill>
                    <w14:schemeClr w14:val="tx1"/>
                  </w14:solidFill>
                </w14:textFill>
              </w:rPr>
              <w:t>2</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个</w:t>
            </w:r>
            <w:r>
              <w:rPr>
                <w:rFonts w:ascii="楷体_GB2312" w:eastAsia="楷体_GB2312" w:cs="楷体_GB2312"/>
                <w:color w:val="000000" w:themeColor="text1"/>
                <w:sz w:val="20"/>
                <w:szCs w:val="20"/>
                <w:highlight w:val="none"/>
                <w14:textFill>
                  <w14:solidFill>
                    <w14:schemeClr w14:val="tx1"/>
                  </w14:solidFill>
                </w14:textFill>
              </w:rPr>
              <w:t>工作</w:t>
            </w:r>
            <w:r>
              <w:rPr>
                <w:rFonts w:hint="eastAsia" w:ascii="楷体_GB2312" w:eastAsia="楷体_GB2312" w:cs="楷体_GB2312"/>
                <w:color w:val="000000" w:themeColor="text1"/>
                <w:sz w:val="20"/>
                <w:szCs w:val="20"/>
                <w:highlight w:val="none"/>
                <w14:textFill>
                  <w14:solidFill>
                    <w14:schemeClr w14:val="tx1"/>
                  </w14:solidFill>
                </w14:textFill>
              </w:rPr>
              <w:t>日</w:t>
            </w:r>
            <w:r>
              <w:rPr>
                <w:rFonts w:ascii="楷体_GB2312" w:eastAsia="楷体_GB2312" w:cs="楷体_GB2312"/>
                <w:color w:val="000000" w:themeColor="text1"/>
                <w:sz w:val="20"/>
                <w:szCs w:val="20"/>
                <w:highlight w:val="none"/>
                <w14:textFill>
                  <w14:solidFill>
                    <w14:schemeClr w14:val="tx1"/>
                  </w14:solidFill>
                </w14:textFill>
              </w:rPr>
              <w:t>内，</w:t>
            </w:r>
            <w:r>
              <w:rPr>
                <w:rFonts w:hint="eastAsia" w:ascii="楷体_GB2312" w:eastAsia="楷体_GB2312" w:cs="楷体_GB2312"/>
                <w:color w:val="000000" w:themeColor="text1"/>
                <w:sz w:val="20"/>
                <w:szCs w:val="20"/>
                <w:highlight w:val="none"/>
                <w14:textFill>
                  <w14:solidFill>
                    <w14:schemeClr w14:val="tx1"/>
                  </w14:solidFill>
                </w14:textFill>
              </w:rPr>
              <w:t>披露</w:t>
            </w:r>
            <w:r>
              <w:rPr>
                <w:rFonts w:ascii="楷体_GB2312" w:eastAsia="楷体_GB2312" w:cs="楷体_GB2312"/>
                <w:color w:val="000000" w:themeColor="text1"/>
                <w:sz w:val="20"/>
                <w:szCs w:val="20"/>
                <w:highlight w:val="none"/>
                <w14:textFill>
                  <w14:solidFill>
                    <w14:schemeClr w14:val="tx1"/>
                  </w14:solidFill>
                </w14:textFill>
              </w:rPr>
              <w:t>该开放日的份额净值、份额累计净值、认购</w:t>
            </w:r>
            <w:r>
              <w:rPr>
                <w:rFonts w:hint="eastAsia" w:ascii="楷体_GB2312" w:eastAsia="楷体_GB2312" w:cs="楷体_GB2312"/>
                <w:color w:val="000000" w:themeColor="text1"/>
                <w:sz w:val="20"/>
                <w:szCs w:val="20"/>
                <w:highlight w:val="none"/>
                <w14:textFill>
                  <w14:solidFill>
                    <w14:schemeClr w14:val="tx1"/>
                  </w14:solidFill>
                </w14:textFill>
              </w:rPr>
              <w:t>/申购</w:t>
            </w:r>
            <w:r>
              <w:rPr>
                <w:rFonts w:ascii="楷体_GB2312" w:eastAsia="楷体_GB2312" w:cs="楷体_GB2312"/>
                <w:color w:val="000000" w:themeColor="text1"/>
                <w:sz w:val="20"/>
                <w:szCs w:val="20"/>
                <w:highlight w:val="none"/>
                <w14:textFill>
                  <w14:solidFill>
                    <w14:schemeClr w14:val="tx1"/>
                  </w14:solidFill>
                </w14:textFill>
              </w:rPr>
              <w:t>价格和赎回价格</w:t>
            </w:r>
            <w:r>
              <w:rPr>
                <w:rFonts w:hint="eastAsia" w:ascii="楷体_GB2312" w:eastAsia="楷体_GB2312" w:cs="楷体_GB2312"/>
                <w:color w:val="000000" w:themeColor="text1"/>
                <w:sz w:val="20"/>
                <w:szCs w:val="20"/>
                <w:highlight w:val="none"/>
                <w14:textFill>
                  <w14:solidFill>
                    <w14:schemeClr w14:val="tx1"/>
                  </w14:solidFill>
                </w14:textFill>
              </w:rPr>
              <w:t>。</w:t>
            </w:r>
          </w:p>
          <w:p w14:paraId="3FB1570F">
            <w:pPr>
              <w:pStyle w:val="19"/>
              <w:numPr>
                <w:ilvl w:val="0"/>
                <w:numId w:val="1"/>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如本产品销售机构有新增、减少和变更，信银理财将提前【2】个工作日内向投资者发布相关信息。</w:t>
            </w:r>
          </w:p>
          <w:p w14:paraId="03E04CDE">
            <w:pPr>
              <w:pStyle w:val="19"/>
              <w:numPr>
                <w:ilvl w:val="0"/>
                <w:numId w:val="1"/>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如信银理财决定提前终止本产品，将于提前终止日前【2</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个工作日向投资者发布相关信息。</w:t>
            </w:r>
          </w:p>
          <w:p w14:paraId="67B81770">
            <w:pPr>
              <w:pStyle w:val="19"/>
              <w:numPr>
                <w:ilvl w:val="0"/>
                <w:numId w:val="1"/>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如本产品需延期清算，将于原定到期日前【2</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个工作日内向投资者发布相关信息。</w:t>
            </w:r>
          </w:p>
          <w:p w14:paraId="3F6F6CC1">
            <w:pPr>
              <w:pStyle w:val="19"/>
              <w:numPr>
                <w:ilvl w:val="0"/>
                <w:numId w:val="1"/>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信银理财将在本产品终止</w:t>
            </w:r>
            <w:r>
              <w:rPr>
                <w:rFonts w:ascii="楷体_GB2312" w:eastAsia="楷体_GB2312" w:cs="楷体_GB2312"/>
                <w:color w:val="000000" w:themeColor="text1"/>
                <w:sz w:val="20"/>
                <w:szCs w:val="20"/>
                <w:highlight w:val="none"/>
                <w14:textFill>
                  <w14:solidFill>
                    <w14:schemeClr w14:val="tx1"/>
                  </w14:solidFill>
                </w14:textFill>
              </w:rPr>
              <w:t>（包括</w:t>
            </w:r>
            <w:r>
              <w:rPr>
                <w:rFonts w:hint="eastAsia" w:ascii="楷体_GB2312" w:eastAsia="楷体_GB2312" w:cs="楷体_GB2312"/>
                <w:color w:val="000000" w:themeColor="text1"/>
                <w:sz w:val="20"/>
                <w:szCs w:val="20"/>
                <w:highlight w:val="none"/>
                <w14:textFill>
                  <w14:solidFill>
                    <w14:schemeClr w14:val="tx1"/>
                  </w14:solidFill>
                </w14:textFill>
              </w:rPr>
              <w:t>到期和</w:t>
            </w:r>
            <w:r>
              <w:rPr>
                <w:rFonts w:ascii="楷体_GB2312" w:eastAsia="楷体_GB2312" w:cs="楷体_GB2312"/>
                <w:color w:val="000000" w:themeColor="text1"/>
                <w:sz w:val="20"/>
                <w:szCs w:val="20"/>
                <w:highlight w:val="none"/>
                <w14:textFill>
                  <w14:solidFill>
                    <w14:schemeClr w14:val="tx1"/>
                  </w14:solidFill>
                </w14:textFill>
              </w:rPr>
              <w:t>提前终止）</w:t>
            </w:r>
            <w:r>
              <w:rPr>
                <w:rFonts w:hint="eastAsia" w:ascii="楷体_GB2312" w:eastAsia="楷体_GB2312" w:cs="楷体_GB2312"/>
                <w:color w:val="000000" w:themeColor="text1"/>
                <w:sz w:val="20"/>
                <w:szCs w:val="20"/>
                <w:highlight w:val="none"/>
                <w14:textFill>
                  <w14:solidFill>
                    <w14:schemeClr w14:val="tx1"/>
                  </w14:solidFill>
                </w14:textFill>
              </w:rPr>
              <w:t>日后【5】个工作日内，向投资者披露</w:t>
            </w:r>
            <w:r>
              <w:rPr>
                <w:rFonts w:ascii="楷体_GB2312" w:eastAsia="楷体_GB2312" w:cs="楷体_GB2312"/>
                <w:color w:val="000000" w:themeColor="text1"/>
                <w:sz w:val="20"/>
                <w:szCs w:val="20"/>
                <w:highlight w:val="none"/>
                <w14:textFill>
                  <w14:solidFill>
                    <w14:schemeClr w14:val="tx1"/>
                  </w14:solidFill>
                </w14:textFill>
              </w:rPr>
              <w:t>到期公告</w:t>
            </w:r>
            <w:r>
              <w:rPr>
                <w:rFonts w:hint="eastAsia" w:ascii="楷体_GB2312" w:eastAsia="楷体_GB2312" w:cs="楷体_GB2312"/>
                <w:color w:val="000000" w:themeColor="text1"/>
                <w:sz w:val="20"/>
                <w:szCs w:val="20"/>
                <w:highlight w:val="none"/>
                <w14:textFill>
                  <w14:solidFill>
                    <w14:schemeClr w14:val="tx1"/>
                  </w14:solidFill>
                </w14:textFill>
              </w:rPr>
              <w:t>，包括</w:t>
            </w:r>
            <w:r>
              <w:rPr>
                <w:rFonts w:ascii="楷体_GB2312" w:eastAsia="楷体_GB2312" w:cs="楷体_GB2312"/>
                <w:color w:val="000000" w:themeColor="text1"/>
                <w:sz w:val="20"/>
                <w:szCs w:val="20"/>
                <w:highlight w:val="none"/>
                <w14:textFill>
                  <w14:solidFill>
                    <w14:schemeClr w14:val="tx1"/>
                  </w14:solidFill>
                </w14:textFill>
              </w:rPr>
              <w:t>到期日产品单位净值在内的</w:t>
            </w:r>
            <w:r>
              <w:rPr>
                <w:rFonts w:hint="eastAsia" w:ascii="楷体_GB2312" w:eastAsia="楷体_GB2312" w:cs="楷体_GB2312"/>
                <w:color w:val="000000" w:themeColor="text1"/>
                <w:sz w:val="20"/>
                <w:szCs w:val="20"/>
                <w:highlight w:val="none"/>
                <w14:textFill>
                  <w14:solidFill>
                    <w14:schemeClr w14:val="tx1"/>
                  </w14:solidFill>
                </w14:textFill>
              </w:rPr>
              <w:t>到期相关信息。</w:t>
            </w:r>
          </w:p>
          <w:p w14:paraId="3A64D03D">
            <w:pPr>
              <w:pStyle w:val="19"/>
              <w:numPr>
                <w:ilvl w:val="0"/>
                <w:numId w:val="1"/>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管理人</w:t>
            </w:r>
            <w:r>
              <w:rPr>
                <w:rFonts w:ascii="楷体_GB2312" w:eastAsia="楷体_GB2312" w:cs="楷体_GB2312"/>
                <w:color w:val="000000" w:themeColor="text1"/>
                <w:sz w:val="20"/>
                <w:szCs w:val="20"/>
                <w:highlight w:val="none"/>
                <w14:textFill>
                  <w14:solidFill>
                    <w14:schemeClr w14:val="tx1"/>
                  </w14:solidFill>
                </w14:textFill>
              </w:rPr>
              <w:t>在运用收取短期赎回费、摆动定价等措施后，</w:t>
            </w:r>
            <w:r>
              <w:rPr>
                <w:rFonts w:hint="eastAsia" w:ascii="楷体_GB2312" w:eastAsia="楷体_GB2312" w:cs="楷体_GB2312"/>
                <w:color w:val="000000" w:themeColor="text1"/>
                <w:sz w:val="20"/>
                <w:szCs w:val="20"/>
                <w:highlight w:val="none"/>
                <w14:textFill>
                  <w14:solidFill>
                    <w14:schemeClr w14:val="tx1"/>
                  </w14:solidFill>
                </w14:textFill>
              </w:rPr>
              <w:t>将</w:t>
            </w:r>
            <w:r>
              <w:rPr>
                <w:rFonts w:ascii="楷体_GB2312" w:eastAsia="楷体_GB2312" w:cs="楷体_GB2312"/>
                <w:color w:val="000000" w:themeColor="text1"/>
                <w:sz w:val="20"/>
                <w:szCs w:val="20"/>
                <w:highlight w:val="none"/>
                <w14:textFill>
                  <w14:solidFill>
                    <w14:schemeClr w14:val="tx1"/>
                  </w14:solidFill>
                </w14:textFill>
              </w:rPr>
              <w:t>在【3</w:t>
            </w: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个交易日内告知投资者；在运用暂停</w:t>
            </w:r>
            <w:r>
              <w:rPr>
                <w:rFonts w:hint="eastAsia" w:ascii="楷体_GB2312" w:eastAsia="楷体_GB2312" w:cs="楷体_GB2312"/>
                <w:color w:val="000000" w:themeColor="text1"/>
                <w:sz w:val="20"/>
                <w:szCs w:val="20"/>
                <w:highlight w:val="none"/>
                <w14:textFill>
                  <w14:solidFill>
                    <w14:schemeClr w14:val="tx1"/>
                  </w14:solidFill>
                </w14:textFill>
              </w:rPr>
              <w:t>或</w:t>
            </w:r>
            <w:r>
              <w:rPr>
                <w:rFonts w:ascii="楷体_GB2312" w:eastAsia="楷体_GB2312" w:cs="楷体_GB2312"/>
                <w:color w:val="000000" w:themeColor="text1"/>
                <w:sz w:val="20"/>
                <w:szCs w:val="20"/>
                <w:highlight w:val="none"/>
                <w14:textFill>
                  <w14:solidFill>
                    <w14:schemeClr w14:val="tx1"/>
                  </w14:solidFill>
                </w14:textFill>
              </w:rPr>
              <w:t>拒绝认</w:t>
            </w:r>
            <w:r>
              <w:rPr>
                <w:rFonts w:hint="eastAsia" w:ascii="楷体_GB2312" w:eastAsia="楷体_GB2312" w:cs="楷体_GB2312"/>
                <w:color w:val="000000" w:themeColor="text1"/>
                <w:sz w:val="20"/>
                <w:szCs w:val="20"/>
                <w:highlight w:val="none"/>
                <w14:textFill>
                  <w14:solidFill>
                    <w14:schemeClr w14:val="tx1"/>
                  </w14:solidFill>
                </w14:textFill>
              </w:rPr>
              <w:t>/申</w:t>
            </w:r>
            <w:r>
              <w:rPr>
                <w:rFonts w:ascii="楷体_GB2312" w:eastAsia="楷体_GB2312" w:cs="楷体_GB2312"/>
                <w:color w:val="000000" w:themeColor="text1"/>
                <w:sz w:val="20"/>
                <w:szCs w:val="20"/>
                <w:highlight w:val="none"/>
                <w14:textFill>
                  <w14:solidFill>
                    <w14:schemeClr w14:val="tx1"/>
                  </w14:solidFill>
                </w14:textFill>
              </w:rPr>
              <w:t>购、延期办理巨额赎回申请、暂停</w:t>
            </w:r>
            <w:r>
              <w:rPr>
                <w:rFonts w:hint="eastAsia" w:ascii="楷体_GB2312" w:eastAsia="楷体_GB2312" w:cs="楷体_GB2312"/>
                <w:color w:val="000000" w:themeColor="text1"/>
                <w:sz w:val="20"/>
                <w:szCs w:val="20"/>
                <w:highlight w:val="none"/>
                <w14:textFill>
                  <w14:solidFill>
                    <w14:schemeClr w14:val="tx1"/>
                  </w14:solidFill>
                </w14:textFill>
              </w:rPr>
              <w:t>或</w:t>
            </w:r>
            <w:r>
              <w:rPr>
                <w:rFonts w:ascii="楷体_GB2312" w:eastAsia="楷体_GB2312" w:cs="楷体_GB2312"/>
                <w:color w:val="000000" w:themeColor="text1"/>
                <w:sz w:val="20"/>
                <w:szCs w:val="20"/>
                <w:highlight w:val="none"/>
                <w14:textFill>
                  <w14:solidFill>
                    <w14:schemeClr w14:val="tx1"/>
                  </w14:solidFill>
                </w14:textFill>
              </w:rPr>
              <w:t>拒绝接受赎回申请、延缓支付赎回款项、暂停理财产品估值等措施后，</w:t>
            </w: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3</w:t>
            </w: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个交易日内告知投资者，并说明运用相关措施的原因、拟采取的应对安排等。在发生涉及理财产品认购、赎回事项调整或潜在影响投资者赎回等事项时，及时发布临时公告</w:t>
            </w:r>
            <w:r>
              <w:rPr>
                <w:rFonts w:hint="eastAsia" w:ascii="楷体_GB2312" w:eastAsia="楷体_GB2312" w:cs="楷体_GB2312"/>
                <w:color w:val="000000" w:themeColor="text1"/>
                <w:sz w:val="20"/>
                <w:szCs w:val="20"/>
                <w:highlight w:val="none"/>
                <w14:textFill>
                  <w14:solidFill>
                    <w14:schemeClr w14:val="tx1"/>
                  </w14:solidFill>
                </w14:textFill>
              </w:rPr>
              <w:t>。</w:t>
            </w:r>
          </w:p>
          <w:p w14:paraId="27FE65A9">
            <w:pPr>
              <w:pStyle w:val="19"/>
              <w:numPr>
                <w:ilvl w:val="0"/>
                <w:numId w:val="1"/>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如因实际投资运作需要等因素，管理人有权增加或调整开放日</w:t>
            </w:r>
            <w:r>
              <w:rPr>
                <w:rFonts w:hint="eastAsia" w:ascii="楷体_GB2312" w:eastAsia="楷体_GB2312" w:cs="楷体_GB2312"/>
                <w:color w:val="000000" w:themeColor="text1"/>
                <w:sz w:val="20"/>
                <w:szCs w:val="20"/>
                <w:highlight w:val="none"/>
                <w14:textFill>
                  <w14:solidFill>
                    <w14:schemeClr w14:val="tx1"/>
                  </w14:solidFill>
                </w14:textFill>
              </w:rPr>
              <w:t>和</w:t>
            </w:r>
            <w:r>
              <w:rPr>
                <w:rFonts w:ascii="楷体_GB2312" w:eastAsia="楷体_GB2312" w:cs="楷体_GB2312"/>
                <w:color w:val="000000" w:themeColor="text1"/>
                <w:sz w:val="20"/>
                <w:szCs w:val="20"/>
                <w:highlight w:val="none"/>
                <w14:textFill>
                  <w14:solidFill>
                    <w14:schemeClr w14:val="tx1"/>
                  </w14:solidFill>
                </w14:textFill>
              </w:rPr>
              <w:t>到期日，并最迟于增加或调整生效前</w:t>
            </w:r>
            <w:r>
              <w:rPr>
                <w:rFonts w:hint="eastAsia" w:ascii="楷体_GB2312" w:eastAsia="楷体_GB2312" w:cs="楷体_GB2312"/>
                <w:color w:val="000000" w:themeColor="text1"/>
                <w:sz w:val="20"/>
                <w:szCs w:val="20"/>
                <w:highlight w:val="none"/>
                <w14:textFill>
                  <w14:solidFill>
                    <w14:schemeClr w14:val="tx1"/>
                  </w14:solidFill>
                </w14:textFill>
              </w:rPr>
              <w:t>【2</w:t>
            </w:r>
            <w:r>
              <w:rPr>
                <w:rFonts w:ascii="楷体_GB2312" w:eastAsia="楷体_GB2312" w:cs="楷体_GB2312"/>
                <w:color w:val="000000" w:themeColor="text1"/>
                <w:sz w:val="20"/>
                <w:szCs w:val="20"/>
                <w:highlight w:val="none"/>
                <w14:textFill>
                  <w14:solidFill>
                    <w14:schemeClr w14:val="tx1"/>
                  </w14:solidFill>
                </w14:textFill>
              </w:rPr>
              <w:t>】个工作日</w:t>
            </w:r>
            <w:r>
              <w:rPr>
                <w:rFonts w:hint="eastAsia" w:ascii="楷体_GB2312" w:eastAsia="楷体_GB2312" w:cs="楷体_GB2312"/>
                <w:color w:val="000000" w:themeColor="text1"/>
                <w:sz w:val="20"/>
                <w:szCs w:val="20"/>
                <w:highlight w:val="none"/>
                <w14:textFill>
                  <w14:solidFill>
                    <w14:schemeClr w14:val="tx1"/>
                  </w14:solidFill>
                </w14:textFill>
              </w:rPr>
              <w:t>向投资者发布相关信息</w:t>
            </w:r>
            <w:r>
              <w:rPr>
                <w:rFonts w:ascii="楷体_GB2312" w:eastAsia="楷体_GB2312" w:cs="楷体_GB2312"/>
                <w:color w:val="000000" w:themeColor="text1"/>
                <w:sz w:val="20"/>
                <w:szCs w:val="20"/>
                <w:highlight w:val="none"/>
                <w14:textFill>
                  <w14:solidFill>
                    <w14:schemeClr w14:val="tx1"/>
                  </w14:solidFill>
                </w14:textFill>
              </w:rPr>
              <w:t>。</w:t>
            </w:r>
          </w:p>
          <w:p w14:paraId="2CC3BF8C">
            <w:pPr>
              <w:pStyle w:val="19"/>
              <w:numPr>
                <w:ilvl w:val="0"/>
                <w:numId w:val="1"/>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在产品</w:t>
            </w:r>
            <w:r>
              <w:rPr>
                <w:rFonts w:ascii="楷体_GB2312" w:eastAsia="楷体_GB2312" w:cs="楷体_GB2312"/>
                <w:color w:val="000000" w:themeColor="text1"/>
                <w:sz w:val="20"/>
                <w:szCs w:val="20"/>
                <w:highlight w:val="none"/>
                <w14:textFill>
                  <w14:solidFill>
                    <w14:schemeClr w14:val="tx1"/>
                  </w14:solidFill>
                </w14:textFill>
              </w:rPr>
              <w:t>存续期间，</w:t>
            </w:r>
            <w:r>
              <w:rPr>
                <w:rFonts w:hint="eastAsia" w:ascii="楷体_GB2312" w:eastAsia="楷体_GB2312" w:cs="楷体_GB2312"/>
                <w:color w:val="000000" w:themeColor="text1"/>
                <w:sz w:val="20"/>
                <w:szCs w:val="20"/>
                <w:highlight w:val="none"/>
                <w14:textFill>
                  <w14:solidFill>
                    <w14:schemeClr w14:val="tx1"/>
                  </w14:solidFill>
                </w14:textFill>
              </w:rPr>
              <w:t>信银理财根据</w:t>
            </w:r>
            <w:r>
              <w:rPr>
                <w:rFonts w:ascii="楷体_GB2312" w:eastAsia="楷体_GB2312" w:cs="楷体_GB2312"/>
                <w:color w:val="000000" w:themeColor="text1"/>
                <w:sz w:val="20"/>
                <w:szCs w:val="20"/>
                <w:highlight w:val="none"/>
                <w14:textFill>
                  <w14:solidFill>
                    <w14:schemeClr w14:val="tx1"/>
                  </w14:solidFill>
                </w14:textFill>
              </w:rPr>
              <w:t>市场情况对投资范围、投资品种或投资比例进行调整</w:t>
            </w:r>
            <w:r>
              <w:rPr>
                <w:rFonts w:hint="eastAsia" w:ascii="楷体_GB2312" w:eastAsia="楷体_GB2312" w:cs="楷体_GB2312"/>
                <w:color w:val="000000" w:themeColor="text1"/>
                <w:sz w:val="20"/>
                <w:szCs w:val="20"/>
                <w:highlight w:val="none"/>
                <w14:textFill>
                  <w14:solidFill>
                    <w14:schemeClr w14:val="tx1"/>
                  </w14:solidFill>
                </w14:textFill>
              </w:rPr>
              <w:t>的</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将</w:t>
            </w:r>
            <w:r>
              <w:rPr>
                <w:rFonts w:ascii="楷体_GB2312" w:eastAsia="楷体_GB2312" w:cs="楷体_GB2312"/>
                <w:color w:val="000000" w:themeColor="text1"/>
                <w:sz w:val="20"/>
                <w:szCs w:val="20"/>
                <w:highlight w:val="none"/>
                <w14:textFill>
                  <w14:solidFill>
                    <w14:schemeClr w14:val="tx1"/>
                  </w14:solidFill>
                </w14:textFill>
              </w:rPr>
              <w:t>提前【2】个工作日告知</w:t>
            </w:r>
            <w:r>
              <w:rPr>
                <w:rFonts w:hint="eastAsia" w:ascii="楷体_GB2312" w:eastAsia="楷体_GB2312" w:cs="楷体_GB2312"/>
                <w:color w:val="000000" w:themeColor="text1"/>
                <w:sz w:val="20"/>
                <w:szCs w:val="20"/>
                <w:highlight w:val="none"/>
                <w14:textFill>
                  <w14:solidFill>
                    <w14:schemeClr w14:val="tx1"/>
                  </w14:solidFill>
                </w14:textFill>
              </w:rPr>
              <w:t>投资者</w:t>
            </w:r>
            <w:r>
              <w:rPr>
                <w:rFonts w:ascii="楷体_GB2312" w:eastAsia="楷体_GB2312" w:cs="楷体_GB2312"/>
                <w:color w:val="000000" w:themeColor="text1"/>
                <w:sz w:val="20"/>
                <w:szCs w:val="20"/>
                <w:highlight w:val="none"/>
                <w14:textFill>
                  <w14:solidFill>
                    <w14:schemeClr w14:val="tx1"/>
                  </w14:solidFill>
                </w14:textFill>
              </w:rPr>
              <w:t>。</w:t>
            </w:r>
          </w:p>
          <w:p w14:paraId="1D4BFAC3">
            <w:pPr>
              <w:pStyle w:val="19"/>
              <w:numPr>
                <w:ilvl w:val="0"/>
                <w:numId w:val="1"/>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如因法律法规、规范性文件的规定或市场变化等原因，信银理财确需调整本产品说明书项下收费标准的，应在变更</w:t>
            </w:r>
            <w:r>
              <w:rPr>
                <w:rFonts w:ascii="楷体_GB2312" w:eastAsia="楷体_GB2312"/>
                <w:color w:val="000000" w:themeColor="text1"/>
                <w:sz w:val="20"/>
                <w:szCs w:val="20"/>
                <w:highlight w:val="none"/>
                <w14:textFill>
                  <w14:solidFill>
                    <w14:schemeClr w14:val="tx1"/>
                  </w14:solidFill>
                </w14:textFill>
              </w:rPr>
              <w:t>生效前</w:t>
            </w:r>
            <w:r>
              <w:rPr>
                <w:rFonts w:hint="eastAsia" w:ascii="楷体_GB2312" w:eastAsia="楷体_GB2312"/>
                <w:color w:val="000000" w:themeColor="text1"/>
                <w:sz w:val="20"/>
                <w:szCs w:val="20"/>
                <w:highlight w:val="none"/>
                <w14:textFill>
                  <w14:solidFill>
                    <w14:schemeClr w14:val="tx1"/>
                  </w14:solidFill>
                </w14:textFill>
              </w:rPr>
              <w:t>【2</w:t>
            </w:r>
            <w:r>
              <w:rPr>
                <w:rFonts w:ascii="楷体_GB2312" w:eastAsia="楷体_GB2312"/>
                <w:color w:val="000000" w:themeColor="text1"/>
                <w:sz w:val="20"/>
                <w:szCs w:val="20"/>
                <w:highlight w:val="none"/>
                <w14:textFill>
                  <w14:solidFill>
                    <w14:schemeClr w14:val="tx1"/>
                  </w14:solidFill>
                </w14:textFill>
              </w:rPr>
              <w:t>】</w:t>
            </w:r>
            <w:r>
              <w:rPr>
                <w:rFonts w:hint="eastAsia" w:ascii="楷体_GB2312" w:eastAsia="楷体_GB2312"/>
                <w:color w:val="000000" w:themeColor="text1"/>
                <w:sz w:val="20"/>
                <w:szCs w:val="20"/>
                <w:highlight w:val="none"/>
                <w14:textFill>
                  <w14:solidFill>
                    <w14:schemeClr w14:val="tx1"/>
                  </w14:solidFill>
                </w14:textFill>
              </w:rPr>
              <w:t>个</w:t>
            </w:r>
            <w:r>
              <w:rPr>
                <w:rFonts w:ascii="楷体_GB2312" w:eastAsia="楷体_GB2312"/>
                <w:color w:val="000000" w:themeColor="text1"/>
                <w:sz w:val="20"/>
                <w:szCs w:val="20"/>
                <w:highlight w:val="none"/>
                <w14:textFill>
                  <w14:solidFill>
                    <w14:schemeClr w14:val="tx1"/>
                  </w14:solidFill>
                </w14:textFill>
              </w:rPr>
              <w:t>工作日</w:t>
            </w:r>
            <w:r>
              <w:rPr>
                <w:rFonts w:hint="eastAsia" w:ascii="楷体_GB2312" w:eastAsia="楷体_GB2312"/>
                <w:color w:val="000000" w:themeColor="text1"/>
                <w:sz w:val="20"/>
                <w:szCs w:val="20"/>
                <w:highlight w:val="none"/>
                <w14:textFill>
                  <w14:solidFill>
                    <w14:schemeClr w14:val="tx1"/>
                  </w14:solidFill>
                </w14:textFill>
              </w:rPr>
              <w:t>告知投资者。</w:t>
            </w:r>
          </w:p>
          <w:p w14:paraId="4ACC35E5">
            <w:pPr>
              <w:pStyle w:val="19"/>
              <w:numPr>
                <w:ilvl w:val="0"/>
                <w:numId w:val="1"/>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Times New Roman" w:hAnsi="Times New Roman" w:eastAsia="楷体_GB2312" w:cs="楷体_GB2312"/>
                <w:color w:val="000000" w:themeColor="text1"/>
                <w:sz w:val="20"/>
                <w:szCs w:val="20"/>
                <w:highlight w:val="none"/>
                <w14:textFill>
                  <w14:solidFill>
                    <w14:schemeClr w14:val="tx1"/>
                  </w14:solidFill>
                </w14:textFill>
              </w:rPr>
              <w:t>本</w:t>
            </w:r>
            <w:r>
              <w:rPr>
                <w:rFonts w:ascii="Times New Roman" w:hAnsi="Times New Roman" w:eastAsia="楷体_GB2312" w:cs="楷体_GB2312"/>
                <w:color w:val="000000" w:themeColor="text1"/>
                <w:sz w:val="20"/>
                <w:szCs w:val="20"/>
                <w:highlight w:val="none"/>
                <w14:textFill>
                  <w14:solidFill>
                    <w14:schemeClr w14:val="tx1"/>
                  </w14:solidFill>
                </w14:textFill>
              </w:rPr>
              <w:t>产品存续</w:t>
            </w:r>
            <w:r>
              <w:rPr>
                <w:rFonts w:hint="eastAsia" w:ascii="Times New Roman" w:hAnsi="Times New Roman" w:eastAsia="楷体_GB2312" w:cs="楷体_GB2312"/>
                <w:color w:val="000000" w:themeColor="text1"/>
                <w:sz w:val="20"/>
                <w:szCs w:val="20"/>
                <w:highlight w:val="none"/>
                <w14:textFill>
                  <w14:solidFill>
                    <w14:schemeClr w14:val="tx1"/>
                  </w14:solidFill>
                </w14:textFill>
              </w:rPr>
              <w:t>期间</w:t>
            </w:r>
            <w:r>
              <w:rPr>
                <w:rFonts w:ascii="Times New Roman" w:hAnsi="Times New Roman" w:eastAsia="楷体_GB2312" w:cs="楷体_GB2312"/>
                <w:color w:val="000000" w:themeColor="text1"/>
                <w:sz w:val="20"/>
                <w:szCs w:val="20"/>
                <w:highlight w:val="none"/>
                <w14:textFill>
                  <w14:solidFill>
                    <w14:schemeClr w14:val="tx1"/>
                  </w14:solidFill>
                </w14:textFill>
              </w:rPr>
              <w:t>，</w:t>
            </w:r>
            <w:r>
              <w:rPr>
                <w:rFonts w:hint="eastAsia" w:ascii="Times New Roman" w:hAnsi="Times New Roman" w:eastAsia="楷体_GB2312" w:cs="楷体_GB2312"/>
                <w:color w:val="000000" w:themeColor="text1"/>
                <w:sz w:val="20"/>
                <w:szCs w:val="20"/>
                <w:highlight w:val="none"/>
                <w14:textFill>
                  <w14:solidFill>
                    <w14:schemeClr w14:val="tx1"/>
                  </w14:solidFill>
                </w14:textFill>
              </w:rPr>
              <w:t>如</w:t>
            </w:r>
            <w:r>
              <w:rPr>
                <w:rFonts w:ascii="Times New Roman" w:hAnsi="Times New Roman" w:eastAsia="楷体_GB2312" w:cs="楷体_GB2312"/>
                <w:color w:val="000000" w:themeColor="text1"/>
                <w:sz w:val="20"/>
                <w:szCs w:val="20"/>
                <w:highlight w:val="none"/>
                <w14:textFill>
                  <w14:solidFill>
                    <w14:schemeClr w14:val="tx1"/>
                  </w14:solidFill>
                </w14:textFill>
              </w:rPr>
              <w:t>因市场</w:t>
            </w:r>
            <w:r>
              <w:rPr>
                <w:rFonts w:hint="eastAsia" w:ascii="Times New Roman" w:hAnsi="Times New Roman" w:eastAsia="楷体_GB2312" w:cs="楷体_GB2312"/>
                <w:color w:val="000000" w:themeColor="text1"/>
                <w:sz w:val="20"/>
                <w:szCs w:val="20"/>
                <w:highlight w:val="none"/>
                <w14:textFill>
                  <w14:solidFill>
                    <w14:schemeClr w14:val="tx1"/>
                  </w14:solidFill>
                </w14:textFill>
              </w:rPr>
              <w:t>重大</w:t>
            </w:r>
            <w:r>
              <w:rPr>
                <w:rFonts w:ascii="Times New Roman" w:hAnsi="Times New Roman" w:eastAsia="楷体_GB2312" w:cs="楷体_GB2312"/>
                <w:color w:val="000000" w:themeColor="text1"/>
                <w:sz w:val="20"/>
                <w:szCs w:val="20"/>
                <w:highlight w:val="none"/>
                <w14:textFill>
                  <w14:solidFill>
                    <w14:schemeClr w14:val="tx1"/>
                  </w14:solidFill>
                </w14:textFill>
              </w:rPr>
              <w:t>变化导致投资比例暂时超出</w:t>
            </w:r>
            <w:r>
              <w:rPr>
                <w:rFonts w:hint="eastAsia" w:ascii="Times New Roman" w:hAnsi="Times New Roman" w:eastAsia="楷体_GB2312" w:cs="楷体_GB2312"/>
                <w:color w:val="000000" w:themeColor="text1"/>
                <w:sz w:val="20"/>
                <w:szCs w:val="20"/>
                <w:highlight w:val="none"/>
                <w14:textFill>
                  <w14:solidFill>
                    <w14:schemeClr w14:val="tx1"/>
                  </w14:solidFill>
                </w14:textFill>
              </w:rPr>
              <w:t>本</w:t>
            </w:r>
            <w:r>
              <w:rPr>
                <w:rFonts w:ascii="Times New Roman" w:hAnsi="Times New Roman" w:eastAsia="楷体_GB2312" w:cs="楷体_GB2312"/>
                <w:color w:val="000000" w:themeColor="text1"/>
                <w:sz w:val="20"/>
                <w:szCs w:val="20"/>
                <w:highlight w:val="none"/>
                <w14:textFill>
                  <w14:solidFill>
                    <w14:schemeClr w14:val="tx1"/>
                  </w14:solidFill>
                </w14:textFill>
              </w:rPr>
              <w:t>说明书约定的投资比例区间</w:t>
            </w:r>
            <w:r>
              <w:rPr>
                <w:rFonts w:hint="eastAsia" w:ascii="Times New Roman" w:hAnsi="Times New Roman" w:eastAsia="楷体_GB2312" w:cs="楷体_GB2312"/>
                <w:color w:val="000000" w:themeColor="text1"/>
                <w:sz w:val="20"/>
                <w:szCs w:val="20"/>
                <w:highlight w:val="none"/>
                <w14:textFill>
                  <w14:solidFill>
                    <w14:schemeClr w14:val="tx1"/>
                  </w14:solidFill>
                </w14:textFill>
              </w:rPr>
              <w:t>且</w:t>
            </w:r>
            <w:r>
              <w:rPr>
                <w:rFonts w:ascii="Times New Roman" w:hAnsi="Times New Roman" w:eastAsia="楷体_GB2312" w:cs="楷体_GB2312"/>
                <w:color w:val="000000" w:themeColor="text1"/>
                <w:sz w:val="20"/>
                <w:szCs w:val="20"/>
                <w:highlight w:val="none"/>
                <w14:textFill>
                  <w14:solidFill>
                    <w14:schemeClr w14:val="tx1"/>
                  </w14:solidFill>
                </w14:textFill>
              </w:rPr>
              <w:t>可能对理财产品收益产生重大影响的，</w:t>
            </w:r>
            <w:r>
              <w:rPr>
                <w:rFonts w:hint="eastAsia" w:ascii="Times New Roman" w:hAnsi="Times New Roman" w:eastAsia="楷体_GB2312" w:cs="楷体_GB2312"/>
                <w:color w:val="000000" w:themeColor="text1"/>
                <w:sz w:val="20"/>
                <w:szCs w:val="20"/>
                <w:highlight w:val="none"/>
                <w14:textFill>
                  <w14:solidFill>
                    <w14:schemeClr w14:val="tx1"/>
                  </w14:solidFill>
                </w14:textFill>
              </w:rPr>
              <w:t>信银理财</w:t>
            </w:r>
            <w:r>
              <w:rPr>
                <w:rFonts w:ascii="Times New Roman" w:hAnsi="Times New Roman" w:eastAsia="楷体_GB2312" w:cs="楷体_GB2312"/>
                <w:color w:val="000000" w:themeColor="text1"/>
                <w:sz w:val="20"/>
                <w:szCs w:val="20"/>
                <w:highlight w:val="none"/>
                <w14:textFill>
                  <w14:solidFill>
                    <w14:schemeClr w14:val="tx1"/>
                  </w14:solidFill>
                </w14:textFill>
              </w:rPr>
              <w:t>将</w:t>
            </w:r>
            <w:r>
              <w:rPr>
                <w:rFonts w:hint="eastAsia" w:ascii="Times New Roman" w:hAnsi="Times New Roman" w:eastAsia="楷体_GB2312" w:cs="楷体_GB2312"/>
                <w:color w:val="000000" w:themeColor="text1"/>
                <w:sz w:val="20"/>
                <w:szCs w:val="20"/>
                <w:highlight w:val="none"/>
                <w14:textFill>
                  <w14:solidFill>
                    <w14:schemeClr w14:val="tx1"/>
                  </w14:solidFill>
                </w14:textFill>
              </w:rPr>
              <w:t>在【</w:t>
            </w:r>
            <w:r>
              <w:rPr>
                <w:rFonts w:hint="eastAsia" w:ascii="Times New Roman" w:hAnsi="Times New Roman" w:eastAsia="楷体_GB2312" w:cs="楷体_GB2312"/>
                <w:color w:val="000000" w:themeColor="text1"/>
                <w:sz w:val="20"/>
                <w:szCs w:val="20"/>
                <w:highlight w:val="none"/>
                <w:lang w:val="en-US" w:eastAsia="zh-CN"/>
                <w14:textFill>
                  <w14:solidFill>
                    <w14:schemeClr w14:val="tx1"/>
                  </w14:solidFill>
                </w14:textFill>
              </w:rPr>
              <w:t>5</w:t>
            </w:r>
            <w:r>
              <w:rPr>
                <w:rFonts w:hint="eastAsia" w:ascii="Times New Roman" w:hAnsi="Times New Roman" w:eastAsia="楷体_GB2312" w:cs="楷体_GB2312"/>
                <w:color w:val="000000" w:themeColor="text1"/>
                <w:sz w:val="20"/>
                <w:szCs w:val="20"/>
                <w:highlight w:val="none"/>
                <w14:textFill>
                  <w14:solidFill>
                    <w14:schemeClr w14:val="tx1"/>
                  </w14:solidFill>
                </w14:textFill>
              </w:rPr>
              <w:t>】个</w:t>
            </w:r>
            <w:r>
              <w:rPr>
                <w:rFonts w:ascii="Times New Roman" w:hAnsi="Times New Roman" w:eastAsia="楷体_GB2312" w:cs="楷体_GB2312"/>
                <w:color w:val="000000" w:themeColor="text1"/>
                <w:sz w:val="20"/>
                <w:szCs w:val="20"/>
                <w:highlight w:val="none"/>
                <w14:textFill>
                  <w14:solidFill>
                    <w14:schemeClr w14:val="tx1"/>
                  </w14:solidFill>
                </w14:textFill>
              </w:rPr>
              <w:t>工作日内</w:t>
            </w:r>
            <w:r>
              <w:rPr>
                <w:rFonts w:hint="eastAsia" w:ascii="Times New Roman" w:hAnsi="Times New Roman" w:eastAsia="楷体_GB2312" w:cs="楷体_GB2312"/>
                <w:color w:val="000000" w:themeColor="text1"/>
                <w:sz w:val="20"/>
                <w:szCs w:val="20"/>
                <w:highlight w:val="none"/>
                <w14:textFill>
                  <w14:solidFill>
                    <w14:schemeClr w14:val="tx1"/>
                  </w14:solidFill>
                </w14:textFill>
              </w:rPr>
              <w:t>告知投资者</w:t>
            </w:r>
            <w:r>
              <w:rPr>
                <w:rFonts w:ascii="Times New Roman" w:hAnsi="Times New Roman" w:eastAsia="楷体_GB2312" w:cs="楷体_GB2312"/>
                <w:color w:val="000000" w:themeColor="text1"/>
                <w:sz w:val="20"/>
                <w:szCs w:val="20"/>
                <w:highlight w:val="none"/>
                <w14:textFill>
                  <w14:solidFill>
                    <w14:schemeClr w14:val="tx1"/>
                  </w14:solidFill>
                </w14:textFill>
              </w:rPr>
              <w:t>。</w:t>
            </w:r>
          </w:p>
          <w:p w14:paraId="3839B47C">
            <w:pPr>
              <w:pStyle w:val="19"/>
              <w:numPr>
                <w:ilvl w:val="0"/>
                <w:numId w:val="1"/>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Times New Roman" w:hAnsi="Times New Roman" w:eastAsia="楷体_GB2312" w:cs="楷体_GB2312"/>
                <w:color w:val="000000" w:themeColor="text1"/>
                <w:sz w:val="20"/>
                <w:szCs w:val="20"/>
                <w:highlight w:val="none"/>
                <w14:textFill>
                  <w14:solidFill>
                    <w14:schemeClr w14:val="tx1"/>
                  </w14:solidFill>
                </w14:textFill>
              </w:rPr>
              <w:t>本产品存续期间，信银理财每【月】向投资者提供本产品的理财产品账单，投资者可以通过信银理财营业网点等渠道进行查询，也可致电信银理财客户服务热线咨询。投资者通过合作销售机构购买本产品的，可以通过合作销售机构的手机银行、网上银行、营业网点等渠道进行查询，具体查询方式以代销机构规则为准。产品账单内容包括但不限于投资者持有本产品份额、认购金额、份额净值、份额累计净值、净资产、收益情况、投资者理财交易账户发生的交易明细记录等。</w:t>
            </w:r>
          </w:p>
          <w:p w14:paraId="52D47665">
            <w:pPr>
              <w:pStyle w:val="19"/>
              <w:numPr>
                <w:ilvl w:val="0"/>
                <w:numId w:val="1"/>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本</w:t>
            </w:r>
            <w:r>
              <w:rPr>
                <w:rFonts w:ascii="楷体_GB2312" w:eastAsia="楷体_GB2312" w:cs="楷体_GB2312"/>
                <w:color w:val="000000" w:themeColor="text1"/>
                <w:sz w:val="20"/>
                <w:szCs w:val="20"/>
                <w:highlight w:val="none"/>
                <w14:textFill>
                  <w14:solidFill>
                    <w14:schemeClr w14:val="tx1"/>
                  </w14:solidFill>
                </w14:textFill>
              </w:rPr>
              <w:t>产品存续期间，</w:t>
            </w:r>
            <w:r>
              <w:rPr>
                <w:rFonts w:hint="eastAsia" w:ascii="楷体_GB2312" w:eastAsia="楷体_GB2312" w:cs="楷体_GB2312"/>
                <w:color w:val="000000" w:themeColor="text1"/>
                <w:sz w:val="20"/>
                <w:szCs w:val="20"/>
                <w:highlight w:val="none"/>
                <w14:textFill>
                  <w14:solidFill>
                    <w14:schemeClr w14:val="tx1"/>
                  </w14:solidFill>
                </w14:textFill>
              </w:rPr>
              <w:t>信银理财</w:t>
            </w:r>
            <w:r>
              <w:rPr>
                <w:rFonts w:ascii="楷体_GB2312" w:eastAsia="楷体_GB2312" w:cs="楷体_GB2312"/>
                <w:color w:val="000000" w:themeColor="text1"/>
                <w:sz w:val="20"/>
                <w:szCs w:val="20"/>
                <w:highlight w:val="none"/>
                <w14:textFill>
                  <w14:solidFill>
                    <w14:schemeClr w14:val="tx1"/>
                  </w14:solidFill>
                </w14:textFill>
              </w:rPr>
              <w:t>将向投资者</w:t>
            </w:r>
            <w:r>
              <w:rPr>
                <w:rFonts w:hint="eastAsia" w:ascii="楷体_GB2312" w:eastAsia="楷体_GB2312" w:cs="楷体_GB2312"/>
                <w:color w:val="000000" w:themeColor="text1"/>
                <w:sz w:val="20"/>
                <w:szCs w:val="20"/>
                <w:highlight w:val="none"/>
                <w14:textFill>
                  <w14:solidFill>
                    <w14:schemeClr w14:val="tx1"/>
                  </w14:solidFill>
                </w14:textFill>
              </w:rPr>
              <w:t>发布</w:t>
            </w:r>
            <w:r>
              <w:rPr>
                <w:rFonts w:ascii="楷体_GB2312" w:eastAsia="楷体_GB2312" w:cs="楷体_GB2312"/>
                <w:color w:val="000000" w:themeColor="text1"/>
                <w:sz w:val="20"/>
                <w:szCs w:val="20"/>
                <w:highlight w:val="none"/>
                <w14:textFill>
                  <w14:solidFill>
                    <w14:schemeClr w14:val="tx1"/>
                  </w14:solidFill>
                </w14:textFill>
              </w:rPr>
              <w:t>定期报告，</w:t>
            </w:r>
            <w:r>
              <w:rPr>
                <w:rFonts w:hint="eastAsia" w:ascii="楷体_GB2312" w:eastAsia="楷体_GB2312" w:cs="楷体_GB2312"/>
                <w:color w:val="000000" w:themeColor="text1"/>
                <w:sz w:val="20"/>
                <w:szCs w:val="20"/>
                <w:highlight w:val="none"/>
                <w14:textFill>
                  <w14:solidFill>
                    <w14:schemeClr w14:val="tx1"/>
                  </w14:solidFill>
                </w14:textFill>
              </w:rPr>
              <w:t>包括</w:t>
            </w:r>
            <w:r>
              <w:rPr>
                <w:rFonts w:ascii="楷体_GB2312" w:eastAsia="楷体_GB2312" w:cs="楷体_GB2312"/>
                <w:color w:val="000000" w:themeColor="text1"/>
                <w:sz w:val="20"/>
                <w:szCs w:val="20"/>
                <w:highlight w:val="none"/>
                <w14:textFill>
                  <w14:solidFill>
                    <w14:schemeClr w14:val="tx1"/>
                  </w14:solidFill>
                </w14:textFill>
              </w:rPr>
              <w:t>但不限于季度、半年和年度报告。</w:t>
            </w:r>
            <w:r>
              <w:rPr>
                <w:rFonts w:hint="eastAsia" w:ascii="楷体_GB2312" w:eastAsia="楷体_GB2312" w:cs="楷体_GB2312"/>
                <w:color w:val="000000" w:themeColor="text1"/>
                <w:sz w:val="20"/>
                <w:szCs w:val="20"/>
                <w:highlight w:val="none"/>
                <w:lang w:eastAsia="zh-CN"/>
                <w14:textFill>
                  <w14:solidFill>
                    <w14:schemeClr w14:val="tx1"/>
                  </w14:solidFill>
                </w14:textFill>
              </w:rPr>
              <w:t>管理人将在理财产品季度、半年和年度报告中披露理财产品组合资产情况及其流动性风险分析、投资资产类别和比例等。理财产品成立不足九十个自然日的，管理人可以不编制当期的季度、半年和年度报告。理财产品期限超过九十个自然日的，管理人将在存续期内至少披露一次定期报告。理财产品剩余存续期不足完整报告期，且到期公告包括对应定期报告内容的，可以不编制剩余存续期所对应的季度、半年和年度报告。</w:t>
            </w:r>
            <w:r>
              <w:rPr>
                <w:rFonts w:ascii="楷体_GB2312" w:eastAsia="楷体_GB2312" w:cs="楷体_GB2312"/>
                <w:color w:val="000000" w:themeColor="text1"/>
                <w:sz w:val="20"/>
                <w:szCs w:val="20"/>
                <w:highlight w:val="none"/>
                <w14:textFill>
                  <w14:solidFill>
                    <w14:schemeClr w14:val="tx1"/>
                  </w14:solidFill>
                </w14:textFill>
              </w:rPr>
              <w:t xml:space="preserve"> </w:t>
            </w:r>
          </w:p>
          <w:p w14:paraId="1FF04718">
            <w:pPr>
              <w:pStyle w:val="19"/>
              <w:numPr>
                <w:ilvl w:val="0"/>
                <w:numId w:val="1"/>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在</w:t>
            </w:r>
            <w:r>
              <w:rPr>
                <w:rFonts w:ascii="楷体_GB2312" w:eastAsia="楷体_GB2312" w:cs="楷体_GB2312"/>
                <w:color w:val="000000" w:themeColor="text1"/>
                <w:sz w:val="20"/>
                <w:szCs w:val="20"/>
                <w:highlight w:val="none"/>
                <w14:textFill>
                  <w14:solidFill>
                    <w14:schemeClr w14:val="tx1"/>
                  </w14:solidFill>
                </w14:textFill>
              </w:rPr>
              <w:t>本理财产品存续期间</w:t>
            </w:r>
            <w:r>
              <w:rPr>
                <w:rFonts w:hint="eastAsia" w:ascii="楷体_GB2312" w:eastAsia="楷体_GB2312" w:cs="楷体_GB2312"/>
                <w:color w:val="000000" w:themeColor="text1"/>
                <w:sz w:val="20"/>
                <w:szCs w:val="20"/>
                <w:highlight w:val="none"/>
                <w14:textFill>
                  <w14:solidFill>
                    <w14:schemeClr w14:val="tx1"/>
                  </w14:solidFill>
                </w14:textFill>
              </w:rPr>
              <w:t>信银理财</w:t>
            </w:r>
            <w:r>
              <w:rPr>
                <w:rFonts w:ascii="楷体_GB2312" w:eastAsia="楷体_GB2312" w:cs="楷体_GB2312"/>
                <w:color w:val="000000" w:themeColor="text1"/>
                <w:sz w:val="20"/>
                <w:szCs w:val="20"/>
                <w:highlight w:val="none"/>
                <w14:textFill>
                  <w14:solidFill>
                    <w14:schemeClr w14:val="tx1"/>
                  </w14:solidFill>
                </w14:textFill>
              </w:rPr>
              <w:t>获知</w:t>
            </w:r>
            <w:r>
              <w:rPr>
                <w:rFonts w:hint="eastAsia" w:ascii="楷体_GB2312" w:eastAsia="楷体_GB2312" w:cs="楷体_GB2312"/>
                <w:color w:val="000000" w:themeColor="text1"/>
                <w:sz w:val="20"/>
                <w:szCs w:val="20"/>
                <w:highlight w:val="none"/>
                <w14:textFill>
                  <w14:solidFill>
                    <w14:schemeClr w14:val="tx1"/>
                  </w14:solidFill>
                </w14:textFill>
              </w:rPr>
              <w:t>并</w:t>
            </w:r>
            <w:r>
              <w:rPr>
                <w:rFonts w:ascii="楷体_GB2312" w:eastAsia="楷体_GB2312" w:cs="楷体_GB2312"/>
                <w:color w:val="000000" w:themeColor="text1"/>
                <w:sz w:val="20"/>
                <w:szCs w:val="20"/>
                <w:highlight w:val="none"/>
                <w14:textFill>
                  <w14:solidFill>
                    <w14:schemeClr w14:val="tx1"/>
                  </w14:solidFill>
                </w14:textFill>
              </w:rPr>
              <w:t>经</w:t>
            </w:r>
            <w:r>
              <w:rPr>
                <w:rFonts w:hint="eastAsia" w:ascii="楷体_GB2312" w:eastAsia="楷体_GB2312" w:cs="楷体_GB2312"/>
                <w:color w:val="000000" w:themeColor="text1"/>
                <w:sz w:val="20"/>
                <w:szCs w:val="20"/>
                <w:highlight w:val="none"/>
                <w14:textFill>
                  <w14:solidFill>
                    <w14:schemeClr w14:val="tx1"/>
                  </w14:solidFill>
                </w14:textFill>
              </w:rPr>
              <w:t>信银理财</w:t>
            </w:r>
            <w:r>
              <w:rPr>
                <w:rFonts w:ascii="楷体_GB2312" w:eastAsia="楷体_GB2312" w:cs="楷体_GB2312"/>
                <w:color w:val="000000" w:themeColor="text1"/>
                <w:sz w:val="20"/>
                <w:szCs w:val="20"/>
                <w:highlight w:val="none"/>
                <w14:textFill>
                  <w14:solidFill>
                    <w14:schemeClr w14:val="tx1"/>
                  </w14:solidFill>
                </w14:textFill>
              </w:rPr>
              <w:t>合理判断认为对</w:t>
            </w:r>
            <w:r>
              <w:rPr>
                <w:rFonts w:hint="eastAsia" w:ascii="楷体_GB2312" w:eastAsia="楷体_GB2312" w:cs="楷体_GB2312"/>
                <w:color w:val="000000" w:themeColor="text1"/>
                <w:sz w:val="20"/>
                <w:szCs w:val="20"/>
                <w:highlight w:val="none"/>
                <w14:textFill>
                  <w14:solidFill>
                    <w14:schemeClr w14:val="tx1"/>
                  </w14:solidFill>
                </w14:textFill>
              </w:rPr>
              <w:t>本</w:t>
            </w:r>
            <w:r>
              <w:rPr>
                <w:rFonts w:ascii="楷体_GB2312" w:eastAsia="楷体_GB2312" w:cs="楷体_GB2312"/>
                <w:color w:val="000000" w:themeColor="text1"/>
                <w:sz w:val="20"/>
                <w:szCs w:val="20"/>
                <w:highlight w:val="none"/>
                <w14:textFill>
                  <w14:solidFill>
                    <w14:schemeClr w14:val="tx1"/>
                  </w14:solidFill>
                </w14:textFill>
              </w:rPr>
              <w:t>产品、投资者权益、投资收益等有重大影响的事件，将</w:t>
            </w:r>
            <w:r>
              <w:rPr>
                <w:rFonts w:hint="eastAsia" w:ascii="楷体_GB2312" w:eastAsia="楷体_GB2312" w:cs="楷体_GB2312"/>
                <w:color w:val="000000" w:themeColor="text1"/>
                <w:sz w:val="20"/>
                <w:szCs w:val="20"/>
                <w:highlight w:val="none"/>
                <w14:textFill>
                  <w14:solidFill>
                    <w14:schemeClr w14:val="tx1"/>
                  </w14:solidFill>
                </w14:textFill>
              </w:rPr>
              <w:t>按照</w:t>
            </w:r>
            <w:r>
              <w:rPr>
                <w:rFonts w:ascii="楷体_GB2312" w:eastAsia="楷体_GB2312" w:cs="楷体_GB2312"/>
                <w:color w:val="000000" w:themeColor="text1"/>
                <w:sz w:val="20"/>
                <w:szCs w:val="20"/>
                <w:highlight w:val="none"/>
                <w14:textFill>
                  <w14:solidFill>
                    <w14:schemeClr w14:val="tx1"/>
                  </w14:solidFill>
                </w14:textFill>
              </w:rPr>
              <w:t>法律法规、监管规定及时向投资者发布相关信息。</w:t>
            </w:r>
          </w:p>
          <w:p w14:paraId="6CC2968A">
            <w:pPr>
              <w:pStyle w:val="19"/>
              <w:numPr>
                <w:ilvl w:val="0"/>
                <w:numId w:val="1"/>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法律法规、</w:t>
            </w:r>
            <w:r>
              <w:rPr>
                <w:rFonts w:ascii="楷体_GB2312" w:eastAsia="楷体_GB2312" w:cs="楷体_GB2312"/>
                <w:color w:val="000000" w:themeColor="text1"/>
                <w:sz w:val="20"/>
                <w:szCs w:val="20"/>
                <w:highlight w:val="none"/>
                <w14:textFill>
                  <w14:solidFill>
                    <w14:schemeClr w14:val="tx1"/>
                  </w14:solidFill>
                </w14:textFill>
              </w:rPr>
              <w:t>规范性文件、</w:t>
            </w:r>
            <w:r>
              <w:rPr>
                <w:rFonts w:hint="eastAsia" w:ascii="楷体_GB2312" w:eastAsia="楷体_GB2312" w:cs="楷体_GB2312"/>
                <w:color w:val="000000" w:themeColor="text1"/>
                <w:sz w:val="20"/>
                <w:szCs w:val="20"/>
                <w:highlight w:val="none"/>
                <w14:textFill>
                  <w14:solidFill>
                    <w14:schemeClr w14:val="tx1"/>
                  </w14:solidFill>
                </w14:textFill>
              </w:rPr>
              <w:t>监管政策规定或本说明书约定其他应向投资者进行</w:t>
            </w:r>
            <w:r>
              <w:rPr>
                <w:rFonts w:ascii="楷体_GB2312" w:eastAsia="楷体_GB2312" w:cs="楷体_GB2312"/>
                <w:color w:val="000000" w:themeColor="text1"/>
                <w:sz w:val="20"/>
                <w:szCs w:val="20"/>
                <w:highlight w:val="none"/>
                <w14:textFill>
                  <w14:solidFill>
                    <w14:schemeClr w14:val="tx1"/>
                  </w14:solidFill>
                </w14:textFill>
              </w:rPr>
              <w:t>信息</w:t>
            </w:r>
            <w:r>
              <w:rPr>
                <w:rFonts w:hint="eastAsia" w:ascii="楷体_GB2312" w:eastAsia="楷体_GB2312" w:cs="楷体_GB2312"/>
                <w:color w:val="000000" w:themeColor="text1"/>
                <w:sz w:val="20"/>
                <w:szCs w:val="20"/>
                <w:highlight w:val="none"/>
                <w14:textFill>
                  <w14:solidFill>
                    <w14:schemeClr w14:val="tx1"/>
                  </w14:solidFill>
                </w14:textFill>
              </w:rPr>
              <w:t>披露的情形</w:t>
            </w:r>
            <w:r>
              <w:rPr>
                <w:rFonts w:ascii="楷体_GB2312" w:eastAsia="楷体_GB2312" w:cs="楷体_GB2312"/>
                <w:color w:val="000000" w:themeColor="text1"/>
                <w:sz w:val="20"/>
                <w:szCs w:val="20"/>
                <w:highlight w:val="none"/>
                <w14:textFill>
                  <w14:solidFill>
                    <w14:schemeClr w14:val="tx1"/>
                  </w14:solidFill>
                </w14:textFill>
              </w:rPr>
              <w:t>的，</w:t>
            </w:r>
            <w:r>
              <w:rPr>
                <w:rFonts w:hint="eastAsia" w:ascii="楷体_GB2312" w:eastAsia="楷体_GB2312" w:cs="楷体_GB2312"/>
                <w:color w:val="000000" w:themeColor="text1"/>
                <w:sz w:val="20"/>
                <w:szCs w:val="20"/>
                <w:highlight w:val="none"/>
                <w14:textFill>
                  <w14:solidFill>
                    <w14:schemeClr w14:val="tx1"/>
                  </w14:solidFill>
                </w14:textFill>
              </w:rPr>
              <w:t>信银理财</w:t>
            </w:r>
            <w:r>
              <w:rPr>
                <w:rFonts w:ascii="楷体_GB2312" w:eastAsia="楷体_GB2312" w:cs="楷体_GB2312"/>
                <w:color w:val="000000" w:themeColor="text1"/>
                <w:sz w:val="20"/>
                <w:szCs w:val="20"/>
                <w:highlight w:val="none"/>
                <w14:textFill>
                  <w14:solidFill>
                    <w14:schemeClr w14:val="tx1"/>
                  </w14:solidFill>
                </w14:textFill>
              </w:rPr>
              <w:t>将根据上述规定向投资者发布相关信息</w:t>
            </w:r>
            <w:r>
              <w:rPr>
                <w:rFonts w:hint="eastAsia" w:ascii="楷体_GB2312" w:eastAsia="楷体_GB2312" w:cs="楷体_GB2312"/>
                <w:color w:val="000000" w:themeColor="text1"/>
                <w:sz w:val="20"/>
                <w:szCs w:val="20"/>
                <w:highlight w:val="none"/>
                <w14:textFill>
                  <w14:solidFill>
                    <w14:schemeClr w14:val="tx1"/>
                  </w14:solidFill>
                </w14:textFill>
              </w:rPr>
              <w:t>。</w:t>
            </w:r>
          </w:p>
        </w:tc>
      </w:tr>
    </w:tbl>
    <w:p w14:paraId="2E7FA255">
      <w:pPr>
        <w:snapToGrid w:val="0"/>
        <w:ind w:right="53" w:rightChars="22"/>
        <w:outlineLvl w:val="0"/>
        <w:rPr>
          <w:rFonts w:ascii="黑体" w:hAnsi="Times New Roman" w:eastAsia="黑体" w:cs="黑体"/>
          <w:color w:val="000000" w:themeColor="text1"/>
          <w:sz w:val="20"/>
          <w:szCs w:val="20"/>
          <w:highlight w:val="none"/>
          <w14:textFill>
            <w14:solidFill>
              <w14:schemeClr w14:val="tx1"/>
            </w14:solidFill>
          </w14:textFill>
        </w:rPr>
      </w:pPr>
    </w:p>
    <w:p w14:paraId="2FACD8C4">
      <w:pPr>
        <w:snapToGrid w:val="0"/>
        <w:ind w:left="-2" w:leftChars="-1" w:right="53" w:rightChars="22"/>
        <w:outlineLvl w:val="0"/>
        <w:rPr>
          <w:b/>
          <w:color w:val="000000" w:themeColor="text1"/>
          <w:highlight w:val="none"/>
          <w14:textFill>
            <w14:solidFill>
              <w14:schemeClr w14:val="tx1"/>
            </w14:solidFill>
          </w14:textFill>
        </w:rPr>
      </w:pPr>
      <w:r>
        <w:rPr>
          <w:rFonts w:hint="eastAsia" w:ascii="黑体" w:hAnsi="Times New Roman" w:eastAsia="黑体" w:cs="黑体"/>
          <w:b/>
          <w:color w:val="000000" w:themeColor="text1"/>
          <w:sz w:val="20"/>
          <w:szCs w:val="20"/>
          <w:highlight w:val="none"/>
          <w14:textFill>
            <w14:solidFill>
              <w14:schemeClr w14:val="tx1"/>
            </w14:solidFill>
          </w14:textFill>
        </w:rPr>
        <w:t>三、理财产品管理人</w:t>
      </w:r>
    </w:p>
    <w:p w14:paraId="152FB0C6">
      <w:pPr>
        <w:pStyle w:val="19"/>
        <w:spacing w:line="300" w:lineRule="exact"/>
        <w:ind w:firstLine="402"/>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Times New Roman" w:hAnsi="Times New Roman" w:eastAsia="楷体_GB2312" w:cs="楷体_GB2312"/>
          <w:b/>
          <w:color w:val="000000" w:themeColor="text1"/>
          <w:sz w:val="20"/>
          <w:szCs w:val="20"/>
          <w:highlight w:val="none"/>
          <w14:textFill>
            <w14:solidFill>
              <w14:schemeClr w14:val="tx1"/>
            </w14:solidFill>
          </w14:textFill>
        </w:rPr>
        <w:t>本理财产品的投资管理人为信银理财。信银理财接受客户的委托和授权，按照本产品说明书约定的投资方向和方式进行投资和资产管理，投资者在此授权并同意信银理财享有以下权利：</w:t>
      </w:r>
    </w:p>
    <w:p w14:paraId="1DB1D893">
      <w:pPr>
        <w:pStyle w:val="19"/>
        <w:numPr>
          <w:ilvl w:val="0"/>
          <w:numId w:val="6"/>
        </w:numPr>
        <w:spacing w:line="300" w:lineRule="exact"/>
        <w:ind w:firstLineChars="0"/>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Times New Roman" w:hAnsi="Times New Roman" w:eastAsia="楷体_GB2312"/>
          <w:b/>
          <w:color w:val="000000" w:themeColor="text1"/>
          <w:sz w:val="20"/>
          <w:szCs w:val="20"/>
          <w:highlight w:val="none"/>
          <w14:textFill>
            <w14:solidFill>
              <w14:schemeClr w14:val="tx1"/>
            </w14:solidFill>
          </w14:textFill>
        </w:rPr>
        <w:t>按照理财产品说明书的约定，管理、运用和处分理财资金。</w:t>
      </w:r>
    </w:p>
    <w:p w14:paraId="77788A6E">
      <w:pPr>
        <w:pStyle w:val="19"/>
        <w:numPr>
          <w:ilvl w:val="0"/>
          <w:numId w:val="6"/>
        </w:numPr>
        <w:spacing w:line="300" w:lineRule="exact"/>
        <w:ind w:firstLineChars="0"/>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Times New Roman" w:hAnsi="Times New Roman" w:eastAsia="楷体_GB2312" w:cs="楷体_GB2312"/>
          <w:b/>
          <w:color w:val="000000" w:themeColor="text1"/>
          <w:sz w:val="20"/>
          <w:szCs w:val="20"/>
          <w:highlight w:val="none"/>
          <w14:textFill>
            <w14:solidFill>
              <w14:schemeClr w14:val="tx1"/>
            </w14:solidFill>
          </w14:textFill>
        </w:rPr>
        <w:t>代表理财产品签订投资和资产管理过程中涉及到的协议、合同等文本。</w:t>
      </w:r>
    </w:p>
    <w:p w14:paraId="34DF8D8F">
      <w:pPr>
        <w:pStyle w:val="19"/>
        <w:numPr>
          <w:ilvl w:val="0"/>
          <w:numId w:val="6"/>
        </w:numPr>
        <w:spacing w:line="300" w:lineRule="exact"/>
        <w:ind w:firstLineChars="0"/>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Times New Roman" w:hAnsi="Times New Roman" w:eastAsia="楷体_GB2312" w:cs="楷体_GB2312"/>
          <w:b/>
          <w:color w:val="000000" w:themeColor="text1"/>
          <w:sz w:val="20"/>
          <w:szCs w:val="20"/>
          <w:highlight w:val="none"/>
          <w14:textFill>
            <w14:solidFill>
              <w14:schemeClr w14:val="tx1"/>
            </w14:solidFill>
          </w14:textFill>
        </w:rPr>
        <w:t>以理财产品投资管理人的名义，依照法律法规相关规定以及为理财产品投资者的利益，对被投资的信托计划、资管计划、各类基金（含公募基金和私募基金）、公司/企业等各类投资对象行使出资人/投资者权利（包括但不限于表决投票的权利）以及行使因理财产品财产投资于证券类基础资产（含债券、股票等）或其他基础资产（包括但不限于债权类资产）所产生的相关权利。</w:t>
      </w:r>
    </w:p>
    <w:p w14:paraId="349B7175">
      <w:pPr>
        <w:pStyle w:val="19"/>
        <w:numPr>
          <w:ilvl w:val="0"/>
          <w:numId w:val="6"/>
        </w:numPr>
        <w:spacing w:line="300" w:lineRule="exact"/>
        <w:ind w:firstLineChars="0"/>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Times New Roman" w:hAnsi="Times New Roman" w:eastAsia="楷体_GB2312"/>
          <w:b/>
          <w:color w:val="000000" w:themeColor="text1"/>
          <w:sz w:val="20"/>
          <w:szCs w:val="20"/>
          <w:highlight w:val="none"/>
          <w14:textFill>
            <w14:solidFill>
              <w14:schemeClr w14:val="tx1"/>
            </w14:solidFill>
          </w14:textFill>
        </w:rPr>
        <w:t>以理财产品投资管理人的名义，依照法律法规相关规定以及代表理财产品投资者的利益行使代为追索的权利（包括但不限于提起诉讼/仲裁、申请保全/执行的权利）或者实施风险处置，行使、放弃、变更相关权利义务等其他法律行为，产生的合理费用由理财产品承担。</w:t>
      </w:r>
    </w:p>
    <w:p w14:paraId="1AA75061">
      <w:pPr>
        <w:pStyle w:val="19"/>
        <w:numPr>
          <w:ilvl w:val="0"/>
          <w:numId w:val="6"/>
        </w:numPr>
        <w:spacing w:line="300" w:lineRule="exact"/>
        <w:ind w:firstLineChars="0"/>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Times New Roman" w:hAnsi="Times New Roman" w:eastAsia="楷体_GB2312" w:cs="楷体_GB2312"/>
          <w:b/>
          <w:color w:val="000000" w:themeColor="text1"/>
          <w:sz w:val="20"/>
          <w:szCs w:val="20"/>
          <w:highlight w:val="none"/>
          <w14:textFill>
            <w14:solidFill>
              <w14:schemeClr w14:val="tx1"/>
            </w14:solidFill>
          </w14:textFill>
        </w:rPr>
        <w:t>按照理财产品说明书的约定，及时、足额获得投资管理费和本产品说明书约定的其他费用（如有）。</w:t>
      </w:r>
    </w:p>
    <w:p w14:paraId="26BAC02E">
      <w:pPr>
        <w:pStyle w:val="19"/>
        <w:numPr>
          <w:ilvl w:val="0"/>
          <w:numId w:val="6"/>
        </w:numPr>
        <w:spacing w:line="300" w:lineRule="exact"/>
        <w:ind w:firstLineChars="0"/>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Times New Roman" w:hAnsi="Times New Roman" w:eastAsia="楷体_GB2312" w:cs="楷体_GB2312"/>
          <w:b/>
          <w:color w:val="000000" w:themeColor="text1"/>
          <w:sz w:val="20"/>
          <w:szCs w:val="20"/>
          <w:highlight w:val="none"/>
          <w14:textFill>
            <w14:solidFill>
              <w14:schemeClr w14:val="tx1"/>
            </w14:solidFill>
          </w14:textFill>
        </w:rPr>
        <w:t>管理人以其固有财产先行垫付因处理本理财产品相关事务所支出的费用及税费的，对理财产品资金享有优先受偿的权利。</w:t>
      </w:r>
    </w:p>
    <w:p w14:paraId="0CB88C77">
      <w:pPr>
        <w:pStyle w:val="19"/>
        <w:numPr>
          <w:ilvl w:val="0"/>
          <w:numId w:val="6"/>
        </w:numPr>
        <w:spacing w:line="300" w:lineRule="exact"/>
        <w:ind w:firstLineChars="0"/>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Times New Roman" w:hAnsi="Times New Roman" w:eastAsia="楷体_GB2312" w:cs="楷体_GB2312"/>
          <w:b/>
          <w:color w:val="000000" w:themeColor="text1"/>
          <w:sz w:val="20"/>
          <w:szCs w:val="20"/>
          <w:highlight w:val="none"/>
          <w14:textFill>
            <w14:solidFill>
              <w14:schemeClr w14:val="tx1"/>
            </w14:solidFill>
          </w14:textFill>
        </w:rPr>
        <w:t>管理人有权按照法律规定和监管机构的要求将投资者的信息向有权部门或相关机构披露。</w:t>
      </w:r>
    </w:p>
    <w:p w14:paraId="2192B5EA">
      <w:pPr>
        <w:spacing w:line="300" w:lineRule="exact"/>
        <w:ind w:left="-2" w:leftChars="-1" w:right="36" w:rightChars="15" w:firstLine="400" w:firstLineChars="200"/>
        <w:rPr>
          <w:rFonts w:ascii="楷体_GB2312" w:eastAsia="楷体_GB2312"/>
          <w:color w:val="000000" w:themeColor="text1"/>
          <w:sz w:val="20"/>
          <w:szCs w:val="20"/>
          <w:highlight w:val="none"/>
          <w14:textFill>
            <w14:solidFill>
              <w14:schemeClr w14:val="tx1"/>
            </w14:solidFill>
          </w14:textFill>
        </w:rPr>
      </w:pPr>
    </w:p>
    <w:p w14:paraId="393362AF">
      <w:pPr>
        <w:spacing w:line="300" w:lineRule="exact"/>
        <w:ind w:left="-2" w:leftChars="-1" w:right="36" w:rightChars="15"/>
        <w:rPr>
          <w:rFonts w:ascii="黑体" w:hAnsi="Times New Roman" w:eastAsia="黑体"/>
          <w:color w:val="000000" w:themeColor="text1"/>
          <w:sz w:val="20"/>
          <w:szCs w:val="20"/>
          <w:highlight w:val="none"/>
          <w14:textFill>
            <w14:solidFill>
              <w14:schemeClr w14:val="tx1"/>
            </w14:solidFill>
          </w14:textFill>
        </w:rPr>
      </w:pPr>
      <w:r>
        <w:rPr>
          <w:rFonts w:hint="eastAsia" w:ascii="黑体" w:hAnsi="Times New Roman" w:eastAsia="黑体" w:cs="黑体"/>
          <w:color w:val="000000" w:themeColor="text1"/>
          <w:sz w:val="20"/>
          <w:szCs w:val="20"/>
          <w:highlight w:val="none"/>
          <w14:textFill>
            <w14:solidFill>
              <w14:schemeClr w14:val="tx1"/>
            </w14:solidFill>
          </w14:textFill>
        </w:rPr>
        <w:t>四、理财</w:t>
      </w:r>
      <w:r>
        <w:rPr>
          <w:rFonts w:ascii="黑体" w:hAnsi="Times New Roman" w:eastAsia="黑体" w:cs="黑体"/>
          <w:color w:val="000000" w:themeColor="text1"/>
          <w:sz w:val="20"/>
          <w:szCs w:val="20"/>
          <w:highlight w:val="none"/>
          <w14:textFill>
            <w14:solidFill>
              <w14:schemeClr w14:val="tx1"/>
            </w14:solidFill>
          </w14:textFill>
        </w:rPr>
        <w:t>产品的认购、</w:t>
      </w:r>
      <w:r>
        <w:rPr>
          <w:rFonts w:hint="eastAsia" w:ascii="黑体" w:hAnsi="Times New Roman" w:eastAsia="黑体" w:cs="黑体"/>
          <w:color w:val="000000" w:themeColor="text1"/>
          <w:sz w:val="20"/>
          <w:szCs w:val="20"/>
          <w:highlight w:val="none"/>
          <w14:textFill>
            <w14:solidFill>
              <w14:schemeClr w14:val="tx1"/>
            </w14:solidFill>
          </w14:textFill>
        </w:rPr>
        <w:t>申购</w:t>
      </w:r>
    </w:p>
    <w:p w14:paraId="77FC9BD0">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1</w:t>
      </w:r>
      <w:r>
        <w:rPr>
          <w:rFonts w:hint="eastAsia" w:ascii="楷体_GB2312" w:eastAsia="楷体_GB2312" w:cs="楷体_GB2312"/>
          <w:color w:val="000000" w:themeColor="text1"/>
          <w:sz w:val="20"/>
          <w:szCs w:val="20"/>
          <w:highlight w:val="none"/>
          <w14:textFill>
            <w14:solidFill>
              <w14:schemeClr w14:val="tx1"/>
            </w14:solidFill>
          </w14:textFill>
        </w:rPr>
        <w:t>．投资者</w:t>
      </w:r>
      <w:r>
        <w:rPr>
          <w:rFonts w:ascii="楷体_GB2312" w:eastAsia="楷体_GB2312" w:cs="楷体_GB2312"/>
          <w:color w:val="000000" w:themeColor="text1"/>
          <w:sz w:val="20"/>
          <w:szCs w:val="20"/>
          <w:highlight w:val="none"/>
          <w14:textFill>
            <w14:solidFill>
              <w14:schemeClr w14:val="tx1"/>
            </w14:solidFill>
          </w14:textFill>
        </w:rPr>
        <w:t>可在</w:t>
      </w:r>
      <w:r>
        <w:rPr>
          <w:rFonts w:hint="eastAsia" w:ascii="楷体_GB2312" w:eastAsia="楷体_GB2312" w:cs="楷体_GB2312"/>
          <w:color w:val="000000" w:themeColor="text1"/>
          <w:sz w:val="20"/>
          <w:szCs w:val="20"/>
          <w:highlight w:val="none"/>
          <w14:textFill>
            <w14:solidFill>
              <w14:schemeClr w14:val="tx1"/>
            </w14:solidFill>
          </w14:textFill>
        </w:rPr>
        <w:t>本产品募集期内</w:t>
      </w:r>
      <w:r>
        <w:rPr>
          <w:rFonts w:ascii="楷体_GB2312" w:eastAsia="楷体_GB2312" w:cs="楷体_GB2312"/>
          <w:color w:val="000000" w:themeColor="text1"/>
          <w:sz w:val="20"/>
          <w:szCs w:val="20"/>
          <w:highlight w:val="none"/>
          <w14:textFill>
            <w14:solidFill>
              <w14:schemeClr w14:val="tx1"/>
            </w14:solidFill>
          </w14:textFill>
        </w:rPr>
        <w:t>进行认购</w:t>
      </w:r>
      <w:r>
        <w:rPr>
          <w:rFonts w:hint="eastAsia" w:ascii="楷体_GB2312" w:eastAsia="楷体_GB2312" w:cs="楷体_GB2312"/>
          <w:color w:val="000000" w:themeColor="text1"/>
          <w:sz w:val="20"/>
          <w:szCs w:val="20"/>
          <w:highlight w:val="none"/>
          <w14:textFill>
            <w14:solidFill>
              <w14:schemeClr w14:val="tx1"/>
            </w14:solidFill>
          </w14:textFill>
        </w:rPr>
        <w:t>。</w:t>
      </w:r>
    </w:p>
    <w:p w14:paraId="5C977D3B">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2</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本产品采取金额认购</w:t>
      </w:r>
      <w:r>
        <w:rPr>
          <w:rFonts w:ascii="楷体_GB2312" w:eastAsia="楷体_GB2312" w:cs="楷体_GB2312"/>
          <w:color w:val="000000" w:themeColor="text1"/>
          <w:sz w:val="20"/>
          <w:szCs w:val="20"/>
          <w:highlight w:val="none"/>
          <w14:textFill>
            <w14:solidFill>
              <w14:schemeClr w14:val="tx1"/>
            </w14:solidFill>
          </w14:textFill>
        </w:rPr>
        <w:t>的</w:t>
      </w:r>
      <w:r>
        <w:rPr>
          <w:rFonts w:hint="eastAsia" w:ascii="楷体_GB2312" w:eastAsia="楷体_GB2312" w:cs="楷体_GB2312"/>
          <w:color w:val="000000" w:themeColor="text1"/>
          <w:sz w:val="20"/>
          <w:szCs w:val="20"/>
          <w:highlight w:val="none"/>
          <w14:textFill>
            <w14:solidFill>
              <w14:schemeClr w14:val="tx1"/>
            </w14:solidFill>
          </w14:textFill>
        </w:rPr>
        <w:t>方式，认购份额</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人民币认购金额</w:t>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1</w:t>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认购费率）</w:t>
      </w: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/1</w:t>
      </w:r>
      <w:r>
        <w:rPr>
          <w:rFonts w:hint="eastAsia" w:ascii="楷体_GB2312" w:eastAsia="楷体_GB2312" w:cs="楷体_GB2312"/>
          <w:color w:val="000000" w:themeColor="text1"/>
          <w:sz w:val="20"/>
          <w:szCs w:val="20"/>
          <w:highlight w:val="none"/>
          <w14:textFill>
            <w14:solidFill>
              <w14:schemeClr w14:val="tx1"/>
            </w14:solidFill>
          </w14:textFill>
        </w:rPr>
        <w:t>元，认购份额按照四舍五入方法计算，保留小数点后【2】位，由此误差产生的损失由理财财产承担，产生的收益归理财财产所有。</w:t>
      </w:r>
    </w:p>
    <w:p w14:paraId="2661FD84">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3.【</w:t>
      </w:r>
      <w:r>
        <w:rPr>
          <w:rFonts w:hint="eastAsia" w:ascii="楷体_GB2312" w:eastAsia="楷体_GB2312" w:cs="楷体_GB2312"/>
          <w:sz w:val="20"/>
          <w:szCs w:val="20"/>
          <w:highlight w:val="none"/>
        </w:rPr>
        <w:t>募集期结束后的第一个工作</w:t>
      </w:r>
      <w:r>
        <w:rPr>
          <w:rFonts w:ascii="楷体_GB2312" w:eastAsia="楷体_GB2312" w:cs="楷体_GB2312"/>
          <w:sz w:val="20"/>
          <w:szCs w:val="20"/>
          <w:highlight w:val="none"/>
        </w:rPr>
        <w:t>日</w:t>
      </w:r>
      <w:r>
        <w:rPr>
          <w:rFonts w:ascii="楷体_GB2312" w:eastAsia="楷体_GB2312" w:cs="楷体_GB2312"/>
          <w:color w:val="000000" w:themeColor="text1"/>
          <w:sz w:val="20"/>
          <w:szCs w:val="20"/>
          <w:highlight w:val="none"/>
          <w14:textFill>
            <w14:solidFill>
              <w14:schemeClr w14:val="tx1"/>
            </w14:solidFill>
          </w14:textFill>
        </w:rPr>
        <w:t>】为认购份额确认日，</w:t>
      </w:r>
      <w:r>
        <w:rPr>
          <w:rFonts w:hint="eastAsia" w:ascii="楷体_GB2312" w:eastAsia="楷体_GB2312" w:cs="楷体_GB2312"/>
          <w:color w:val="000000" w:themeColor="text1"/>
          <w:sz w:val="20"/>
          <w:szCs w:val="20"/>
          <w:highlight w:val="none"/>
          <w14:textFill>
            <w14:solidFill>
              <w14:schemeClr w14:val="tx1"/>
            </w14:solidFill>
          </w14:textFill>
        </w:rPr>
        <w:t>认购</w:t>
      </w:r>
      <w:r>
        <w:rPr>
          <w:rFonts w:ascii="楷体_GB2312" w:eastAsia="楷体_GB2312" w:cs="楷体_GB2312"/>
          <w:color w:val="000000" w:themeColor="text1"/>
          <w:sz w:val="20"/>
          <w:szCs w:val="20"/>
          <w:highlight w:val="none"/>
          <w14:textFill>
            <w14:solidFill>
              <w14:schemeClr w14:val="tx1"/>
            </w14:solidFill>
          </w14:textFill>
        </w:rPr>
        <w:t>份额确认日后投资者可向</w:t>
      </w:r>
      <w:r>
        <w:rPr>
          <w:rFonts w:hint="eastAsia" w:ascii="楷体_GB2312" w:eastAsia="楷体_GB2312" w:cs="楷体_GB2312"/>
          <w:color w:val="000000" w:themeColor="text1"/>
          <w:sz w:val="20"/>
          <w:szCs w:val="20"/>
          <w:highlight w:val="none"/>
          <w14:textFill>
            <w14:solidFill>
              <w14:schemeClr w14:val="tx1"/>
            </w14:solidFill>
          </w14:textFill>
        </w:rPr>
        <w:t>销售机构</w:t>
      </w:r>
      <w:r>
        <w:rPr>
          <w:rFonts w:ascii="楷体_GB2312" w:eastAsia="楷体_GB2312" w:cs="楷体_GB2312"/>
          <w:color w:val="000000" w:themeColor="text1"/>
          <w:sz w:val="20"/>
          <w:szCs w:val="20"/>
          <w:highlight w:val="none"/>
          <w14:textFill>
            <w14:solidFill>
              <w14:schemeClr w14:val="tx1"/>
            </w14:solidFill>
          </w14:textFill>
        </w:rPr>
        <w:t>查询认购是否成功。</w:t>
      </w:r>
    </w:p>
    <w:p w14:paraId="7777F52A">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4</w:t>
      </w:r>
      <w:r>
        <w:rPr>
          <w:rFonts w:hint="eastAsia" w:ascii="楷体_GB2312" w:eastAsia="楷体_GB2312" w:cs="楷体_GB2312"/>
          <w:color w:val="000000" w:themeColor="text1"/>
          <w:sz w:val="20"/>
          <w:szCs w:val="20"/>
          <w:highlight w:val="none"/>
          <w14:textFill>
            <w14:solidFill>
              <w14:schemeClr w14:val="tx1"/>
            </w14:solidFill>
          </w14:textFill>
        </w:rPr>
        <w:t>．投资者可在本产品开放日的交易时间内进行</w:t>
      </w:r>
      <w:r>
        <w:rPr>
          <w:rFonts w:ascii="楷体_GB2312" w:eastAsia="楷体_GB2312" w:cs="楷体_GB2312"/>
          <w:color w:val="000000" w:themeColor="text1"/>
          <w:sz w:val="20"/>
          <w:szCs w:val="20"/>
          <w:highlight w:val="none"/>
          <w14:textFill>
            <w14:solidFill>
              <w14:schemeClr w14:val="tx1"/>
            </w14:solidFill>
          </w14:textFill>
        </w:rPr>
        <w:t>申购，</w:t>
      </w:r>
      <w:r>
        <w:rPr>
          <w:rFonts w:hint="eastAsia" w:ascii="楷体_GB2312" w:eastAsia="楷体_GB2312" w:cs="楷体_GB2312"/>
          <w:sz w:val="20"/>
          <w:szCs w:val="20"/>
          <w:highlight w:val="none"/>
        </w:rPr>
        <w:t>同时可在开放日的交易时间内对提交的申购申请进行撤销，开放日是否可以撤单以及撤单规则，如合作销售机构</w:t>
      </w:r>
      <w:r>
        <w:rPr>
          <w:rFonts w:ascii="楷体_GB2312" w:eastAsia="楷体_GB2312" w:cs="楷体_GB2312"/>
          <w:sz w:val="20"/>
          <w:szCs w:val="20"/>
          <w:highlight w:val="none"/>
        </w:rPr>
        <w:t>/代销机构另有规定的，以合作销售机构/代销机构为准</w:t>
      </w:r>
      <w:r>
        <w:rPr>
          <w:rFonts w:hint="eastAsia" w:ascii="楷体_GB2312" w:eastAsia="楷体_GB2312" w:cs="楷体_GB2312"/>
          <w:color w:val="000000" w:themeColor="text1"/>
          <w:sz w:val="20"/>
          <w:szCs w:val="20"/>
          <w:highlight w:val="none"/>
          <w14:textFill>
            <w14:solidFill>
              <w14:schemeClr w14:val="tx1"/>
            </w14:solidFill>
          </w14:textFill>
        </w:rPr>
        <w:t>。非交易时间提交的申购申请将于下一个申购开放日正式受理，</w:t>
      </w:r>
      <w:r>
        <w:rPr>
          <w:rFonts w:ascii="楷体_GB2312" w:eastAsia="楷体_GB2312" w:cs="楷体_GB2312"/>
          <w:color w:val="000000" w:themeColor="text1"/>
          <w:sz w:val="20"/>
          <w:szCs w:val="20"/>
          <w:highlight w:val="none"/>
          <w14:textFill>
            <w14:solidFill>
              <w14:schemeClr w14:val="tx1"/>
            </w14:solidFill>
          </w14:textFill>
        </w:rPr>
        <w:t>代销机构</w:t>
      </w:r>
      <w:r>
        <w:rPr>
          <w:rFonts w:hint="eastAsia" w:ascii="楷体_GB2312" w:eastAsia="楷体_GB2312" w:cs="楷体_GB2312"/>
          <w:color w:val="000000" w:themeColor="text1"/>
          <w:sz w:val="20"/>
          <w:szCs w:val="20"/>
          <w:highlight w:val="none"/>
          <w14:textFill>
            <w14:solidFill>
              <w14:schemeClr w14:val="tx1"/>
            </w14:solidFill>
          </w14:textFill>
        </w:rPr>
        <w:t>有</w:t>
      </w:r>
      <w:r>
        <w:rPr>
          <w:rFonts w:ascii="楷体_GB2312" w:eastAsia="楷体_GB2312" w:cs="楷体_GB2312"/>
          <w:color w:val="000000" w:themeColor="text1"/>
          <w:sz w:val="20"/>
          <w:szCs w:val="20"/>
          <w:highlight w:val="none"/>
          <w14:textFill>
            <w14:solidFill>
              <w14:schemeClr w14:val="tx1"/>
            </w14:solidFill>
          </w14:textFill>
        </w:rPr>
        <w:t>另行规定的，以代销机构的规定为准</w:t>
      </w:r>
      <w:r>
        <w:rPr>
          <w:rFonts w:hint="eastAsia" w:ascii="楷体_GB2312" w:eastAsia="楷体_GB2312" w:cs="楷体_GB2312"/>
          <w:color w:val="000000" w:themeColor="text1"/>
          <w:sz w:val="20"/>
          <w:szCs w:val="20"/>
          <w:highlight w:val="none"/>
          <w14:textFill>
            <w14:solidFill>
              <w14:schemeClr w14:val="tx1"/>
            </w14:solidFill>
          </w14:textFill>
        </w:rPr>
        <w:t>。本产品按金额申购，按【申购开放】</w:t>
      </w:r>
      <w:r>
        <w:rPr>
          <w:rFonts w:ascii="楷体_GB2312" w:eastAsia="楷体_GB2312" w:cs="楷体_GB2312"/>
          <w:color w:val="000000" w:themeColor="text1"/>
          <w:sz w:val="20"/>
          <w:szCs w:val="20"/>
          <w:highlight w:val="none"/>
          <w14:textFill>
            <w14:solidFill>
              <w14:schemeClr w14:val="tx1"/>
            </w14:solidFill>
          </w14:textFill>
        </w:rPr>
        <w:t>日的</w:t>
      </w:r>
      <w:r>
        <w:rPr>
          <w:rFonts w:hint="eastAsia" w:ascii="楷体_GB2312" w:eastAsia="楷体_GB2312" w:cs="楷体_GB2312"/>
          <w:color w:val="000000" w:themeColor="text1"/>
          <w:sz w:val="20"/>
          <w:szCs w:val="20"/>
          <w:highlight w:val="none"/>
          <w14:textFill>
            <w14:solidFill>
              <w14:schemeClr w14:val="tx1"/>
            </w14:solidFill>
          </w14:textFill>
        </w:rPr>
        <w:t>单位净值计算申购份额，即申购份额＝</w:t>
      </w: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申购金额</w:t>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1</w:t>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申购费率）</w:t>
      </w: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【申购开放】</w:t>
      </w:r>
      <w:r>
        <w:rPr>
          <w:rFonts w:ascii="楷体_GB2312" w:eastAsia="楷体_GB2312" w:cs="楷体_GB2312"/>
          <w:color w:val="000000" w:themeColor="text1"/>
          <w:sz w:val="20"/>
          <w:szCs w:val="20"/>
          <w:highlight w:val="none"/>
          <w14:textFill>
            <w14:solidFill>
              <w14:schemeClr w14:val="tx1"/>
            </w14:solidFill>
          </w14:textFill>
        </w:rPr>
        <w:t>日的</w:t>
      </w:r>
      <w:r>
        <w:rPr>
          <w:rFonts w:hint="eastAsia" w:ascii="楷体_GB2312" w:eastAsia="楷体_GB2312" w:cs="楷体_GB2312"/>
          <w:color w:val="000000" w:themeColor="text1"/>
          <w:sz w:val="20"/>
          <w:szCs w:val="20"/>
          <w:highlight w:val="none"/>
          <w14:textFill>
            <w14:solidFill>
              <w14:schemeClr w14:val="tx1"/>
            </w14:solidFill>
          </w14:textFill>
        </w:rPr>
        <w:t>单位净值（申购份额按照四舍五入方法计算，保留小数点后【2】位，由此误差产生的损失由理财财产承担，产生的收益归理财财产所有）。</w:t>
      </w:r>
    </w:p>
    <w:p w14:paraId="62375F09">
      <w:pPr>
        <w:spacing w:line="300" w:lineRule="exact"/>
        <w:ind w:firstLine="400" w:firstLineChars="200"/>
        <w:jc w:val="both"/>
        <w:rPr>
          <w:rFonts w:ascii="楷体_GB2312" w:eastAsia="楷体_GB2312" w:cs="楷体_GB2312"/>
          <w:color w:val="000000" w:themeColor="text1"/>
          <w:sz w:val="20"/>
          <w:szCs w:val="20"/>
          <w:highlight w:val="none"/>
          <w:u w:val="singl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例如，【</w:t>
      </w:r>
      <w:r>
        <w:rPr>
          <w:rFonts w:hint="eastAsia" w:ascii="楷体_GB2312" w:eastAsia="楷体_GB2312" w:cs="楷体_GB2312"/>
          <w:sz w:val="20"/>
          <w:szCs w:val="20"/>
          <w:highlight w:val="none"/>
        </w:rPr>
        <w:t>某开放日投资者以</w:t>
      </w:r>
      <w:r>
        <w:rPr>
          <w:rFonts w:ascii="楷体_GB2312" w:eastAsia="楷体_GB2312" w:cs="楷体_GB2312"/>
          <w:sz w:val="20"/>
          <w:szCs w:val="20"/>
          <w:highlight w:val="none"/>
        </w:rPr>
        <w:t>500万元申购本产品份额，申购费率为0%，开放日单位净值为1.010，则投资者获得的申购份额=</w:t>
      </w:r>
      <w:r>
        <w:rPr>
          <w:rFonts w:hint="eastAsia" w:ascii="楷体_GB2312" w:eastAsia="楷体_GB2312" w:cs="楷体_GB2312"/>
          <w:sz w:val="20"/>
          <w:szCs w:val="20"/>
          <w:highlight w:val="none"/>
          <w:lang w:eastAsia="zh-CN"/>
        </w:rPr>
        <w:t>【</w:t>
      </w:r>
      <w:r>
        <w:rPr>
          <w:rFonts w:ascii="楷体_GB2312" w:eastAsia="楷体_GB2312" w:cs="楷体_GB2312"/>
          <w:sz w:val="20"/>
          <w:szCs w:val="20"/>
          <w:highlight w:val="none"/>
        </w:rPr>
        <w:t>5,000,000</w:t>
      </w:r>
      <w:r>
        <w:rPr>
          <w:rFonts w:hint="eastAsia" w:ascii="楷体_GB2312" w:eastAsia="楷体_GB2312" w:cs="楷体_GB2312"/>
          <w:sz w:val="20"/>
          <w:szCs w:val="20"/>
          <w:highlight w:val="none"/>
          <w:lang w:val="en-US" w:eastAsia="zh-CN"/>
        </w:rPr>
        <w:t>/</w:t>
      </w:r>
      <w:r>
        <w:rPr>
          <w:rFonts w:ascii="楷体_GB2312" w:eastAsia="楷体_GB2312" w:cs="楷体_GB2312"/>
          <w:sz w:val="20"/>
          <w:szCs w:val="20"/>
          <w:highlight w:val="none"/>
        </w:rPr>
        <w:t>（1</w:t>
      </w:r>
      <w:r>
        <w:rPr>
          <w:rFonts w:hint="eastAsia" w:ascii="楷体_GB2312" w:eastAsia="楷体_GB2312" w:cs="楷体_GB2312"/>
          <w:sz w:val="20"/>
          <w:szCs w:val="20"/>
          <w:highlight w:val="none"/>
          <w:lang w:val="en-US" w:eastAsia="zh-CN"/>
        </w:rPr>
        <w:t>+</w:t>
      </w:r>
      <w:r>
        <w:rPr>
          <w:rFonts w:ascii="楷体_GB2312" w:eastAsia="楷体_GB2312" w:cs="楷体_GB2312"/>
          <w:sz w:val="20"/>
          <w:szCs w:val="20"/>
          <w:highlight w:val="none"/>
        </w:rPr>
        <w:t>0%）</w:t>
      </w:r>
      <w:r>
        <w:rPr>
          <w:rFonts w:hint="eastAsia" w:ascii="楷体_GB2312" w:eastAsia="楷体_GB2312" w:cs="楷体_GB2312"/>
          <w:sz w:val="20"/>
          <w:szCs w:val="20"/>
          <w:highlight w:val="none"/>
          <w:lang w:eastAsia="zh-CN"/>
        </w:rPr>
        <w:t>】</w:t>
      </w:r>
      <w:r>
        <w:rPr>
          <w:rFonts w:ascii="楷体_GB2312" w:eastAsia="楷体_GB2312" w:cs="楷体_GB2312"/>
          <w:sz w:val="20"/>
          <w:szCs w:val="20"/>
          <w:highlight w:val="none"/>
        </w:rPr>
        <w:t>/1.010=4,950,495.05份</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w:t>
      </w:r>
    </w:p>
    <w:p w14:paraId="4B4AB64D">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上述示例采用假设数据计算，并不代表投资者实际可获得的份额。）</w:t>
      </w:r>
    </w:p>
    <w:p w14:paraId="504A45F6">
      <w:pPr>
        <w:spacing w:line="300" w:lineRule="exact"/>
        <w:ind w:firstLine="400" w:firstLineChars="200"/>
        <w:jc w:val="both"/>
        <w:rPr>
          <w:rFonts w:ascii="楷体_GB2312" w:eastAsia="楷体_GB2312" w:cs="楷体_GB2312"/>
          <w:sz w:val="20"/>
          <w:szCs w:val="20"/>
          <w:highlight w:val="none"/>
        </w:rPr>
      </w:pPr>
      <w:r>
        <w:rPr>
          <w:rFonts w:ascii="楷体_GB2312" w:eastAsia="楷体_GB2312" w:cs="楷体_GB2312"/>
          <w:color w:val="000000" w:themeColor="text1"/>
          <w:sz w:val="20"/>
          <w:szCs w:val="20"/>
          <w:highlight w:val="none"/>
          <w14:textFill>
            <w14:solidFill>
              <w14:schemeClr w14:val="tx1"/>
            </w14:solidFill>
          </w14:textFill>
        </w:rPr>
        <w:t>5</w:t>
      </w:r>
      <w:r>
        <w:rPr>
          <w:rFonts w:hint="eastAsia"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sz w:val="20"/>
          <w:szCs w:val="20"/>
          <w:highlight w:val="none"/>
        </w:rPr>
        <w:t>【申购申请正式受理的开放日后第一个工作日】即为申购份额确认日，投资者可在申购</w:t>
      </w:r>
      <w:r>
        <w:rPr>
          <w:rFonts w:ascii="楷体_GB2312" w:eastAsia="楷体_GB2312" w:cs="楷体_GB2312"/>
          <w:sz w:val="20"/>
          <w:szCs w:val="20"/>
          <w:highlight w:val="none"/>
        </w:rPr>
        <w:t>份额</w:t>
      </w:r>
      <w:r>
        <w:rPr>
          <w:rFonts w:hint="eastAsia" w:ascii="楷体_GB2312" w:eastAsia="楷体_GB2312" w:cs="楷体_GB2312"/>
          <w:sz w:val="20"/>
          <w:szCs w:val="20"/>
          <w:highlight w:val="none"/>
        </w:rPr>
        <w:t>确认日后向销售机构查询申购是否成功。当日交易</w:t>
      </w:r>
      <w:r>
        <w:rPr>
          <w:rFonts w:ascii="楷体_GB2312" w:eastAsia="楷体_GB2312" w:cs="楷体_GB2312"/>
          <w:sz w:val="20"/>
          <w:szCs w:val="20"/>
          <w:highlight w:val="none"/>
        </w:rPr>
        <w:t>时间内提交且</w:t>
      </w:r>
      <w:r>
        <w:rPr>
          <w:rFonts w:hint="eastAsia" w:ascii="楷体_GB2312" w:eastAsia="楷体_GB2312" w:cs="楷体_GB2312"/>
          <w:sz w:val="20"/>
          <w:szCs w:val="20"/>
          <w:highlight w:val="none"/>
        </w:rPr>
        <w:t>有效</w:t>
      </w:r>
      <w:r>
        <w:rPr>
          <w:rFonts w:ascii="楷体_GB2312" w:eastAsia="楷体_GB2312" w:cs="楷体_GB2312"/>
          <w:sz w:val="20"/>
          <w:szCs w:val="20"/>
          <w:highlight w:val="none"/>
        </w:rPr>
        <w:t>的</w:t>
      </w:r>
      <w:r>
        <w:rPr>
          <w:rFonts w:hint="eastAsia" w:ascii="楷体_GB2312" w:eastAsia="楷体_GB2312" w:cs="楷体_GB2312"/>
          <w:sz w:val="20"/>
          <w:szCs w:val="20"/>
          <w:highlight w:val="none"/>
        </w:rPr>
        <w:t>申购申请对应的份额自下一个工作日起享有分配权。</w:t>
      </w:r>
      <w:r>
        <w:rPr>
          <w:rFonts w:hint="eastAsia" w:ascii="楷体_GB2312" w:eastAsia="楷体_GB2312" w:cs="楷体_GB2312"/>
          <w:sz w:val="20"/>
          <w:szCs w:val="20"/>
          <w:highlight w:val="none"/>
          <w:lang w:val="en-US" w:eastAsia="zh-CN"/>
        </w:rPr>
        <w:t>申购申请日至申购份额确认日期间投资者申购款项是否计付利息以及利息计付规则，以销售机构为准。</w:t>
      </w:r>
    </w:p>
    <w:p w14:paraId="4788CFF0">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6．</w:t>
      </w:r>
      <w:r>
        <w:rPr>
          <w:rFonts w:hint="eastAsia" w:ascii="楷体_GB2312" w:eastAsia="楷体_GB2312" w:cs="楷体_GB2312"/>
          <w:color w:val="000000" w:themeColor="text1"/>
          <w:sz w:val="20"/>
          <w:szCs w:val="20"/>
          <w:highlight w:val="none"/>
          <w14:textFill>
            <w14:solidFill>
              <w14:schemeClr w14:val="tx1"/>
            </w14:solidFill>
          </w14:textFill>
        </w:rPr>
        <w:t>投资者通过代销机构购买理财产品的，代销机构受理认购申请并不表示对该申请成功的确认，而仅代表收到了认购申请，申请是否成功应以管理人的最终确认为准。管理人会将确认结果及时反馈给代销机构，投资者应及时按照本产品说明书的约定查询认购申请及认购份额的确认情况。</w:t>
      </w:r>
    </w:p>
    <w:p w14:paraId="46B7361F">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7</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投资者通过代销机构购买理财产品的，代销机构受理申购申请并不表示对该申请成功的确认，而仅代表收到了申购申请，申请是否成功应以管理人的最终确认为准。管理人会将确认结果及时反馈给代销机构，投资者应及时按照本产品说明书的约定查询申购确认结果。</w:t>
      </w:r>
    </w:p>
    <w:p w14:paraId="5C4A237C">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8</w:t>
      </w:r>
      <w:r>
        <w:rPr>
          <w:rFonts w:hint="eastAsia" w:ascii="楷体_GB2312" w:eastAsia="楷体_GB2312" w:cs="楷体_GB2312"/>
          <w:color w:val="000000" w:themeColor="text1"/>
          <w:sz w:val="20"/>
          <w:szCs w:val="20"/>
          <w:highlight w:val="none"/>
          <w14:textFill>
            <w14:solidFill>
              <w14:schemeClr w14:val="tx1"/>
            </w14:solidFill>
          </w14:textFill>
        </w:rPr>
        <w:t>．管理人保留不接受认、申购申请的权利。</w:t>
      </w:r>
    </w:p>
    <w:p w14:paraId="093C1EA7">
      <w:pPr>
        <w:spacing w:line="300" w:lineRule="exact"/>
        <w:ind w:left="-2" w:leftChars="-1" w:right="36" w:rightChars="15" w:firstLine="400" w:firstLineChars="200"/>
        <w:rPr>
          <w:rFonts w:ascii="楷体_GB2312" w:eastAsia="楷体_GB2312" w:cs="楷体_GB2312"/>
          <w:color w:val="000000" w:themeColor="text1"/>
          <w:sz w:val="20"/>
          <w:szCs w:val="20"/>
          <w:highlight w:val="none"/>
          <w14:textFill>
            <w14:solidFill>
              <w14:schemeClr w14:val="tx1"/>
            </w14:solidFill>
          </w14:textFill>
        </w:rPr>
      </w:pPr>
    </w:p>
    <w:p w14:paraId="1BC7D251">
      <w:pPr>
        <w:spacing w:line="300" w:lineRule="exact"/>
        <w:ind w:left="-2" w:leftChars="-1" w:right="36" w:rightChars="15"/>
        <w:jc w:val="both"/>
        <w:rPr>
          <w:color w:val="000000" w:themeColor="text1"/>
          <w:highlight w:val="none"/>
          <w14:textFill>
            <w14:solidFill>
              <w14:schemeClr w14:val="tx1"/>
            </w14:solidFill>
          </w14:textFill>
        </w:rPr>
      </w:pPr>
      <w:r>
        <w:rPr>
          <w:rFonts w:hint="eastAsia" w:ascii="黑体" w:hAnsi="Times New Roman" w:eastAsia="黑体" w:cs="黑体"/>
          <w:color w:val="000000" w:themeColor="text1"/>
          <w:sz w:val="20"/>
          <w:szCs w:val="20"/>
          <w:highlight w:val="none"/>
          <w14:textFill>
            <w14:solidFill>
              <w14:schemeClr w14:val="tx1"/>
            </w14:solidFill>
          </w14:textFill>
        </w:rPr>
        <w:t>五、理财产品的赎回</w:t>
      </w:r>
    </w:p>
    <w:p w14:paraId="18BAD465">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1</w:t>
      </w:r>
      <w:r>
        <w:rPr>
          <w:rFonts w:hint="eastAsia" w:ascii="楷体_GB2312" w:eastAsia="楷体_GB2312" w:cs="楷体_GB2312"/>
          <w:color w:val="000000" w:themeColor="text1"/>
          <w:sz w:val="20"/>
          <w:szCs w:val="20"/>
          <w:highlight w:val="none"/>
          <w14:textFill>
            <w14:solidFill>
              <w14:schemeClr w14:val="tx1"/>
            </w14:solidFill>
          </w14:textFill>
        </w:rPr>
        <w:t>．本产品按份额赎回，</w:t>
      </w:r>
      <w:r>
        <w:rPr>
          <w:rFonts w:ascii="楷体_GB2312" w:eastAsia="楷体_GB2312" w:cs="楷体_GB2312"/>
          <w:color w:val="000000" w:themeColor="text1"/>
          <w:sz w:val="20"/>
          <w:szCs w:val="20"/>
          <w:highlight w:val="none"/>
          <w14:textFill>
            <w14:solidFill>
              <w14:schemeClr w14:val="tx1"/>
            </w14:solidFill>
          </w14:textFill>
        </w:rPr>
        <w:t>【B】类份额单次最低赎回份额为【0.01】份，【G】类份额单次最低赎回份额为【0.01】份，【H】类份额单次最低赎回份额为【0.01】份，【M】类份额单次最低赎回份额为【0.01】份，【N】类份额单次最低赎回份额为【0.01】份，【S】类份额单次最低赎回份额为【0.01】份，【Y】类份额单次最低赎回份额为【0.01】份</w:t>
      </w:r>
      <w:r>
        <w:rPr>
          <w:rFonts w:hint="eastAsia" w:ascii="楷体_GB2312" w:eastAsia="楷体_GB2312" w:cs="楷体_GB2312"/>
          <w:color w:val="000000" w:themeColor="text1"/>
          <w:sz w:val="20"/>
          <w:szCs w:val="20"/>
          <w:highlight w:val="none"/>
          <w14:textFill>
            <w14:solidFill>
              <w14:schemeClr w14:val="tx1"/>
            </w14:solidFill>
          </w14:textFill>
        </w:rPr>
        <w:t>。</w:t>
      </w:r>
    </w:p>
    <w:p w14:paraId="08175272">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2</w:t>
      </w:r>
      <w:r>
        <w:rPr>
          <w:rFonts w:hint="eastAsia" w:ascii="楷体_GB2312" w:eastAsia="楷体_GB2312" w:cs="楷体_GB2312"/>
          <w:color w:val="000000" w:themeColor="text1"/>
          <w:sz w:val="20"/>
          <w:szCs w:val="20"/>
          <w:highlight w:val="none"/>
          <w14:textFill>
            <w14:solidFill>
              <w14:schemeClr w14:val="tx1"/>
            </w14:solidFill>
          </w14:textFill>
        </w:rPr>
        <w:t xml:space="preserve">. </w:t>
      </w:r>
      <w:r>
        <w:rPr>
          <w:rFonts w:ascii="楷体_GB2312" w:eastAsia="楷体_GB2312" w:cs="楷体_GB2312"/>
          <w:color w:val="000000" w:themeColor="text1"/>
          <w:sz w:val="20"/>
          <w:szCs w:val="20"/>
          <w:highlight w:val="none"/>
          <w14:textFill>
            <w14:solidFill>
              <w14:schemeClr w14:val="tx1"/>
            </w14:solidFill>
          </w14:textFill>
        </w:rPr>
        <w:t>投资者可</w:t>
      </w:r>
      <w:r>
        <w:rPr>
          <w:rFonts w:hint="eastAsia" w:ascii="楷体_GB2312" w:eastAsia="楷体_GB2312" w:cs="楷体_GB2312"/>
          <w:color w:val="000000" w:themeColor="text1"/>
          <w:sz w:val="20"/>
          <w:szCs w:val="20"/>
          <w:highlight w:val="none"/>
          <w14:textFill>
            <w14:solidFill>
              <w14:schemeClr w14:val="tx1"/>
            </w14:solidFill>
          </w14:textFill>
        </w:rPr>
        <w:t>在</w:t>
      </w:r>
      <w:r>
        <w:rPr>
          <w:rFonts w:ascii="楷体_GB2312" w:eastAsia="楷体_GB2312" w:cs="楷体_GB2312"/>
          <w:color w:val="000000" w:themeColor="text1"/>
          <w:sz w:val="20"/>
          <w:szCs w:val="20"/>
          <w:highlight w:val="none"/>
          <w14:textFill>
            <w14:solidFill>
              <w14:schemeClr w14:val="tx1"/>
            </w14:solidFill>
          </w14:textFill>
        </w:rPr>
        <w:t>本产品开放日的</w:t>
      </w:r>
      <w:r>
        <w:rPr>
          <w:rFonts w:hint="eastAsia" w:ascii="楷体_GB2312" w:eastAsia="楷体_GB2312" w:cs="楷体_GB2312"/>
          <w:color w:val="000000" w:themeColor="text1"/>
          <w:sz w:val="20"/>
          <w:szCs w:val="20"/>
          <w:highlight w:val="none"/>
          <w14:textFill>
            <w14:solidFill>
              <w14:schemeClr w14:val="tx1"/>
            </w14:solidFill>
          </w14:textFill>
        </w:rPr>
        <w:t>交易</w:t>
      </w:r>
      <w:r>
        <w:rPr>
          <w:rFonts w:ascii="楷体_GB2312" w:eastAsia="楷体_GB2312" w:cs="楷体_GB2312"/>
          <w:color w:val="000000" w:themeColor="text1"/>
          <w:sz w:val="20"/>
          <w:szCs w:val="20"/>
          <w:highlight w:val="none"/>
          <w14:textFill>
            <w14:solidFill>
              <w14:schemeClr w14:val="tx1"/>
            </w14:solidFill>
          </w14:textFill>
        </w:rPr>
        <w:t>时间内</w:t>
      </w:r>
      <w:r>
        <w:rPr>
          <w:rFonts w:hint="eastAsia" w:ascii="楷体_GB2312" w:eastAsia="楷体_GB2312" w:cs="楷体_GB2312"/>
          <w:color w:val="000000" w:themeColor="text1"/>
          <w:sz w:val="20"/>
          <w:szCs w:val="20"/>
          <w:highlight w:val="none"/>
          <w14:textFill>
            <w14:solidFill>
              <w14:schemeClr w14:val="tx1"/>
            </w14:solidFill>
          </w14:textFill>
        </w:rPr>
        <w:t>申请</w:t>
      </w:r>
      <w:r>
        <w:rPr>
          <w:rFonts w:ascii="楷体_GB2312" w:eastAsia="楷体_GB2312" w:cs="楷体_GB2312"/>
          <w:color w:val="000000" w:themeColor="text1"/>
          <w:sz w:val="20"/>
          <w:szCs w:val="20"/>
          <w:highlight w:val="none"/>
          <w14:textFill>
            <w14:solidFill>
              <w14:schemeClr w14:val="tx1"/>
            </w14:solidFill>
          </w14:textFill>
        </w:rPr>
        <w:t>赎回（</w:t>
      </w:r>
      <w:r>
        <w:rPr>
          <w:rFonts w:hint="eastAsia" w:ascii="楷体_GB2312" w:eastAsia="楷体_GB2312" w:cs="楷体_GB2312"/>
          <w:color w:val="000000" w:themeColor="text1"/>
          <w:sz w:val="20"/>
          <w:szCs w:val="20"/>
          <w:highlight w:val="none"/>
          <w14:textFill>
            <w14:solidFill>
              <w14:schemeClr w14:val="tx1"/>
            </w14:solidFill>
          </w14:textFill>
        </w:rPr>
        <w:t>设置最短持有期的产品份额，须在超过最短持有期后</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，同时可在开放日的交易时间内对提交的赎回申请进行撤销，开放日是否可以撤单以及撤单规则，如合作销售机构</w:t>
      </w:r>
      <w:r>
        <w:rPr>
          <w:rFonts w:ascii="楷体_GB2312" w:eastAsia="楷体_GB2312" w:cs="楷体_GB2312"/>
          <w:color w:val="000000" w:themeColor="text1"/>
          <w:sz w:val="20"/>
          <w:szCs w:val="20"/>
          <w:highlight w:val="none"/>
          <w14:textFill>
            <w14:solidFill>
              <w14:schemeClr w14:val="tx1"/>
            </w14:solidFill>
          </w14:textFill>
        </w:rPr>
        <w:t>/代销机构另有规定的，以合作销售机构/代销机构为准。</w:t>
      </w:r>
    </w:p>
    <w:p w14:paraId="7746297D">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3</w:t>
      </w:r>
      <w:r>
        <w:rPr>
          <w:rFonts w:hint="eastAsia" w:ascii="楷体_GB2312" w:eastAsia="楷体_GB2312" w:cs="楷体_GB2312"/>
          <w:color w:val="000000" w:themeColor="text1"/>
          <w:sz w:val="20"/>
          <w:szCs w:val="20"/>
          <w:highlight w:val="none"/>
          <w14:textFill>
            <w14:solidFill>
              <w14:schemeClr w14:val="tx1"/>
            </w14:solidFill>
          </w14:textFill>
        </w:rPr>
        <w:t>．投资者在进行份额赎回时，</w:t>
      </w:r>
    </w:p>
    <w:p w14:paraId="1DE8BEDE">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赎回金额</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赎回份额×【</w:t>
      </w:r>
      <w:r>
        <w:rPr>
          <w:rFonts w:hint="eastAsia" w:ascii="楷体_GB2312" w:eastAsia="楷体_GB2312" w:cs="楷体_GB2312"/>
          <w:sz w:val="20"/>
          <w:szCs w:val="20"/>
          <w:highlight w:val="none"/>
        </w:rPr>
        <w:t>赎回开放</w:t>
      </w:r>
      <w:r>
        <w:rPr>
          <w:rFonts w:hint="eastAsia" w:ascii="楷体_GB2312" w:eastAsia="楷体_GB2312" w:cs="楷体_GB2312"/>
          <w:color w:val="000000" w:themeColor="text1"/>
          <w:sz w:val="20"/>
          <w:szCs w:val="20"/>
          <w:highlight w:val="none"/>
          <w14:textFill>
            <w14:solidFill>
              <w14:schemeClr w14:val="tx1"/>
            </w14:solidFill>
          </w14:textFill>
        </w:rPr>
        <w:t>】日</w:t>
      </w:r>
      <w:r>
        <w:rPr>
          <w:rFonts w:ascii="楷体_GB2312" w:eastAsia="楷体_GB2312" w:cs="楷体_GB2312"/>
          <w:color w:val="000000" w:themeColor="text1"/>
          <w:sz w:val="20"/>
          <w:szCs w:val="20"/>
          <w:highlight w:val="none"/>
          <w14:textFill>
            <w14:solidFill>
              <w14:schemeClr w14:val="tx1"/>
            </w14:solidFill>
          </w14:textFill>
        </w:rPr>
        <w:t>的</w:t>
      </w:r>
      <w:r>
        <w:rPr>
          <w:rFonts w:hint="eastAsia" w:ascii="楷体_GB2312" w:eastAsia="楷体_GB2312" w:cs="楷体_GB2312"/>
          <w:color w:val="000000" w:themeColor="text1"/>
          <w:sz w:val="20"/>
          <w:szCs w:val="20"/>
          <w:highlight w:val="none"/>
          <w14:textFill>
            <w14:solidFill>
              <w14:schemeClr w14:val="tx1"/>
            </w14:solidFill>
          </w14:textFill>
        </w:rPr>
        <w:t>单位净值×（</w:t>
      </w:r>
      <w:r>
        <w:rPr>
          <w:rFonts w:ascii="楷体_GB2312" w:eastAsia="楷体_GB2312" w:cs="楷体_GB2312"/>
          <w:color w:val="000000" w:themeColor="text1"/>
          <w:sz w:val="20"/>
          <w:szCs w:val="20"/>
          <w:highlight w:val="none"/>
          <w14:textFill>
            <w14:solidFill>
              <w14:schemeClr w14:val="tx1"/>
            </w14:solidFill>
          </w14:textFill>
        </w:rPr>
        <w:t>1-</w:t>
      </w:r>
      <w:r>
        <w:rPr>
          <w:rFonts w:hint="eastAsia" w:ascii="楷体_GB2312" w:eastAsia="楷体_GB2312" w:cs="楷体_GB2312"/>
          <w:color w:val="000000" w:themeColor="text1"/>
          <w:sz w:val="20"/>
          <w:szCs w:val="20"/>
          <w:highlight w:val="none"/>
          <w14:textFill>
            <w14:solidFill>
              <w14:schemeClr w14:val="tx1"/>
            </w14:solidFill>
          </w14:textFill>
        </w:rPr>
        <w:t>赎回费率）。</w:t>
      </w:r>
    </w:p>
    <w:p w14:paraId="1F53F621">
      <w:pPr>
        <w:spacing w:line="300" w:lineRule="exact"/>
        <w:ind w:firstLine="400" w:firstLineChars="200"/>
        <w:jc w:val="both"/>
        <w:rPr>
          <w:rFonts w:ascii="楷体_GB2312" w:eastAsia="楷体_GB2312"/>
          <w:sz w:val="20"/>
          <w:szCs w:val="20"/>
          <w:highlight w:val="none"/>
        </w:rPr>
      </w:pPr>
      <w:r>
        <w:rPr>
          <w:rFonts w:hint="eastAsia" w:ascii="楷体_GB2312" w:eastAsia="楷体_GB2312" w:cs="楷体_GB2312"/>
          <w:color w:val="000000" w:themeColor="text1"/>
          <w:sz w:val="20"/>
          <w:szCs w:val="20"/>
          <w:highlight w:val="none"/>
          <w14:textFill>
            <w14:solidFill>
              <w14:schemeClr w14:val="tx1"/>
            </w14:solidFill>
          </w14:textFill>
        </w:rPr>
        <w:t>赎回金额按照四舍五入原则保留至小数点后【2】位，由此误差产生的损失由理财财产承担，产生的收益归理财财产所有。</w:t>
      </w:r>
      <w:r>
        <w:rPr>
          <w:rFonts w:hint="eastAsia" w:ascii="楷体_GB2312" w:eastAsia="楷体_GB2312" w:cs="楷体_GB2312"/>
          <w:sz w:val="20"/>
          <w:szCs w:val="20"/>
          <w:highlight w:val="none"/>
        </w:rPr>
        <w:t>当理财产品份额被</w:t>
      </w:r>
      <w:r>
        <w:rPr>
          <w:rFonts w:hint="eastAsia" w:ascii="楷体_GB2312" w:eastAsia="楷体_GB2312" w:cs="楷体_GB2312"/>
          <w:sz w:val="20"/>
          <w:szCs w:val="20"/>
          <w:highlight w:val="none"/>
          <w:lang w:val="en-US" w:eastAsia="zh-CN"/>
        </w:rPr>
        <w:t>大额</w:t>
      </w:r>
      <w:r>
        <w:rPr>
          <w:rFonts w:hint="eastAsia" w:ascii="楷体_GB2312" w:eastAsia="楷体_GB2312" w:cs="楷体_GB2312"/>
          <w:sz w:val="20"/>
          <w:szCs w:val="20"/>
          <w:highlight w:val="none"/>
        </w:rPr>
        <w:t>赎回时，为保证投资者利益，管理人有权调整单位净值小数点取位规则。</w:t>
      </w:r>
    </w:p>
    <w:p w14:paraId="7854A40B">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例如，【</w:t>
      </w:r>
      <w:r>
        <w:rPr>
          <w:rFonts w:hint="eastAsia" w:ascii="楷体_GB2312" w:eastAsia="楷体_GB2312" w:cs="楷体_GB2312"/>
          <w:sz w:val="20"/>
          <w:szCs w:val="20"/>
          <w:highlight w:val="none"/>
        </w:rPr>
        <w:t>某开放日投资者成功赎回所持有</w:t>
      </w:r>
      <w:r>
        <w:rPr>
          <w:rFonts w:ascii="楷体_GB2312" w:eastAsia="楷体_GB2312" w:cs="楷体_GB2312"/>
          <w:sz w:val="20"/>
          <w:szCs w:val="20"/>
          <w:highlight w:val="none"/>
        </w:rPr>
        <w:t>500万份本产品份额，该开放日单位净值为1.1000，赎回费率为0%，则投资者获得的赎回金额=5,000,000.00×1.1000×（1-0%）=5,500,000.00元</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w:t>
      </w:r>
    </w:p>
    <w:p w14:paraId="6CF4566F">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上述示例采用假设数据计算，并不代表投资者实际可获得的赎回金额</w:t>
      </w: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w:t>
      </w:r>
    </w:p>
    <w:p w14:paraId="0C245C69">
      <w:pPr>
        <w:spacing w:line="300" w:lineRule="exact"/>
        <w:ind w:firstLine="400" w:firstLineChars="200"/>
        <w:jc w:val="both"/>
        <w:rPr>
          <w:rFonts w:ascii="楷体_GB2312" w:eastAsia="楷体_GB2312" w:cs="楷体_GB2312"/>
          <w:sz w:val="20"/>
          <w:szCs w:val="20"/>
          <w:highlight w:val="none"/>
        </w:rPr>
      </w:pPr>
      <w:r>
        <w:rPr>
          <w:rFonts w:hint="eastAsia" w:ascii="楷体_GB2312" w:eastAsia="楷体_GB2312"/>
          <w:color w:val="000000" w:themeColor="text1"/>
          <w:sz w:val="20"/>
          <w:szCs w:val="20"/>
          <w:highlight w:val="none"/>
          <w14:textFill>
            <w14:solidFill>
              <w14:schemeClr w14:val="tx1"/>
            </w14:solidFill>
          </w14:textFill>
        </w:rPr>
        <w:t>4</w:t>
      </w:r>
      <w:r>
        <w:rPr>
          <w:rFonts w:ascii="楷体_GB2312" w:eastAsia="楷体_GB2312"/>
          <w:color w:val="000000" w:themeColor="text1"/>
          <w:sz w:val="20"/>
          <w:szCs w:val="20"/>
          <w:highlight w:val="none"/>
          <w14:textFill>
            <w14:solidFill>
              <w14:schemeClr w14:val="tx1"/>
            </w14:solidFill>
          </w14:textFill>
        </w:rPr>
        <w:t>．</w:t>
      </w:r>
      <w:r>
        <w:rPr>
          <w:rFonts w:hint="eastAsia" w:ascii="楷体_GB2312" w:eastAsia="楷体_GB2312"/>
          <w:sz w:val="20"/>
          <w:szCs w:val="20"/>
          <w:highlight w:val="none"/>
        </w:rPr>
        <w:t>【赎回申请正式受理的开放日后第一个工作日】即为赎回确认日，赎回份额确认日后投资者可向销售机构查询赎回是否成功。管理人</w:t>
      </w:r>
      <w:r>
        <w:rPr>
          <w:rFonts w:ascii="楷体_GB2312" w:eastAsia="楷体_GB2312"/>
          <w:sz w:val="20"/>
          <w:szCs w:val="20"/>
          <w:highlight w:val="none"/>
        </w:rPr>
        <w:t>按照“</w:t>
      </w:r>
      <w:r>
        <w:rPr>
          <w:rFonts w:hint="eastAsia" w:ascii="楷体_GB2312" w:eastAsia="楷体_GB2312"/>
          <w:sz w:val="20"/>
          <w:szCs w:val="20"/>
          <w:highlight w:val="none"/>
        </w:rPr>
        <w:t>先进</w:t>
      </w:r>
      <w:r>
        <w:rPr>
          <w:rFonts w:ascii="楷体_GB2312" w:eastAsia="楷体_GB2312"/>
          <w:sz w:val="20"/>
          <w:szCs w:val="20"/>
          <w:highlight w:val="none"/>
        </w:rPr>
        <w:t>先出”</w:t>
      </w:r>
      <w:r>
        <w:rPr>
          <w:rFonts w:hint="eastAsia" w:ascii="楷体_GB2312" w:eastAsia="楷体_GB2312"/>
          <w:sz w:val="20"/>
          <w:szCs w:val="20"/>
          <w:highlight w:val="none"/>
        </w:rPr>
        <w:t>的</w:t>
      </w:r>
      <w:r>
        <w:rPr>
          <w:rFonts w:ascii="楷体_GB2312" w:eastAsia="楷体_GB2312"/>
          <w:sz w:val="20"/>
          <w:szCs w:val="20"/>
          <w:highlight w:val="none"/>
        </w:rPr>
        <w:t>原则处理投资者持有份额的赎回，</w:t>
      </w:r>
      <w:r>
        <w:rPr>
          <w:rFonts w:hint="eastAsia" w:ascii="楷体_GB2312" w:eastAsia="楷体_GB2312"/>
          <w:sz w:val="20"/>
          <w:szCs w:val="20"/>
          <w:highlight w:val="none"/>
        </w:rPr>
        <w:t>即</w:t>
      </w:r>
      <w:r>
        <w:rPr>
          <w:rFonts w:ascii="楷体_GB2312" w:eastAsia="楷体_GB2312"/>
          <w:sz w:val="20"/>
          <w:szCs w:val="20"/>
          <w:highlight w:val="none"/>
        </w:rPr>
        <w:t>份额</w:t>
      </w:r>
      <w:r>
        <w:rPr>
          <w:rFonts w:hint="eastAsia" w:ascii="楷体_GB2312" w:eastAsia="楷体_GB2312"/>
          <w:sz w:val="20"/>
          <w:szCs w:val="20"/>
          <w:highlight w:val="none"/>
        </w:rPr>
        <w:t>注册</w:t>
      </w:r>
      <w:r>
        <w:rPr>
          <w:rFonts w:ascii="楷体_GB2312" w:eastAsia="楷体_GB2312"/>
          <w:sz w:val="20"/>
          <w:szCs w:val="20"/>
          <w:highlight w:val="none"/>
        </w:rPr>
        <w:t>日期在前的份额先赎回，份额注册日期在后的份额后赎回。</w:t>
      </w:r>
    </w:p>
    <w:p w14:paraId="75409022">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5</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投资者</w:t>
      </w:r>
      <w:r>
        <w:rPr>
          <w:rFonts w:ascii="楷体_GB2312" w:eastAsia="楷体_GB2312" w:cs="楷体_GB2312"/>
          <w:color w:val="000000" w:themeColor="text1"/>
          <w:sz w:val="20"/>
          <w:szCs w:val="20"/>
          <w:highlight w:val="none"/>
          <w14:textFill>
            <w14:solidFill>
              <w14:schemeClr w14:val="tx1"/>
            </w14:solidFill>
          </w14:textFill>
        </w:rPr>
        <w:t>通过代销机构购买理财产品的，</w:t>
      </w:r>
      <w:r>
        <w:rPr>
          <w:rFonts w:hint="eastAsia" w:ascii="楷体_GB2312" w:eastAsia="楷体_GB2312" w:cs="楷体_GB2312"/>
          <w:color w:val="000000" w:themeColor="text1"/>
          <w:sz w:val="20"/>
          <w:szCs w:val="20"/>
          <w:highlight w:val="none"/>
          <w14:textFill>
            <w14:solidFill>
              <w14:schemeClr w14:val="tx1"/>
            </w14:solidFill>
          </w14:textFill>
        </w:rPr>
        <w:t>代销机构受理赎回申请并不表示对该申请成功的确认，而仅代表收到了赎回申请，申请是否成功应以管理人的最终确认为准。具体而言，如管理人在赎回确认日根据投资者的赎回确认</w:t>
      </w:r>
      <w:r>
        <w:rPr>
          <w:rFonts w:ascii="楷体_GB2312" w:eastAsia="楷体_GB2312" w:cs="楷体_GB2312"/>
          <w:color w:val="000000" w:themeColor="text1"/>
          <w:sz w:val="20"/>
          <w:szCs w:val="20"/>
          <w:highlight w:val="none"/>
          <w14:textFill>
            <w14:solidFill>
              <w14:schemeClr w14:val="tx1"/>
            </w14:solidFill>
          </w14:textFill>
        </w:rPr>
        <w:t>结果为</w:t>
      </w:r>
      <w:r>
        <w:rPr>
          <w:rFonts w:hint="eastAsia" w:ascii="楷体_GB2312" w:eastAsia="楷体_GB2312" w:cs="楷体_GB2312"/>
          <w:color w:val="000000" w:themeColor="text1"/>
          <w:sz w:val="20"/>
          <w:szCs w:val="20"/>
          <w:highlight w:val="none"/>
          <w14:textFill>
            <w14:solidFill>
              <w14:schemeClr w14:val="tx1"/>
            </w14:solidFill>
          </w14:textFill>
        </w:rPr>
        <w:t>投资者成功注销赎回份额，则视为投资者的赎回申请成功，并以管理人的登记结果为准。管理人会将赎回确认结果及时反馈给代销机构，投资者应及时按照本产品说明书的约定查询赎回确认结果。</w:t>
      </w:r>
    </w:p>
    <w:p w14:paraId="68054BD6">
      <w:pPr>
        <w:spacing w:line="300" w:lineRule="exact"/>
        <w:ind w:firstLine="428" w:firstLineChars="214"/>
        <w:jc w:val="both"/>
        <w:rPr>
          <w:color w:val="000000" w:themeColor="text1"/>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6</w:t>
      </w:r>
      <w:r>
        <w:rPr>
          <w:rFonts w:hint="eastAsia" w:ascii="楷体_GB2312" w:eastAsia="楷体_GB2312" w:cs="楷体_GB2312"/>
          <w:color w:val="000000" w:themeColor="text1"/>
          <w:sz w:val="20"/>
          <w:szCs w:val="20"/>
          <w:highlight w:val="none"/>
          <w14:textFill>
            <w14:solidFill>
              <w14:schemeClr w14:val="tx1"/>
            </w14:solidFill>
          </w14:textFill>
        </w:rPr>
        <w:t>．若投资者在开放日全额或部分赎回，管理人将在该开放日后【5】个工作日内支付赎回款项。若遇证券交易所或交易市场数据传输延迟、通讯系统故障、银行系统故障或其他非人为所能控制因素影响业务流程，则赎回款项划付时间相应顺延至上述情形消除后下一个工作日</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olor w:val="000000" w:themeColor="text1"/>
          <w:sz w:val="20"/>
          <w:szCs w:val="20"/>
          <w:highlight w:val="none"/>
          <w14:textFill>
            <w14:solidFill>
              <w14:schemeClr w14:val="tx1"/>
            </w14:solidFill>
          </w14:textFill>
        </w:rPr>
        <w:t>投资者通过</w:t>
      </w:r>
      <w:r>
        <w:rPr>
          <w:rFonts w:ascii="楷体_GB2312" w:eastAsia="楷体_GB2312"/>
          <w:color w:val="000000" w:themeColor="text1"/>
          <w:sz w:val="20"/>
          <w:szCs w:val="20"/>
          <w:highlight w:val="none"/>
          <w14:textFill>
            <w14:solidFill>
              <w14:schemeClr w14:val="tx1"/>
            </w14:solidFill>
          </w14:textFill>
        </w:rPr>
        <w:t>代销机构渠道购买理财产品的，理财资金划转至投资者</w:t>
      </w:r>
      <w:r>
        <w:rPr>
          <w:rFonts w:hint="eastAsia" w:ascii="楷体_GB2312" w:eastAsia="楷体_GB2312"/>
          <w:color w:val="000000" w:themeColor="text1"/>
          <w:sz w:val="20"/>
          <w:szCs w:val="20"/>
          <w:highlight w:val="none"/>
          <w14:textFill>
            <w14:solidFill>
              <w14:schemeClr w14:val="tx1"/>
            </w14:solidFill>
          </w14:textFill>
        </w:rPr>
        <w:t>账户的</w:t>
      </w:r>
      <w:r>
        <w:rPr>
          <w:rFonts w:ascii="楷体_GB2312" w:eastAsia="楷体_GB2312"/>
          <w:color w:val="000000" w:themeColor="text1"/>
          <w:sz w:val="20"/>
          <w:szCs w:val="20"/>
          <w:highlight w:val="none"/>
          <w14:textFill>
            <w14:solidFill>
              <w14:schemeClr w14:val="tx1"/>
            </w14:solidFill>
          </w14:textFill>
        </w:rPr>
        <w:t>时间以代销机构的清算时间为准。</w:t>
      </w:r>
    </w:p>
    <w:p w14:paraId="16D721CD">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7</w:t>
      </w:r>
      <w:r>
        <w:rPr>
          <w:rFonts w:hint="eastAsia" w:ascii="楷体_GB2312" w:eastAsia="楷体_GB2312" w:cs="楷体_GB2312"/>
          <w:color w:val="000000" w:themeColor="text1"/>
          <w:sz w:val="20"/>
          <w:szCs w:val="20"/>
          <w:highlight w:val="none"/>
          <w14:textFill>
            <w14:solidFill>
              <w14:schemeClr w14:val="tx1"/>
            </w14:solidFill>
          </w14:textFill>
        </w:rPr>
        <w:t>．管理人保留不接受赎回申请的权利。</w:t>
      </w:r>
    </w:p>
    <w:p w14:paraId="7AC22DC7">
      <w:pPr>
        <w:spacing w:line="300" w:lineRule="exact"/>
        <w:ind w:right="96" w:rightChars="40" w:firstLine="426" w:firstLineChars="213"/>
        <w:rPr>
          <w:rFonts w:ascii="楷体_GB2312" w:eastAsia="楷体_GB2312"/>
          <w:color w:val="000000" w:themeColor="text1"/>
          <w:sz w:val="20"/>
          <w:szCs w:val="20"/>
          <w:highlight w:val="none"/>
          <w14:textFill>
            <w14:solidFill>
              <w14:schemeClr w14:val="tx1"/>
            </w14:solidFill>
          </w14:textFill>
        </w:rPr>
      </w:pPr>
    </w:p>
    <w:p w14:paraId="7A23110F">
      <w:pPr>
        <w:spacing w:line="300" w:lineRule="exact"/>
        <w:ind w:left="-2" w:leftChars="-1" w:right="96" w:rightChars="40"/>
        <w:rPr>
          <w:rFonts w:ascii="黑体" w:eastAsia="黑体"/>
          <w:color w:val="000000" w:themeColor="text1"/>
          <w:sz w:val="20"/>
          <w:szCs w:val="20"/>
          <w:highlight w:val="none"/>
          <w14:textFill>
            <w14:solidFill>
              <w14:schemeClr w14:val="tx1"/>
            </w14:solidFill>
          </w14:textFill>
        </w:rPr>
      </w:pPr>
      <w:r>
        <w:rPr>
          <w:rFonts w:hint="eastAsia" w:ascii="黑体" w:eastAsia="黑体" w:cs="黑体"/>
          <w:color w:val="000000" w:themeColor="text1"/>
          <w:sz w:val="20"/>
          <w:szCs w:val="20"/>
          <w:highlight w:val="none"/>
          <w14:textFill>
            <w14:solidFill>
              <w14:schemeClr w14:val="tx1"/>
            </w14:solidFill>
          </w14:textFill>
        </w:rPr>
        <w:t>六、理财产品的巨额赎回</w:t>
      </w:r>
    </w:p>
    <w:p w14:paraId="1E2E7005">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1</w:t>
      </w:r>
      <w:r>
        <w:rPr>
          <w:rFonts w:hint="eastAsia" w:ascii="楷体_GB2312" w:eastAsia="楷体_GB2312" w:cs="楷体_GB2312"/>
          <w:color w:val="000000" w:themeColor="text1"/>
          <w:sz w:val="20"/>
          <w:szCs w:val="20"/>
          <w:highlight w:val="none"/>
          <w14:textFill>
            <w14:solidFill>
              <w14:schemeClr w14:val="tx1"/>
            </w14:solidFill>
          </w14:textFill>
        </w:rPr>
        <w:t>．如某开放日投资者净赎回份额超过本产品上一日终存续总份额的【</w:t>
      </w:r>
      <w:r>
        <w:rPr>
          <w:rFonts w:ascii="楷体_GB2312" w:eastAsia="楷体_GB2312" w:cs="楷体_GB2312"/>
          <w:color w:val="000000" w:themeColor="text1"/>
          <w:sz w:val="20"/>
          <w:szCs w:val="20"/>
          <w:highlight w:val="none"/>
          <w14:textFill>
            <w14:solidFill>
              <w14:schemeClr w14:val="tx1"/>
            </w14:solidFill>
          </w14:textFill>
        </w:rPr>
        <w:t>10%</w:t>
      </w:r>
      <w:r>
        <w:rPr>
          <w:rFonts w:hint="eastAsia" w:ascii="楷体_GB2312" w:eastAsia="楷体_GB2312" w:cs="楷体_GB2312"/>
          <w:color w:val="000000" w:themeColor="text1"/>
          <w:sz w:val="20"/>
          <w:szCs w:val="20"/>
          <w:highlight w:val="none"/>
          <w14:textFill>
            <w14:solidFill>
              <w14:schemeClr w14:val="tx1"/>
            </w14:solidFill>
          </w14:textFill>
        </w:rPr>
        <w:t>】，则被视为巨额赎回，在巨额赎回的情况下，管理人可以按照法律、行政法规和理财产品销售文件约定，综合运用设置赎回上限、延期办理巨额赎回申请、暂停接受赎回申请、收取短期赎回费、暂停理财产品估值、摆动定价等方式，作为本理财产品流动性风险管理的辅助措施。</w:t>
      </w:r>
    </w:p>
    <w:p w14:paraId="4332014C">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2．在巨额赎回情况下，对于超过本产品上一日终存续总份额【10%】以上的赎回申请，管理人有权全部或部分暂停接受或延期办理。</w:t>
      </w:r>
    </w:p>
    <w:p w14:paraId="52F62774">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1）对于接受办理的部分，可以按照单个投资者的赎回申请占当日申请赎回总份额的比例确定该投资者当日办理的赎回份额；</w:t>
      </w:r>
    </w:p>
    <w:p w14:paraId="4F08BA4C">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2）对于不予办理的部分，若投资者在申请赎回时选择将该部分予以撤销的，则该部分份额申请失效，投资者可在下一开放日正常赎回交易时间内重新提交赎回申请；若投资者在申请赎回时未选择将该部分予以撤销的，管理人有权决定对该部分份额申请采取下述任一种处理方式，并按照本说明书约定通知投资者：</w:t>
      </w:r>
    </w:p>
    <w:p w14:paraId="1C69776A">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a．失效，投资者可在下一开放日正常赎回交易时间内重新提交赎回申请。</w:t>
      </w:r>
    </w:p>
    <w:p w14:paraId="2B473AF7">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b．延迟至下一个开放日办理，赎回价格为下一个开放日的价格。</w:t>
      </w:r>
    </w:p>
    <w:p w14:paraId="28E7E4A4">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对于不予办理的部分，投资者是否在申请赎回时有选择撤销的权利，以销售机构为准。</w:t>
      </w:r>
    </w:p>
    <w:p w14:paraId="676B123D">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3</w:t>
      </w:r>
      <w:r>
        <w:rPr>
          <w:rFonts w:hint="eastAsia" w:ascii="楷体_GB2312" w:eastAsia="楷体_GB2312" w:cs="楷体_GB2312"/>
          <w:color w:val="000000" w:themeColor="text1"/>
          <w:sz w:val="20"/>
          <w:szCs w:val="20"/>
          <w:highlight w:val="none"/>
          <w14:textFill>
            <w14:solidFill>
              <w14:schemeClr w14:val="tx1"/>
            </w14:solidFill>
          </w14:textFill>
        </w:rPr>
        <w:t>．本产品连续【2】个以上开放日（含）发生巨额赎回，管理人有权暂停接受投资者的申购和赎回申请、</w:t>
      </w:r>
      <w:r>
        <w:rPr>
          <w:rFonts w:ascii="楷体_GB2312" w:eastAsia="楷体_GB2312" w:cs="楷体_GB2312"/>
          <w:color w:val="000000" w:themeColor="text1"/>
          <w:sz w:val="20"/>
          <w:szCs w:val="20"/>
          <w:highlight w:val="none"/>
          <w14:textFill>
            <w14:solidFill>
              <w14:schemeClr w14:val="tx1"/>
            </w14:solidFill>
          </w14:textFill>
        </w:rPr>
        <w:t>延期办理巨额赎回申请等</w:t>
      </w:r>
      <w:r>
        <w:rPr>
          <w:rFonts w:hint="eastAsia" w:ascii="楷体_GB2312" w:eastAsia="楷体_GB2312" w:cs="楷体_GB2312"/>
          <w:color w:val="000000" w:themeColor="text1"/>
          <w:sz w:val="20"/>
          <w:szCs w:val="20"/>
          <w:highlight w:val="none"/>
          <w14:textFill>
            <w14:solidFill>
              <w14:schemeClr w14:val="tx1"/>
            </w14:solidFill>
          </w14:textFill>
        </w:rPr>
        <w:t>。投资者根据管理人披露的开放日可重新进行申购和赎回。</w:t>
      </w:r>
      <w:r>
        <w:rPr>
          <w:rFonts w:ascii="楷体_GB2312" w:eastAsia="楷体_GB2312" w:cs="楷体_GB2312"/>
          <w:color w:val="000000" w:themeColor="text1"/>
          <w:sz w:val="20"/>
          <w:szCs w:val="20"/>
          <w:highlight w:val="none"/>
          <w14:textFill>
            <w14:solidFill>
              <w14:schemeClr w14:val="tx1"/>
            </w14:solidFill>
          </w14:textFill>
        </w:rPr>
        <w:t>对于已经接受的赎回申请，</w:t>
      </w:r>
      <w:r>
        <w:rPr>
          <w:rFonts w:hint="eastAsia" w:ascii="楷体_GB2312" w:eastAsia="楷体_GB2312" w:cs="楷体_GB2312"/>
          <w:color w:val="000000" w:themeColor="text1"/>
          <w:sz w:val="20"/>
          <w:szCs w:val="20"/>
          <w:highlight w:val="none"/>
          <w14:textFill>
            <w14:solidFill>
              <w14:schemeClr w14:val="tx1"/>
            </w14:solidFill>
          </w14:textFill>
        </w:rPr>
        <w:t>管理人</w:t>
      </w:r>
      <w:r>
        <w:rPr>
          <w:rFonts w:ascii="楷体_GB2312" w:eastAsia="楷体_GB2312" w:cs="楷体_GB2312"/>
          <w:color w:val="000000" w:themeColor="text1"/>
          <w:sz w:val="20"/>
          <w:szCs w:val="20"/>
          <w:highlight w:val="none"/>
          <w14:textFill>
            <w14:solidFill>
              <w14:schemeClr w14:val="tx1"/>
            </w14:solidFill>
          </w14:textFill>
        </w:rPr>
        <w:t>还可以延缓支付赎回款项，但延缓期限不得超过20个工作日。</w:t>
      </w:r>
    </w:p>
    <w:p w14:paraId="7F45055C">
      <w:pPr>
        <w:spacing w:line="300" w:lineRule="exact"/>
        <w:ind w:right="36" w:rightChars="15"/>
        <w:rPr>
          <w:rFonts w:ascii="楷体_GB2312" w:eastAsia="楷体_GB2312"/>
          <w:color w:val="000000" w:themeColor="text1"/>
          <w:sz w:val="20"/>
          <w:szCs w:val="20"/>
          <w:highlight w:val="none"/>
          <w14:textFill>
            <w14:solidFill>
              <w14:schemeClr w14:val="tx1"/>
            </w14:solidFill>
          </w14:textFill>
        </w:rPr>
      </w:pPr>
    </w:p>
    <w:p w14:paraId="29B52B4C">
      <w:pPr>
        <w:spacing w:line="300" w:lineRule="exact"/>
        <w:ind w:left="-2" w:leftChars="-1" w:right="96" w:rightChars="40"/>
        <w:rPr>
          <w:rFonts w:ascii="黑体" w:eastAsia="黑体"/>
          <w:color w:val="000000" w:themeColor="text1"/>
          <w:sz w:val="20"/>
          <w:szCs w:val="20"/>
          <w:highlight w:val="none"/>
          <w14:textFill>
            <w14:solidFill>
              <w14:schemeClr w14:val="tx1"/>
            </w14:solidFill>
          </w14:textFill>
        </w:rPr>
      </w:pPr>
      <w:r>
        <w:rPr>
          <w:rFonts w:hint="eastAsia" w:ascii="黑体" w:eastAsia="黑体" w:cs="黑体"/>
          <w:color w:val="000000" w:themeColor="text1"/>
          <w:sz w:val="20"/>
          <w:szCs w:val="20"/>
          <w:highlight w:val="none"/>
          <w14:textFill>
            <w14:solidFill>
              <w14:schemeClr w14:val="tx1"/>
            </w14:solidFill>
          </w14:textFill>
        </w:rPr>
        <w:t>七、拒绝或暂停接受认、申购或赎回申请、延缓支付赎回款项等情形及处理</w:t>
      </w:r>
    </w:p>
    <w:p w14:paraId="46CFACA0">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1</w:t>
      </w:r>
      <w:r>
        <w:rPr>
          <w:rFonts w:ascii="楷体_GB2312" w:eastAsia="楷体_GB2312" w:cs="楷体_GB2312"/>
          <w:color w:val="000000" w:themeColor="text1"/>
          <w:sz w:val="20"/>
          <w:szCs w:val="20"/>
          <w:highlight w:val="none"/>
          <w14:textFill>
            <w14:solidFill>
              <w14:schemeClr w14:val="tx1"/>
            </w14:solidFill>
          </w14:textFill>
        </w:rPr>
        <w:t>．为应对流动性风险，保护投资者利益，或基于投资运作与风险控制需要，管理人可以综合运用以下理财产品流动性风险应对措施：（a）认购风险应对措施，包括：设定单一投资者认购金额上限、设定理财产品单日净认购比例上限、拒绝大额认购、暂停认购，以及国务院银行业监督管理机构规定的其他措施。（b）赎回风险应对措施，包括：设置赎回上限、延期办理巨额赎回申请、暂停接受赎回申请、延缓支付赎回款项、收取短期赎回费、暂停理财产品估值、摆动定价，以及国务院银行业监督管理机构规定的其他措施。</w:t>
      </w:r>
    </w:p>
    <w:p w14:paraId="709391B6">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2</w:t>
      </w:r>
      <w:r>
        <w:rPr>
          <w:rFonts w:hint="eastAsia" w:ascii="楷体_GB2312" w:eastAsia="楷体_GB2312" w:cs="楷体_GB2312"/>
          <w:color w:val="000000" w:themeColor="text1"/>
          <w:sz w:val="20"/>
          <w:szCs w:val="20"/>
          <w:highlight w:val="none"/>
          <w14:textFill>
            <w14:solidFill>
              <w14:schemeClr w14:val="tx1"/>
            </w14:solidFill>
          </w14:textFill>
        </w:rPr>
        <w:t>．管理人可拒绝接受或暂停接受投资者的认、申购申请的情形包括：</w:t>
      </w:r>
    </w:p>
    <w:p w14:paraId="15EF5B11">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1</w:t>
      </w:r>
      <w:r>
        <w:rPr>
          <w:rFonts w:hint="eastAsia" w:ascii="楷体_GB2312" w:eastAsia="楷体_GB2312" w:cs="楷体_GB2312"/>
          <w:color w:val="000000" w:themeColor="text1"/>
          <w:sz w:val="20"/>
          <w:szCs w:val="20"/>
          <w:highlight w:val="none"/>
          <w14:textFill>
            <w14:solidFill>
              <w14:schemeClr w14:val="tx1"/>
            </w14:solidFill>
          </w14:textFill>
        </w:rPr>
        <w:t>）不可抗力或国家经济金融政策发生变化等原因导致本产品无法正常运作；</w:t>
      </w:r>
    </w:p>
    <w:p w14:paraId="78F9B021">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2</w:t>
      </w:r>
      <w:r>
        <w:rPr>
          <w:rFonts w:hint="eastAsia" w:ascii="楷体_GB2312" w:eastAsia="楷体_GB2312" w:cs="楷体_GB2312"/>
          <w:color w:val="000000" w:themeColor="text1"/>
          <w:sz w:val="20"/>
          <w:szCs w:val="20"/>
          <w:highlight w:val="none"/>
          <w14:textFill>
            <w14:solidFill>
              <w14:schemeClr w14:val="tx1"/>
            </w14:solidFill>
          </w14:textFill>
        </w:rPr>
        <w:t>）证券交易场所或银行间债券市场依法决定停市等情形；</w:t>
      </w:r>
    </w:p>
    <w:p w14:paraId="08B97506">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3</w:t>
      </w:r>
      <w:r>
        <w:rPr>
          <w:rFonts w:hint="eastAsia" w:ascii="楷体_GB2312" w:eastAsia="楷体_GB2312" w:cs="楷体_GB2312"/>
          <w:color w:val="000000" w:themeColor="text1"/>
          <w:sz w:val="20"/>
          <w:szCs w:val="20"/>
          <w:highlight w:val="none"/>
          <w14:textFill>
            <w14:solidFill>
              <w14:schemeClr w14:val="tx1"/>
            </w14:solidFill>
          </w14:textFill>
        </w:rPr>
        <w:t>）本产品资产规模过大，管理人无法找到合适的投资品种，或继续接受认/申购可能对理财产品业绩产生影响；</w:t>
      </w:r>
    </w:p>
    <w:p w14:paraId="46F42465">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4</w:t>
      </w:r>
      <w:r>
        <w:rPr>
          <w:rFonts w:hint="eastAsia" w:ascii="楷体_GB2312" w:eastAsia="楷体_GB2312" w:cs="楷体_GB2312"/>
          <w:color w:val="000000" w:themeColor="text1"/>
          <w:sz w:val="20"/>
          <w:szCs w:val="20"/>
          <w:highlight w:val="none"/>
          <w14:textFill>
            <w14:solidFill>
              <w14:schemeClr w14:val="tx1"/>
            </w14:solidFill>
          </w14:textFill>
        </w:rPr>
        <w:t>）当管理人认为某笔认/申购申请会有损于本产品其他份额持有人利益时，或基于</w:t>
      </w:r>
      <w:r>
        <w:rPr>
          <w:rFonts w:ascii="楷体_GB2312" w:eastAsia="楷体_GB2312" w:cs="楷体_GB2312"/>
          <w:color w:val="000000" w:themeColor="text1"/>
          <w:sz w:val="20"/>
          <w:szCs w:val="20"/>
          <w:highlight w:val="none"/>
          <w14:textFill>
            <w14:solidFill>
              <w14:schemeClr w14:val="tx1"/>
            </w14:solidFill>
          </w14:textFill>
        </w:rPr>
        <w:t>投资运作和风险控制需要，</w:t>
      </w:r>
      <w:r>
        <w:rPr>
          <w:rFonts w:hint="eastAsia" w:ascii="楷体_GB2312" w:eastAsia="楷体_GB2312" w:cs="楷体_GB2312"/>
          <w:color w:val="000000" w:themeColor="text1"/>
          <w:sz w:val="20"/>
          <w:szCs w:val="20"/>
          <w:highlight w:val="none"/>
          <w14:textFill>
            <w14:solidFill>
              <w14:schemeClr w14:val="tx1"/>
            </w14:solidFill>
          </w14:textFill>
        </w:rPr>
        <w:t>可拒绝该笔认/申购申请；</w:t>
      </w:r>
    </w:p>
    <w:p w14:paraId="3F6C9AB3">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5</w:t>
      </w:r>
      <w:r>
        <w:rPr>
          <w:rFonts w:hint="eastAsia" w:ascii="楷体_GB2312" w:eastAsia="楷体_GB2312" w:cs="楷体_GB2312"/>
          <w:color w:val="000000" w:themeColor="text1"/>
          <w:sz w:val="20"/>
          <w:szCs w:val="20"/>
          <w:highlight w:val="none"/>
          <w14:textFill>
            <w14:solidFill>
              <w14:schemeClr w14:val="tx1"/>
            </w14:solidFill>
          </w14:textFill>
        </w:rPr>
        <w:t>）当投资者认/申购金额将导致单笔认/申购金额上限、单个投资者持仓上限、计划募集金额上限、产品规模上限等各指标超限时，或单笔认/申购金额不足认/申购金额起点</w:t>
      </w:r>
      <w:r>
        <w:rPr>
          <w:rFonts w:ascii="楷体_GB2312" w:eastAsia="楷体_GB2312" w:cs="楷体_GB2312"/>
          <w:color w:val="000000" w:themeColor="text1"/>
          <w:sz w:val="20"/>
          <w:szCs w:val="20"/>
          <w:highlight w:val="none"/>
          <w14:textFill>
            <w14:solidFill>
              <w14:schemeClr w14:val="tx1"/>
            </w14:solidFill>
          </w14:textFill>
        </w:rPr>
        <w:t>金额时，</w:t>
      </w:r>
      <w:r>
        <w:rPr>
          <w:rFonts w:hint="eastAsia" w:ascii="楷体_GB2312" w:eastAsia="楷体_GB2312" w:cs="楷体_GB2312"/>
          <w:color w:val="000000" w:themeColor="text1"/>
          <w:sz w:val="20"/>
          <w:szCs w:val="20"/>
          <w:highlight w:val="none"/>
          <w14:textFill>
            <w14:solidFill>
              <w14:schemeClr w14:val="tx1"/>
            </w14:solidFill>
          </w14:textFill>
        </w:rPr>
        <w:t>管理人有权拒绝投资者的认/申购申请；</w:t>
      </w:r>
    </w:p>
    <w:p w14:paraId="4F8AE63C">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（6</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发生本</w:t>
      </w:r>
      <w:r>
        <w:rPr>
          <w:rFonts w:ascii="楷体_GB2312" w:eastAsia="楷体_GB2312" w:cs="楷体_GB2312"/>
          <w:color w:val="000000" w:themeColor="text1"/>
          <w:sz w:val="20"/>
          <w:szCs w:val="20"/>
          <w:highlight w:val="none"/>
          <w14:textFill>
            <w14:solidFill>
              <w14:schemeClr w14:val="tx1"/>
            </w14:solidFill>
          </w14:textFill>
        </w:rPr>
        <w:t>说明书约定的产品暂停估值的情形；</w:t>
      </w:r>
    </w:p>
    <w:p w14:paraId="47844475">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（7</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本产品连续【</w:t>
      </w:r>
      <w:r>
        <w:rPr>
          <w:rFonts w:ascii="楷体_GB2312" w:eastAsia="楷体_GB2312" w:cs="楷体_GB2312"/>
          <w:color w:val="000000" w:themeColor="text1"/>
          <w:sz w:val="20"/>
          <w:szCs w:val="20"/>
          <w:highlight w:val="none"/>
          <w14:textFill>
            <w14:solidFill>
              <w14:schemeClr w14:val="tx1"/>
            </w14:solidFill>
          </w14:textFill>
        </w:rPr>
        <w:t>2】个以上开放日（含）发生巨额赎回</w:t>
      </w:r>
      <w:r>
        <w:rPr>
          <w:rFonts w:hint="eastAsia" w:ascii="楷体_GB2312" w:eastAsia="楷体_GB2312" w:cs="楷体_GB2312"/>
          <w:color w:val="000000" w:themeColor="text1"/>
          <w:sz w:val="20"/>
          <w:szCs w:val="20"/>
          <w:highlight w:val="none"/>
          <w14:textFill>
            <w14:solidFill>
              <w14:schemeClr w14:val="tx1"/>
            </w14:solidFill>
          </w14:textFill>
        </w:rPr>
        <w:t>；</w:t>
      </w:r>
    </w:p>
    <w:p w14:paraId="5C49D368">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8）</w:t>
      </w:r>
      <w:r>
        <w:rPr>
          <w:rFonts w:hint="eastAsia" w:ascii="楷体_GB2312" w:eastAsia="楷体_GB2312" w:cs="楷体_GB2312"/>
          <w:color w:val="000000" w:themeColor="text1"/>
          <w:sz w:val="20"/>
          <w:szCs w:val="20"/>
          <w:highlight w:val="none"/>
          <w14:textFill>
            <w14:solidFill>
              <w14:schemeClr w14:val="tx1"/>
            </w14:solidFill>
          </w14:textFill>
        </w:rPr>
        <w:t>法律法规规定或管理人基于审慎考虑认定的其他情形。</w:t>
      </w:r>
    </w:p>
    <w:p w14:paraId="6E7C6DF0">
      <w:pPr>
        <w:spacing w:line="300" w:lineRule="exact"/>
        <w:ind w:firstLine="400" w:firstLineChars="200"/>
        <w:jc w:val="both"/>
        <w:rPr>
          <w:rFonts w:hint="eastAsia" w:ascii="楷体_GB2312" w:eastAsia="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olor w:val="000000" w:themeColor="text1"/>
          <w:sz w:val="20"/>
          <w:szCs w:val="20"/>
          <w:highlight w:val="none"/>
          <w:lang w:val="en-US" w:eastAsia="zh-CN"/>
          <w14:textFill>
            <w14:solidFill>
              <w14:schemeClr w14:val="tx1"/>
            </w14:solidFill>
          </w14:textFill>
        </w:rPr>
        <w:t>如果投资者的认、申购申请被拒绝，被拒绝的认、申购款项将全额退还给投资者，扣款日至认/申购款项返还日期间是否计付利息以及利息计付规则以销售机构为准。</w:t>
      </w:r>
    </w:p>
    <w:p w14:paraId="31B0539E">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3</w:t>
      </w:r>
      <w:r>
        <w:rPr>
          <w:rFonts w:hint="eastAsia" w:ascii="楷体_GB2312" w:eastAsia="楷体_GB2312" w:cs="楷体_GB2312"/>
          <w:color w:val="000000" w:themeColor="text1"/>
          <w:sz w:val="20"/>
          <w:szCs w:val="20"/>
          <w:highlight w:val="none"/>
          <w14:textFill>
            <w14:solidFill>
              <w14:schemeClr w14:val="tx1"/>
            </w14:solidFill>
          </w14:textFill>
        </w:rPr>
        <w:t>．管理人可拒绝接受或暂停接受投资者的赎回申请，延缓支付赎回款项的情形包括：</w:t>
      </w:r>
    </w:p>
    <w:p w14:paraId="2C1CB5ED">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1</w:t>
      </w:r>
      <w:r>
        <w:rPr>
          <w:rFonts w:hint="eastAsia" w:ascii="楷体_GB2312" w:eastAsia="楷体_GB2312" w:cs="楷体_GB2312"/>
          <w:color w:val="000000" w:themeColor="text1"/>
          <w:sz w:val="20"/>
          <w:szCs w:val="20"/>
          <w:highlight w:val="none"/>
          <w14:textFill>
            <w14:solidFill>
              <w14:schemeClr w14:val="tx1"/>
            </w14:solidFill>
          </w14:textFill>
        </w:rPr>
        <w:t>）因不可抗力或国家经济金融政策发生变化等原因导致管理人不能支付赎回款项；</w:t>
      </w:r>
    </w:p>
    <w:p w14:paraId="1C693585">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2</w:t>
      </w:r>
      <w:r>
        <w:rPr>
          <w:rFonts w:hint="eastAsia" w:ascii="楷体_GB2312" w:eastAsia="楷体_GB2312" w:cs="楷体_GB2312"/>
          <w:color w:val="000000" w:themeColor="text1"/>
          <w:sz w:val="20"/>
          <w:szCs w:val="20"/>
          <w:highlight w:val="none"/>
          <w14:textFill>
            <w14:solidFill>
              <w14:schemeClr w14:val="tx1"/>
            </w14:solidFill>
          </w14:textFill>
        </w:rPr>
        <w:t>）证券交易场所或银行间债券市场依法决定停市等情形；</w:t>
      </w:r>
    </w:p>
    <w:p w14:paraId="0D5D5F1F">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3</w:t>
      </w:r>
      <w:r>
        <w:rPr>
          <w:rFonts w:hint="eastAsia" w:ascii="楷体_GB2312" w:eastAsia="楷体_GB2312" w:cs="楷体_GB2312"/>
          <w:color w:val="000000" w:themeColor="text1"/>
          <w:sz w:val="20"/>
          <w:szCs w:val="20"/>
          <w:highlight w:val="none"/>
          <w14:textFill>
            <w14:solidFill>
              <w14:schemeClr w14:val="tx1"/>
            </w14:solidFill>
          </w14:textFill>
        </w:rPr>
        <w:t>）本产品投资的公开或非公开交易市场的资产无法变现，或经管理人基于审慎的原则判断资产变现可能会对本产品投资收益造成重大不利影响的；</w:t>
      </w:r>
    </w:p>
    <w:p w14:paraId="27F4D0F2">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4</w:t>
      </w:r>
      <w:r>
        <w:rPr>
          <w:rFonts w:hint="eastAsia" w:ascii="楷体_GB2312" w:eastAsia="楷体_GB2312" w:cs="楷体_GB2312"/>
          <w:color w:val="000000" w:themeColor="text1"/>
          <w:sz w:val="20"/>
          <w:szCs w:val="20"/>
          <w:highlight w:val="none"/>
          <w14:textFill>
            <w14:solidFill>
              <w14:schemeClr w14:val="tx1"/>
            </w14:solidFill>
          </w14:textFill>
        </w:rPr>
        <w:t>）本产品发生巨额赎回情形的；</w:t>
      </w:r>
    </w:p>
    <w:p w14:paraId="5A698F37">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（5</w:t>
      </w:r>
      <w:r>
        <w:rPr>
          <w:rFonts w:ascii="楷体_GB2312" w:eastAsia="楷体_GB2312" w:cs="楷体_GB2312"/>
          <w:color w:val="000000" w:themeColor="text1"/>
          <w:sz w:val="20"/>
          <w:szCs w:val="20"/>
          <w:highlight w:val="none"/>
          <w14:textFill>
            <w14:solidFill>
              <w14:schemeClr w14:val="tx1"/>
            </w14:solidFill>
          </w14:textFill>
        </w:rPr>
        <w:t>）当管理人认为某笔</w:t>
      </w:r>
      <w:r>
        <w:rPr>
          <w:rFonts w:hint="eastAsia" w:ascii="楷体_GB2312" w:eastAsia="楷体_GB2312" w:cs="楷体_GB2312"/>
          <w:color w:val="000000" w:themeColor="text1"/>
          <w:sz w:val="20"/>
          <w:szCs w:val="20"/>
          <w:highlight w:val="none"/>
          <w14:textFill>
            <w14:solidFill>
              <w14:schemeClr w14:val="tx1"/>
            </w14:solidFill>
          </w14:textFill>
        </w:rPr>
        <w:t>赎回</w:t>
      </w:r>
      <w:r>
        <w:rPr>
          <w:rFonts w:ascii="楷体_GB2312" w:eastAsia="楷体_GB2312" w:cs="楷体_GB2312"/>
          <w:color w:val="000000" w:themeColor="text1"/>
          <w:sz w:val="20"/>
          <w:szCs w:val="20"/>
          <w:highlight w:val="none"/>
          <w14:textFill>
            <w14:solidFill>
              <w14:schemeClr w14:val="tx1"/>
            </w14:solidFill>
          </w14:textFill>
        </w:rPr>
        <w:t>申请会有损于本产品其他份额持有人利益时，或基于投资运作和风险控制需要；</w:t>
      </w:r>
    </w:p>
    <w:p w14:paraId="2226ADFC">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（6</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单个投资者在单个开放日申请赎回份额超过产品总份额【10】</w:t>
      </w:r>
      <w:r>
        <w:rPr>
          <w:rFonts w:ascii="楷体_GB2312" w:eastAsia="楷体_GB2312" w:cs="楷体_GB2312"/>
          <w:color w:val="000000" w:themeColor="text1"/>
          <w:sz w:val="20"/>
          <w:szCs w:val="20"/>
          <w:highlight w:val="none"/>
          <w14:textFill>
            <w14:solidFill>
              <w14:schemeClr w14:val="tx1"/>
            </w14:solidFill>
          </w14:textFill>
        </w:rPr>
        <w:t>%的，</w:t>
      </w:r>
      <w:r>
        <w:rPr>
          <w:rFonts w:hint="eastAsia" w:ascii="楷体_GB2312" w:eastAsia="楷体_GB2312" w:cs="楷体_GB2312"/>
          <w:color w:val="000000" w:themeColor="text1"/>
          <w:sz w:val="20"/>
          <w:szCs w:val="20"/>
          <w:highlight w:val="none"/>
          <w14:textFill>
            <w14:solidFill>
              <w14:schemeClr w14:val="tx1"/>
            </w14:solidFill>
          </w14:textFill>
        </w:rPr>
        <w:t>管理人</w:t>
      </w:r>
      <w:r>
        <w:rPr>
          <w:rFonts w:ascii="楷体_GB2312" w:eastAsia="楷体_GB2312" w:cs="楷体_GB2312"/>
          <w:color w:val="000000" w:themeColor="text1"/>
          <w:sz w:val="20"/>
          <w:szCs w:val="20"/>
          <w:highlight w:val="none"/>
          <w14:textFill>
            <w14:solidFill>
              <w14:schemeClr w14:val="tx1"/>
            </w14:solidFill>
          </w14:textFill>
        </w:rPr>
        <w:t>可以暂停接受其赎回申请；已经接受的赎回申请可以延缓支付赎回款项，但延缓期限不得超过20个工作日。</w:t>
      </w:r>
    </w:p>
    <w:p w14:paraId="7CA9AF31">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（7</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发生本</w:t>
      </w:r>
      <w:r>
        <w:rPr>
          <w:rFonts w:ascii="楷体_GB2312" w:eastAsia="楷体_GB2312" w:cs="楷体_GB2312"/>
          <w:color w:val="000000" w:themeColor="text1"/>
          <w:sz w:val="20"/>
          <w:szCs w:val="20"/>
          <w:highlight w:val="none"/>
          <w14:textFill>
            <w14:solidFill>
              <w14:schemeClr w14:val="tx1"/>
            </w14:solidFill>
          </w14:textFill>
        </w:rPr>
        <w:t>说明书约定的产品暂停估值的情形；</w:t>
      </w:r>
    </w:p>
    <w:p w14:paraId="5361DCF6">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（8</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本产品连续【</w:t>
      </w:r>
      <w:r>
        <w:rPr>
          <w:rFonts w:ascii="楷体_GB2312" w:eastAsia="楷体_GB2312" w:cs="楷体_GB2312"/>
          <w:color w:val="000000" w:themeColor="text1"/>
          <w:sz w:val="20"/>
          <w:szCs w:val="20"/>
          <w:highlight w:val="none"/>
          <w14:textFill>
            <w14:solidFill>
              <w14:schemeClr w14:val="tx1"/>
            </w14:solidFill>
          </w14:textFill>
        </w:rPr>
        <w:t>2】个以上开放日（含）发生巨额赎回，管理人有权暂停接受投资者的赎回申请、延期办理巨额赎回申请等。投资者根据管理人披露的开放日可重新进行申购和赎回。对于已经接受的赎回申请，管理人还可以延缓支付赎回款项，但延缓期限不得超过20个工作日。</w:t>
      </w:r>
    </w:p>
    <w:p w14:paraId="69BAC7B7">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9</w:t>
      </w:r>
      <w:r>
        <w:rPr>
          <w:rFonts w:hint="eastAsia" w:ascii="楷体_GB2312" w:eastAsia="楷体_GB2312" w:cs="楷体_GB2312"/>
          <w:color w:val="000000" w:themeColor="text1"/>
          <w:sz w:val="20"/>
          <w:szCs w:val="20"/>
          <w:highlight w:val="none"/>
          <w14:textFill>
            <w14:solidFill>
              <w14:schemeClr w14:val="tx1"/>
            </w14:solidFill>
          </w14:textFill>
        </w:rPr>
        <w:t>）法律法规规定或管理人基于审慎考虑认定的其他情形。</w:t>
      </w:r>
    </w:p>
    <w:p w14:paraId="02F78685">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4．</w:t>
      </w:r>
      <w:r>
        <w:rPr>
          <w:rFonts w:hint="eastAsia" w:ascii="楷体_GB2312" w:eastAsia="楷体_GB2312" w:cs="楷体_GB2312"/>
          <w:color w:val="000000" w:themeColor="text1"/>
          <w:sz w:val="20"/>
          <w:szCs w:val="20"/>
          <w:highlight w:val="none"/>
          <w14:textFill>
            <w14:solidFill>
              <w14:schemeClr w14:val="tx1"/>
            </w14:solidFill>
          </w14:textFill>
        </w:rPr>
        <w:t>管理人可以向连续持有少于</w:t>
      </w:r>
      <w:r>
        <w:rPr>
          <w:rFonts w:ascii="楷体_GB2312" w:eastAsia="楷体_GB2312" w:cs="楷体_GB2312"/>
          <w:color w:val="000000" w:themeColor="text1"/>
          <w:sz w:val="20"/>
          <w:szCs w:val="20"/>
          <w:highlight w:val="none"/>
          <w14:textFill>
            <w14:solidFill>
              <w14:schemeClr w14:val="tx1"/>
            </w14:solidFill>
          </w14:textFill>
        </w:rPr>
        <w:t>7日的投资者收取赎回费，并将上述赎回费全额计入理财产品财产。</w:t>
      </w:r>
    </w:p>
    <w:p w14:paraId="748DC067">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5.</w:t>
      </w:r>
      <w:r>
        <w:rPr>
          <w:rFonts w:ascii="楷体_GB2312" w:eastAsia="楷体_GB2312" w:cs="楷体_GB2312"/>
          <w:b/>
          <w:color w:val="000000" w:themeColor="text1"/>
          <w:sz w:val="20"/>
          <w:szCs w:val="20"/>
          <w:highlight w:val="none"/>
          <w14:textFill>
            <w14:solidFill>
              <w14:schemeClr w14:val="tx1"/>
            </w14:solidFill>
          </w14:textFill>
        </w:rPr>
        <w:t>当产品发生大额认购或赎回时，管理人可以采用摆动定价机制。摆动定价机制的相关原理与操作方法【</w:t>
      </w:r>
      <w:r>
        <w:rPr>
          <w:rFonts w:ascii="楷体_GB2312" w:eastAsia="楷体_GB2312" w:cs="楷体_GB2312"/>
          <w:b/>
          <w:sz w:val="20"/>
          <w:szCs w:val="20"/>
          <w:highlight w:val="none"/>
        </w:rPr>
        <w:t>通过调整理财产品份额净值的方式，将理财产品调整投资组合的市场冲击成本分配给实际认购、赎回的投资者，从而减少对存量理财产品份额持有人利益的不利影响</w:t>
      </w:r>
      <w:r>
        <w:rPr>
          <w:rFonts w:ascii="楷体_GB2312" w:eastAsia="楷体_GB2312" w:cs="楷体_GB2312"/>
          <w:b/>
          <w:color w:val="000000" w:themeColor="text1"/>
          <w:sz w:val="20"/>
          <w:szCs w:val="20"/>
          <w:highlight w:val="none"/>
          <w14:textFill>
            <w14:solidFill>
              <w14:schemeClr w14:val="tx1"/>
            </w14:solidFill>
          </w14:textFill>
        </w:rPr>
        <w:t>】。</w:t>
      </w:r>
    </w:p>
    <w:p w14:paraId="43B03DF3">
      <w:pPr>
        <w:spacing w:line="300" w:lineRule="exact"/>
        <w:ind w:right="96" w:rightChars="40"/>
        <w:rPr>
          <w:rFonts w:ascii="楷体_GB2312" w:eastAsia="楷体_GB2312"/>
          <w:color w:val="000000" w:themeColor="text1"/>
          <w:sz w:val="20"/>
          <w:szCs w:val="20"/>
          <w:highlight w:val="none"/>
          <w14:textFill>
            <w14:solidFill>
              <w14:schemeClr w14:val="tx1"/>
            </w14:solidFill>
          </w14:textFill>
        </w:rPr>
      </w:pPr>
    </w:p>
    <w:p w14:paraId="4678FD4E">
      <w:pPr>
        <w:spacing w:line="300" w:lineRule="exact"/>
        <w:ind w:left="-2" w:leftChars="-1" w:right="36" w:rightChars="15"/>
        <w:jc w:val="both"/>
        <w:rPr>
          <w:rFonts w:ascii="黑体" w:hAnsi="Times New Roman" w:eastAsia="黑体" w:cs="黑体"/>
          <w:color w:val="000000" w:themeColor="text1"/>
          <w:sz w:val="20"/>
          <w:szCs w:val="20"/>
          <w:highlight w:val="none"/>
          <w14:textFill>
            <w14:solidFill>
              <w14:schemeClr w14:val="tx1"/>
            </w14:solidFill>
          </w14:textFill>
        </w:rPr>
      </w:pPr>
      <w:r>
        <w:rPr>
          <w:rFonts w:hint="eastAsia" w:ascii="黑体" w:hAnsi="Times New Roman" w:eastAsia="黑体" w:cs="黑体"/>
          <w:color w:val="000000" w:themeColor="text1"/>
          <w:sz w:val="20"/>
          <w:szCs w:val="20"/>
          <w:highlight w:val="none"/>
          <w14:textFill>
            <w14:solidFill>
              <w14:schemeClr w14:val="tx1"/>
            </w14:solidFill>
          </w14:textFill>
        </w:rPr>
        <w:t>八、理财资金分配</w:t>
      </w:r>
    </w:p>
    <w:p w14:paraId="61716A1C">
      <w:pPr>
        <w:pStyle w:val="19"/>
        <w:spacing w:line="300" w:lineRule="exact"/>
        <w:ind w:left="388" w:right="96" w:rightChars="40" w:firstLine="0" w:firstLineChars="0"/>
        <w:rPr>
          <w:rFonts w:ascii="黑体" w:eastAsia="黑体" w:cs="黑体"/>
          <w:color w:val="000000" w:themeColor="text1"/>
          <w:sz w:val="20"/>
          <w:szCs w:val="20"/>
          <w:highlight w:val="none"/>
          <w14:textFill>
            <w14:solidFill>
              <w14:schemeClr w14:val="tx1"/>
            </w14:solidFill>
          </w14:textFill>
        </w:rPr>
      </w:pPr>
      <w:r>
        <w:rPr>
          <w:rFonts w:ascii="黑体" w:eastAsia="黑体" w:cs="黑体"/>
          <w:color w:val="000000" w:themeColor="text1"/>
          <w:sz w:val="20"/>
          <w:szCs w:val="20"/>
          <w:highlight w:val="none"/>
          <w14:textFill>
            <w14:solidFill>
              <w14:schemeClr w14:val="tx1"/>
            </w14:solidFill>
          </w14:textFill>
        </w:rPr>
        <w:t>（一）</w:t>
      </w:r>
      <w:r>
        <w:rPr>
          <w:rFonts w:hint="eastAsia" w:ascii="黑体" w:eastAsia="黑体" w:cs="黑体"/>
          <w:color w:val="000000" w:themeColor="text1"/>
          <w:sz w:val="20"/>
          <w:szCs w:val="20"/>
          <w:highlight w:val="none"/>
          <w14:textFill>
            <w14:solidFill>
              <w14:schemeClr w14:val="tx1"/>
            </w14:solidFill>
          </w14:textFill>
        </w:rPr>
        <w:t>期间</w:t>
      </w:r>
      <w:r>
        <w:rPr>
          <w:rFonts w:ascii="黑体" w:eastAsia="黑体" w:cs="黑体"/>
          <w:color w:val="000000" w:themeColor="text1"/>
          <w:sz w:val="20"/>
          <w:szCs w:val="20"/>
          <w:highlight w:val="none"/>
          <w14:textFill>
            <w14:solidFill>
              <w14:schemeClr w14:val="tx1"/>
            </w14:solidFill>
          </w14:textFill>
        </w:rPr>
        <w:t>分配</w:t>
      </w:r>
    </w:p>
    <w:p w14:paraId="74800C95">
      <w:pPr>
        <w:pStyle w:val="19"/>
        <w:spacing w:line="300" w:lineRule="exact"/>
        <w:ind w:left="388" w:right="96" w:rightChars="40" w:firstLine="0" w:firstLineChars="0"/>
        <w:rPr>
          <w:rFonts w:ascii="楷体_GB2312" w:eastAsia="楷体_GB2312" w:cs="楷体_GB2312"/>
          <w:b/>
          <w:bCs/>
          <w:color w:val="000000" w:themeColor="text1"/>
          <w:sz w:val="20"/>
          <w:szCs w:val="20"/>
          <w:highlight w:val="none"/>
          <w14:textFill>
            <w14:solidFill>
              <w14:schemeClr w14:val="tx1"/>
            </w14:solidFill>
          </w14:textFill>
        </w:rPr>
      </w:pPr>
      <w:r>
        <w:rPr>
          <w:rFonts w:hint="eastAsia" w:ascii="楷体_GB2312" w:eastAsia="楷体_GB2312" w:cs="楷体_GB2312"/>
          <w:b/>
          <w:bCs/>
          <w:color w:val="000000" w:themeColor="text1"/>
          <w:sz w:val="20"/>
          <w:szCs w:val="20"/>
          <w:highlight w:val="none"/>
          <w14:textFill>
            <w14:solidFill>
              <w14:schemeClr w14:val="tx1"/>
            </w14:solidFill>
          </w14:textFill>
        </w:rPr>
        <w:t>无。</w:t>
      </w:r>
    </w:p>
    <w:p w14:paraId="1FCBC7F5">
      <w:pPr>
        <w:pStyle w:val="19"/>
        <w:spacing w:line="300" w:lineRule="exact"/>
        <w:ind w:left="388" w:right="96" w:rightChars="40" w:firstLine="0" w:firstLineChars="0"/>
        <w:rPr>
          <w:rFonts w:ascii="黑体" w:eastAsia="黑体" w:cs="黑体"/>
          <w:color w:val="000000" w:themeColor="text1"/>
          <w:sz w:val="20"/>
          <w:szCs w:val="20"/>
          <w:highlight w:val="none"/>
          <w14:textFill>
            <w14:solidFill>
              <w14:schemeClr w14:val="tx1"/>
            </w14:solidFill>
          </w14:textFill>
        </w:rPr>
      </w:pPr>
      <w:r>
        <w:rPr>
          <w:rFonts w:hint="eastAsia" w:ascii="黑体" w:eastAsia="黑体" w:cs="黑体"/>
          <w:color w:val="000000" w:themeColor="text1"/>
          <w:sz w:val="20"/>
          <w:szCs w:val="20"/>
          <w:highlight w:val="none"/>
          <w14:textFill>
            <w14:solidFill>
              <w14:schemeClr w14:val="tx1"/>
            </w14:solidFill>
          </w14:textFill>
        </w:rPr>
        <w:t>（二）终止</w:t>
      </w:r>
      <w:r>
        <w:rPr>
          <w:rFonts w:ascii="黑体" w:eastAsia="黑体" w:cs="黑体"/>
          <w:color w:val="000000" w:themeColor="text1"/>
          <w:sz w:val="20"/>
          <w:szCs w:val="20"/>
          <w:highlight w:val="none"/>
          <w14:textFill>
            <w14:solidFill>
              <w14:schemeClr w14:val="tx1"/>
            </w14:solidFill>
          </w14:textFill>
        </w:rPr>
        <w:t>分配</w:t>
      </w:r>
    </w:p>
    <w:p w14:paraId="6282E256">
      <w:pPr>
        <w:pStyle w:val="19"/>
        <w:numPr>
          <w:ilvl w:val="0"/>
          <w:numId w:val="7"/>
        </w:numPr>
        <w:spacing w:line="300" w:lineRule="exact"/>
        <w:ind w:left="0" w:firstLine="4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本产品在扣除信银理财</w:t>
      </w:r>
      <w:r>
        <w:rPr>
          <w:rFonts w:ascii="楷体_GB2312" w:eastAsia="楷体_GB2312"/>
          <w:color w:val="000000" w:themeColor="text1"/>
          <w:sz w:val="20"/>
          <w:szCs w:val="20"/>
          <w:highlight w:val="none"/>
          <w14:textFill>
            <w14:solidFill>
              <w14:schemeClr w14:val="tx1"/>
            </w14:solidFill>
          </w14:textFill>
        </w:rPr>
        <w:t>应收取费用</w:t>
      </w:r>
      <w:r>
        <w:rPr>
          <w:rFonts w:hint="eastAsia" w:ascii="楷体_GB2312" w:eastAsia="楷体_GB2312"/>
          <w:color w:val="000000" w:themeColor="text1"/>
          <w:sz w:val="20"/>
          <w:szCs w:val="20"/>
          <w:highlight w:val="none"/>
          <w14:textFill>
            <w14:solidFill>
              <w14:schemeClr w14:val="tx1"/>
            </w14:solidFill>
          </w14:textFill>
        </w:rPr>
        <w:t>及其他应由产品承担的税费后的投资损益全部归属投资者。</w:t>
      </w:r>
    </w:p>
    <w:p w14:paraId="6063AB8C">
      <w:pPr>
        <w:pStyle w:val="19"/>
        <w:numPr>
          <w:ilvl w:val="0"/>
          <w:numId w:val="7"/>
        </w:numPr>
        <w:spacing w:line="300" w:lineRule="exact"/>
        <w:ind w:left="0" w:firstLine="400"/>
        <w:jc w:val="both"/>
        <w:rPr>
          <w:rFonts w:ascii="楷体_GB2312" w:eastAsia="楷体_GB2312"/>
          <w:color w:val="000000" w:themeColor="text1"/>
          <w:sz w:val="20"/>
          <w:szCs w:val="20"/>
          <w:highlight w:val="none"/>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如产品正常到期</w:t>
      </w:r>
      <w:r>
        <w:rPr>
          <w:rFonts w:hint="eastAsia" w:ascii="楷体_GB2312" w:eastAsia="楷体_GB2312"/>
          <w:color w:val="000000" w:themeColor="text1"/>
          <w:sz w:val="20"/>
          <w:szCs w:val="20"/>
          <w:highlight w:val="none"/>
          <w14:textFill>
            <w14:solidFill>
              <w14:schemeClr w14:val="tx1"/>
            </w14:solidFill>
          </w14:textFill>
        </w:rPr>
        <w:t>或</w:t>
      </w:r>
      <w:r>
        <w:rPr>
          <w:rFonts w:ascii="楷体_GB2312" w:eastAsia="楷体_GB2312"/>
          <w:color w:val="000000" w:themeColor="text1"/>
          <w:sz w:val="20"/>
          <w:szCs w:val="20"/>
          <w:highlight w:val="none"/>
          <w14:textFill>
            <w14:solidFill>
              <w14:schemeClr w14:val="tx1"/>
            </w14:solidFill>
          </w14:textFill>
        </w:rPr>
        <w:t>提前终止，理财资金于</w:t>
      </w:r>
      <w:r>
        <w:rPr>
          <w:rFonts w:hint="eastAsia" w:ascii="楷体_GB2312" w:eastAsia="楷体_GB2312"/>
          <w:color w:val="000000" w:themeColor="text1"/>
          <w:sz w:val="20"/>
          <w:szCs w:val="20"/>
          <w:highlight w:val="none"/>
          <w14:textFill>
            <w14:solidFill>
              <w14:schemeClr w14:val="tx1"/>
            </w14:solidFill>
          </w14:textFill>
        </w:rPr>
        <w:t>到期日</w:t>
      </w:r>
      <w:r>
        <w:rPr>
          <w:rFonts w:ascii="楷体_GB2312" w:eastAsia="楷体_GB2312"/>
          <w:color w:val="000000" w:themeColor="text1"/>
          <w:sz w:val="20"/>
          <w:szCs w:val="20"/>
          <w:highlight w:val="none"/>
          <w14:textFill>
            <w14:solidFill>
              <w14:schemeClr w14:val="tx1"/>
            </w14:solidFill>
          </w14:textFill>
        </w:rPr>
        <w:t>（</w:t>
      </w:r>
      <w:r>
        <w:rPr>
          <w:rFonts w:hint="eastAsia" w:ascii="楷体_GB2312" w:eastAsia="楷体_GB2312"/>
          <w:color w:val="000000" w:themeColor="text1"/>
          <w:sz w:val="20"/>
          <w:szCs w:val="20"/>
          <w:highlight w:val="none"/>
          <w14:textFill>
            <w14:solidFill>
              <w14:schemeClr w14:val="tx1"/>
            </w14:solidFill>
          </w14:textFill>
        </w:rPr>
        <w:t>实际</w:t>
      </w:r>
      <w:r>
        <w:rPr>
          <w:rFonts w:ascii="楷体_GB2312" w:eastAsia="楷体_GB2312"/>
          <w:color w:val="000000" w:themeColor="text1"/>
          <w:sz w:val="20"/>
          <w:szCs w:val="20"/>
          <w:highlight w:val="none"/>
          <w14:textFill>
            <w14:solidFill>
              <w14:schemeClr w14:val="tx1"/>
            </w14:solidFill>
          </w14:textFill>
        </w:rPr>
        <w:t>到期日</w:t>
      </w:r>
      <w:r>
        <w:rPr>
          <w:rFonts w:hint="eastAsia" w:ascii="楷体_GB2312" w:eastAsia="楷体_GB2312"/>
          <w:color w:val="000000" w:themeColor="text1"/>
          <w:sz w:val="20"/>
          <w:szCs w:val="20"/>
          <w:highlight w:val="none"/>
          <w14:textFill>
            <w14:solidFill>
              <w14:schemeClr w14:val="tx1"/>
            </w14:solidFill>
          </w14:textFill>
        </w:rPr>
        <w:t>或</w:t>
      </w:r>
      <w:r>
        <w:rPr>
          <w:rFonts w:ascii="楷体_GB2312" w:eastAsia="楷体_GB2312"/>
          <w:color w:val="000000" w:themeColor="text1"/>
          <w:sz w:val="20"/>
          <w:szCs w:val="20"/>
          <w:highlight w:val="none"/>
          <w14:textFill>
            <w14:solidFill>
              <w14:schemeClr w14:val="tx1"/>
            </w14:solidFill>
          </w14:textFill>
        </w:rPr>
        <w:t>提前终止日</w:t>
      </w:r>
      <w:r>
        <w:rPr>
          <w:rFonts w:hint="eastAsia" w:ascii="楷体_GB2312" w:eastAsia="楷体_GB2312"/>
          <w:color w:val="000000" w:themeColor="text1"/>
          <w:sz w:val="20"/>
          <w:szCs w:val="20"/>
          <w:highlight w:val="none"/>
          <w14:textFill>
            <w14:solidFill>
              <w14:schemeClr w14:val="tx1"/>
            </w14:solidFill>
          </w14:textFill>
        </w:rPr>
        <w:t>）</w:t>
      </w:r>
      <w:r>
        <w:rPr>
          <w:rFonts w:ascii="楷体_GB2312" w:eastAsia="楷体_GB2312"/>
          <w:color w:val="000000" w:themeColor="text1"/>
          <w:sz w:val="20"/>
          <w:szCs w:val="20"/>
          <w:highlight w:val="none"/>
          <w14:textFill>
            <w14:solidFill>
              <w14:schemeClr w14:val="tx1"/>
            </w14:solidFill>
          </w14:textFill>
        </w:rPr>
        <w:t>后【5】个工作日内根据实际情况一次性分配，如遇</w:t>
      </w:r>
      <w:r>
        <w:rPr>
          <w:rFonts w:hint="eastAsia" w:ascii="楷体_GB2312" w:eastAsia="楷体_GB2312"/>
          <w:color w:val="000000" w:themeColor="text1"/>
          <w:sz w:val="20"/>
          <w:szCs w:val="20"/>
          <w:highlight w:val="none"/>
          <w14:textFill>
            <w14:solidFill>
              <w14:schemeClr w14:val="tx1"/>
            </w14:solidFill>
          </w14:textFill>
        </w:rPr>
        <w:t>非工作日</w:t>
      </w:r>
      <w:r>
        <w:rPr>
          <w:rFonts w:ascii="楷体_GB2312" w:eastAsia="楷体_GB2312"/>
          <w:color w:val="000000" w:themeColor="text1"/>
          <w:sz w:val="20"/>
          <w:szCs w:val="20"/>
          <w:highlight w:val="none"/>
          <w14:textFill>
            <w14:solidFill>
              <w14:schemeClr w14:val="tx1"/>
            </w14:solidFill>
          </w14:textFill>
        </w:rPr>
        <w:t>则顺延至下一工作日。</w:t>
      </w:r>
    </w:p>
    <w:p w14:paraId="111BDBC9">
      <w:pPr>
        <w:pStyle w:val="19"/>
        <w:numPr>
          <w:ilvl w:val="0"/>
          <w:numId w:val="7"/>
        </w:numPr>
        <w:spacing w:line="300" w:lineRule="exact"/>
        <w:ind w:left="0" w:firstLine="4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投资者到期日应得资金计算公式如下：</w:t>
      </w:r>
    </w:p>
    <w:p w14:paraId="4ED220F6">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投资者应得资金</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到期日产品可分配的总金额</w:t>
      </w:r>
      <w:r>
        <w:rPr>
          <w:rFonts w:ascii="楷体_GB2312" w:eastAsia="楷体_GB2312" w:cs="楷体_GB2312"/>
          <w:color w:val="000000" w:themeColor="text1"/>
          <w:sz w:val="20"/>
          <w:szCs w:val="20"/>
          <w:highlight w:val="none"/>
          <w14:textFill>
            <w14:solidFill>
              <w14:schemeClr w14:val="tx1"/>
            </w14:solidFill>
          </w14:textFill>
        </w:rPr>
        <w:t>/产品的总份额*投资者的持有份额</w:t>
      </w:r>
      <w:r>
        <w:rPr>
          <w:rFonts w:hint="eastAsia" w:ascii="楷体_GB2312" w:eastAsia="楷体_GB2312" w:cs="楷体_GB2312"/>
          <w:color w:val="000000" w:themeColor="text1"/>
          <w:sz w:val="20"/>
          <w:szCs w:val="20"/>
          <w:highlight w:val="none"/>
          <w14:textFill>
            <w14:solidFill>
              <w14:schemeClr w14:val="tx1"/>
            </w14:solidFill>
          </w14:textFill>
        </w:rPr>
        <w:t>-应付浮动</w:t>
      </w:r>
      <w:r>
        <w:rPr>
          <w:rFonts w:ascii="楷体_GB2312" w:eastAsia="楷体_GB2312" w:cs="楷体_GB2312"/>
          <w:color w:val="000000" w:themeColor="text1"/>
          <w:sz w:val="20"/>
          <w:szCs w:val="20"/>
          <w:highlight w:val="none"/>
          <w14:textFill>
            <w14:solidFill>
              <w14:schemeClr w14:val="tx1"/>
            </w14:solidFill>
          </w14:textFill>
        </w:rPr>
        <w:t>管理费（</w:t>
      </w:r>
      <w:r>
        <w:rPr>
          <w:rFonts w:hint="eastAsia" w:ascii="楷体_GB2312" w:eastAsia="楷体_GB2312" w:cs="楷体_GB2312"/>
          <w:color w:val="000000" w:themeColor="text1"/>
          <w:sz w:val="20"/>
          <w:szCs w:val="20"/>
          <w:highlight w:val="none"/>
          <w14:textFill>
            <w14:solidFill>
              <w14:schemeClr w14:val="tx1"/>
            </w14:solidFill>
          </w14:textFill>
        </w:rPr>
        <w:t>如有</w:t>
      </w:r>
      <w:r>
        <w:rPr>
          <w:rFonts w:ascii="楷体_GB2312" w:eastAsia="楷体_GB2312" w:cs="楷体_GB2312"/>
          <w:color w:val="000000" w:themeColor="text1"/>
          <w:sz w:val="20"/>
          <w:szCs w:val="20"/>
          <w:highlight w:val="none"/>
          <w14:textFill>
            <w14:solidFill>
              <w14:schemeClr w14:val="tx1"/>
            </w14:solidFill>
          </w14:textFill>
        </w:rPr>
        <w:t>）</w:t>
      </w:r>
    </w:p>
    <w:p w14:paraId="289DACBB">
      <w:pPr>
        <w:pStyle w:val="19"/>
        <w:numPr>
          <w:ilvl w:val="0"/>
          <w:numId w:val="7"/>
        </w:numPr>
        <w:spacing w:line="300" w:lineRule="exact"/>
        <w:ind w:left="0" w:firstLine="4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若募集期发生变化（募集期提前结束或募集期延长）、运作起始日发生变化或者清算期遇非工作日或</w:t>
      </w:r>
      <w:r>
        <w:rPr>
          <w:rFonts w:ascii="楷体_GB2312" w:eastAsia="楷体_GB2312" w:cs="楷体_GB2312"/>
          <w:color w:val="000000" w:themeColor="text1"/>
          <w:sz w:val="20"/>
          <w:szCs w:val="20"/>
          <w:highlight w:val="none"/>
          <w14:textFill>
            <w14:solidFill>
              <w14:schemeClr w14:val="tx1"/>
            </w14:solidFill>
          </w14:textFill>
        </w:rPr>
        <w:t>其他原因延长</w:t>
      </w:r>
      <w:r>
        <w:rPr>
          <w:rFonts w:hint="eastAsia" w:ascii="楷体_GB2312" w:eastAsia="楷体_GB2312" w:cs="楷体_GB2312"/>
          <w:color w:val="000000" w:themeColor="text1"/>
          <w:sz w:val="20"/>
          <w:szCs w:val="20"/>
          <w:highlight w:val="none"/>
          <w14:textFill>
            <w14:solidFill>
              <w14:schemeClr w14:val="tx1"/>
            </w14:solidFill>
          </w14:textFill>
        </w:rPr>
        <w:t>，产品到期日视情况将可能相应进行调整，若进行调整，信银理财将以本产品说明书约定的</w:t>
      </w:r>
      <w:r>
        <w:rPr>
          <w:rFonts w:ascii="楷体_GB2312" w:eastAsia="楷体_GB2312" w:cs="楷体_GB2312"/>
          <w:color w:val="000000" w:themeColor="text1"/>
          <w:sz w:val="20"/>
          <w:szCs w:val="20"/>
          <w:highlight w:val="none"/>
          <w14:textFill>
            <w14:solidFill>
              <w14:schemeClr w14:val="tx1"/>
            </w14:solidFill>
          </w14:textFill>
        </w:rPr>
        <w:t>方式通知投资者</w:t>
      </w:r>
      <w:r>
        <w:rPr>
          <w:rFonts w:hint="eastAsia" w:ascii="楷体_GB2312" w:eastAsia="楷体_GB2312" w:cs="楷体_GB2312"/>
          <w:color w:val="000000" w:themeColor="text1"/>
          <w:sz w:val="20"/>
          <w:szCs w:val="20"/>
          <w:highlight w:val="none"/>
          <w14:textFill>
            <w14:solidFill>
              <w14:schemeClr w14:val="tx1"/>
            </w14:solidFill>
          </w14:textFill>
        </w:rPr>
        <w:t>。</w:t>
      </w:r>
    </w:p>
    <w:p w14:paraId="2557F33F">
      <w:pPr>
        <w:pStyle w:val="19"/>
        <w:numPr>
          <w:ilvl w:val="0"/>
          <w:numId w:val="7"/>
        </w:numPr>
        <w:spacing w:line="300" w:lineRule="exact"/>
        <w:ind w:left="0" w:firstLine="4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投资者通过</w:t>
      </w:r>
      <w:r>
        <w:rPr>
          <w:rFonts w:ascii="楷体_GB2312" w:eastAsia="楷体_GB2312"/>
          <w:color w:val="000000" w:themeColor="text1"/>
          <w:sz w:val="20"/>
          <w:szCs w:val="20"/>
          <w:highlight w:val="none"/>
          <w14:textFill>
            <w14:solidFill>
              <w14:schemeClr w14:val="tx1"/>
            </w14:solidFill>
          </w14:textFill>
        </w:rPr>
        <w:t>代销机构渠道购买理财产品的，理财资金划转至投资者</w:t>
      </w:r>
      <w:r>
        <w:rPr>
          <w:rFonts w:hint="eastAsia" w:ascii="楷体_GB2312" w:eastAsia="楷体_GB2312"/>
          <w:color w:val="000000" w:themeColor="text1"/>
          <w:sz w:val="20"/>
          <w:szCs w:val="20"/>
          <w:highlight w:val="none"/>
          <w14:textFill>
            <w14:solidFill>
              <w14:schemeClr w14:val="tx1"/>
            </w14:solidFill>
          </w14:textFill>
        </w:rPr>
        <w:t>账户的</w:t>
      </w:r>
      <w:r>
        <w:rPr>
          <w:rFonts w:ascii="楷体_GB2312" w:eastAsia="楷体_GB2312"/>
          <w:color w:val="000000" w:themeColor="text1"/>
          <w:sz w:val="20"/>
          <w:szCs w:val="20"/>
          <w:highlight w:val="none"/>
          <w14:textFill>
            <w14:solidFill>
              <w14:schemeClr w14:val="tx1"/>
            </w14:solidFill>
          </w14:textFill>
        </w:rPr>
        <w:t>时间以代销机构的清算时间为准。</w:t>
      </w:r>
    </w:p>
    <w:p w14:paraId="17D8A14A">
      <w:pPr>
        <w:spacing w:line="300" w:lineRule="exact"/>
        <w:ind w:left="-2" w:leftChars="-1" w:right="36" w:rightChars="15"/>
        <w:rPr>
          <w:color w:val="000000" w:themeColor="text1"/>
          <w:highlight w:val="none"/>
          <w14:textFill>
            <w14:solidFill>
              <w14:schemeClr w14:val="tx1"/>
            </w14:solidFill>
          </w14:textFill>
        </w:rPr>
      </w:pPr>
    </w:p>
    <w:p w14:paraId="40C7F47F">
      <w:pPr>
        <w:snapToGrid w:val="0"/>
        <w:spacing w:line="300" w:lineRule="exact"/>
        <w:ind w:left="-2" w:leftChars="-1" w:right="53" w:rightChars="22"/>
        <w:outlineLvl w:val="0"/>
        <w:rPr>
          <w:rFonts w:ascii="黑体" w:eastAsia="黑体" w:cs="黑体"/>
          <w:b/>
          <w:color w:val="000000" w:themeColor="text1"/>
          <w:sz w:val="20"/>
          <w:szCs w:val="20"/>
          <w:highlight w:val="none"/>
          <w14:textFill>
            <w14:solidFill>
              <w14:schemeClr w14:val="tx1"/>
            </w14:solidFill>
          </w14:textFill>
        </w:rPr>
      </w:pPr>
      <w:r>
        <w:rPr>
          <w:rFonts w:hint="eastAsia" w:ascii="黑体" w:eastAsia="黑体" w:cs="黑体"/>
          <w:b/>
          <w:color w:val="000000" w:themeColor="text1"/>
          <w:sz w:val="20"/>
          <w:szCs w:val="20"/>
          <w:highlight w:val="none"/>
          <w14:textFill>
            <w14:solidFill>
              <w14:schemeClr w14:val="tx1"/>
            </w14:solidFill>
          </w14:textFill>
        </w:rPr>
        <w:t>九、理财产品的费用</w:t>
      </w:r>
    </w:p>
    <w:p w14:paraId="41A7B542">
      <w:pPr>
        <w:snapToGrid w:val="0"/>
        <w:spacing w:line="300" w:lineRule="exact"/>
        <w:ind w:firstLine="402" w:firstLineChars="200"/>
        <w:jc w:val="both"/>
        <w:outlineLvl w:val="0"/>
        <w:rPr>
          <w:rFonts w:ascii="楷体_GB2312" w:eastAsia="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1．本产品的费用包括认购费、申购费、赎回费、销售服务费、托管费、固定管理费、浮动管理费，产品运作和清算中产生的其他资金汇划费、结算费、交易手续费、注册登记费、信息披露费、账户服务费、审计费、律师费</w:t>
      </w:r>
      <w:r>
        <w:rPr>
          <w:rFonts w:hint="eastAsia" w:ascii="楷体_GB2312" w:eastAsia="楷体_GB2312" w:cs="楷体_GB2312"/>
          <w:b/>
          <w:color w:val="000000" w:themeColor="text1"/>
          <w:sz w:val="20"/>
          <w:szCs w:val="20"/>
          <w:highlight w:val="none"/>
          <w14:textFill>
            <w14:solidFill>
              <w14:schemeClr w14:val="tx1"/>
            </w14:solidFill>
          </w14:textFill>
        </w:rPr>
        <w:t>、因投资资产而产生的资产推荐服务费等相关费用</w:t>
      </w:r>
      <w:r>
        <w:rPr>
          <w:rFonts w:ascii="楷体_GB2312" w:eastAsia="楷体_GB2312" w:cs="楷体_GB2312"/>
          <w:b/>
          <w:color w:val="000000" w:themeColor="text1"/>
          <w:sz w:val="20"/>
          <w:szCs w:val="20"/>
          <w:highlight w:val="none"/>
          <w14:textFill>
            <w14:solidFill>
              <w14:schemeClr w14:val="tx1"/>
            </w14:solidFill>
          </w14:textFill>
        </w:rPr>
        <w:t>，以及按照法律法规规章规定和理财产品销售文件约定可以列入的其他费用。管理人因管理、运营理财产品发生的税费</w:t>
      </w:r>
      <w:r>
        <w:rPr>
          <w:rFonts w:ascii="楷体_GB2312" w:eastAsia="楷体_GB2312"/>
          <w:b/>
          <w:color w:val="000000" w:themeColor="text1"/>
          <w:sz w:val="20"/>
          <w:szCs w:val="20"/>
          <w:highlight w:val="none"/>
          <w14:textFill>
            <w14:solidFill>
              <w14:schemeClr w14:val="tx1"/>
            </w14:solidFill>
          </w14:textFill>
        </w:rPr>
        <w:t>（包括但不限于增值税及相应的附加税费等）</w:t>
      </w:r>
      <w:r>
        <w:rPr>
          <w:rFonts w:ascii="楷体_GB2312" w:eastAsia="楷体_GB2312" w:cs="楷体_GB2312"/>
          <w:b/>
          <w:color w:val="000000" w:themeColor="text1"/>
          <w:sz w:val="20"/>
          <w:szCs w:val="20"/>
          <w:highlight w:val="none"/>
          <w14:textFill>
            <w14:solidFill>
              <w14:schemeClr w14:val="tx1"/>
            </w14:solidFill>
          </w14:textFill>
        </w:rPr>
        <w:t>由产品资产承担。法律法规另有规定时从其规定。</w:t>
      </w:r>
    </w:p>
    <w:p w14:paraId="0F05C69C">
      <w:pPr>
        <w:snapToGrid w:val="0"/>
        <w:spacing w:line="300" w:lineRule="exact"/>
        <w:ind w:firstLine="402" w:firstLineChars="200"/>
        <w:jc w:val="both"/>
        <w:outlineLvl w:val="0"/>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2．认购费：</w:t>
      </w:r>
      <w:r>
        <w:rPr>
          <w:rFonts w:hint="eastAsia" w:ascii="楷体_GB2312" w:eastAsia="楷体_GB2312" w:cs="楷体_GB2312"/>
          <w:b/>
          <w:color w:val="000000" w:themeColor="text1"/>
          <w:sz w:val="20"/>
          <w:szCs w:val="20"/>
          <w:highlight w:val="none"/>
          <w14:textFill>
            <w14:solidFill>
              <w14:schemeClr w14:val="tx1"/>
            </w14:solidFill>
          </w14:textFill>
        </w:rPr>
        <w:t>【B】类份额不收取认购费，【G】类份额不收取认购费，【H】类份额不收取认购费，【M】类份额不收取认购费，【N】类份额不收取认购费，【S】类份额不收取认购费，【Y】类份额不收取认购费</w:t>
      </w:r>
      <w:r>
        <w:rPr>
          <w:rFonts w:ascii="楷体_GB2312" w:eastAsia="楷体_GB2312" w:cs="楷体_GB2312"/>
          <w:b/>
          <w:color w:val="000000" w:themeColor="text1"/>
          <w:sz w:val="20"/>
          <w:szCs w:val="20"/>
          <w:highlight w:val="none"/>
          <w14:textFill>
            <w14:solidFill>
              <w14:schemeClr w14:val="tx1"/>
            </w14:solidFill>
          </w14:textFill>
        </w:rPr>
        <w:t>。</w:t>
      </w:r>
    </w:p>
    <w:p w14:paraId="20A34470">
      <w:pPr>
        <w:snapToGrid w:val="0"/>
        <w:spacing w:line="300" w:lineRule="exact"/>
        <w:ind w:firstLine="402" w:firstLineChars="200"/>
        <w:jc w:val="both"/>
        <w:outlineLvl w:val="0"/>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3．申购费：</w:t>
      </w:r>
      <w:r>
        <w:rPr>
          <w:rFonts w:ascii="楷体_GB2312" w:eastAsia="楷体_GB2312" w:cs="楷体_GB2312"/>
          <w:b/>
          <w:sz w:val="20"/>
          <w:szCs w:val="20"/>
          <w:highlight w:val="none"/>
        </w:rPr>
        <w:t>【B】类份额不收取申购费，【G】类份额不收取申购费，【H】类份额不收取申购费，【M】类份额不收取申购费，【N】类份额不收取申购费，【S】类份额不收取申购费，【Y】类份额不收取申购费</w:t>
      </w:r>
      <w:r>
        <w:rPr>
          <w:rFonts w:ascii="楷体_GB2312" w:eastAsia="楷体_GB2312" w:cs="楷体_GB2312"/>
          <w:b/>
          <w:color w:val="000000" w:themeColor="text1"/>
          <w:sz w:val="20"/>
          <w:szCs w:val="20"/>
          <w:highlight w:val="none"/>
          <w14:textFill>
            <w14:solidFill>
              <w14:schemeClr w14:val="tx1"/>
            </w14:solidFill>
          </w14:textFill>
        </w:rPr>
        <w:t>。</w:t>
      </w:r>
    </w:p>
    <w:p w14:paraId="2379813D">
      <w:pPr>
        <w:snapToGrid w:val="0"/>
        <w:spacing w:line="300" w:lineRule="exact"/>
        <w:ind w:firstLine="402" w:firstLineChars="200"/>
        <w:jc w:val="both"/>
        <w:outlineLvl w:val="0"/>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4．赎回费：</w:t>
      </w:r>
      <w:r>
        <w:rPr>
          <w:rFonts w:hint="eastAsia" w:ascii="楷体_GB2312" w:eastAsia="楷体_GB2312" w:cs="楷体_GB2312"/>
          <w:b/>
          <w:color w:val="000000" w:themeColor="text1"/>
          <w:sz w:val="20"/>
          <w:szCs w:val="20"/>
          <w:highlight w:val="none"/>
          <w14:textFill>
            <w14:solidFill>
              <w14:schemeClr w14:val="tx1"/>
            </w14:solidFill>
          </w14:textFill>
        </w:rPr>
        <w:t>【B】类份额不收取赎回费，【G】类份额不收取赎回费，【H】类份额不收取赎回费，【M】类份额不收取赎回费，【N】类份额不收取赎回费，【S】类份额不收取赎回费，【Y】类份额不收取赎回费</w:t>
      </w:r>
      <w:r>
        <w:rPr>
          <w:rFonts w:ascii="楷体_GB2312" w:eastAsia="楷体_GB2312" w:cs="楷体_GB2312"/>
          <w:b/>
          <w:color w:val="000000" w:themeColor="text1"/>
          <w:sz w:val="20"/>
          <w:szCs w:val="20"/>
          <w:highlight w:val="none"/>
          <w14:textFill>
            <w14:solidFill>
              <w14:schemeClr w14:val="tx1"/>
            </w14:solidFill>
          </w14:textFill>
        </w:rPr>
        <w:t>。</w:t>
      </w:r>
    </w:p>
    <w:p w14:paraId="6B97480C">
      <w:pPr>
        <w:snapToGrid w:val="0"/>
        <w:spacing w:line="300" w:lineRule="exact"/>
        <w:ind w:firstLine="402" w:firstLineChars="200"/>
        <w:jc w:val="both"/>
        <w:outlineLvl w:val="0"/>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5．销售服务费</w:t>
      </w:r>
    </w:p>
    <w:p w14:paraId="04D6D8A8">
      <w:pPr>
        <w:snapToGrid w:val="0"/>
        <w:spacing w:line="300" w:lineRule="exact"/>
        <w:ind w:firstLine="402" w:firstLineChars="200"/>
        <w:jc w:val="both"/>
        <w:outlineLvl w:val="0"/>
        <w:rPr>
          <w:rFonts w:ascii="楷体_GB2312" w:eastAsia="楷体_GB2312"/>
          <w:b/>
          <w:color w:val="000000" w:themeColor="text1"/>
          <w:sz w:val="20"/>
          <w:szCs w:val="20"/>
          <w:highlight w:val="none"/>
          <w14:textFill>
            <w14:solidFill>
              <w14:schemeClr w14:val="tx1"/>
            </w14:solidFill>
          </w14:textFill>
        </w:rPr>
      </w:pPr>
      <w:r>
        <w:rPr>
          <w:rFonts w:ascii="楷体_GB2312" w:eastAsia="楷体_GB2312" w:cs="楷体_GB2312"/>
          <w:b/>
          <w:sz w:val="20"/>
          <w:szCs w:val="20"/>
          <w:highlight w:val="none"/>
        </w:rPr>
        <w:t>【B】类份额费率【0.30%】/年，【G】类份额费率【0.30%】/年，【H】类份额费率【0.15%】/年，【M】类份额费率【0.20%】/年，【N】类份额费率【0.15%】/年，【S】类份额费率【0.30%】/年，【Y】类份额费率【0.10%】/年</w:t>
      </w:r>
      <w:r>
        <w:rPr>
          <w:rFonts w:hint="eastAsia" w:ascii="楷体_GB2312" w:eastAsia="楷体_GB2312" w:cs="楷体_GB2312"/>
          <w:b/>
          <w:sz w:val="20"/>
          <w:szCs w:val="20"/>
          <w:highlight w:val="none"/>
        </w:rPr>
        <w:t>，</w:t>
      </w:r>
      <w:r>
        <w:rPr>
          <w:rFonts w:ascii="楷体_GB2312" w:eastAsia="楷体_GB2312" w:cs="楷体_GB2312"/>
          <w:b/>
          <w:color w:val="000000" w:themeColor="text1"/>
          <w:sz w:val="20"/>
          <w:szCs w:val="20"/>
          <w:highlight w:val="none"/>
          <w14:textFill>
            <w14:solidFill>
              <w14:schemeClr w14:val="tx1"/>
            </w14:solidFill>
          </w14:textFill>
        </w:rPr>
        <w:t>计算方式为【</w:t>
      </w:r>
      <w:r>
        <w:rPr>
          <w:rFonts w:hint="eastAsia" w:ascii="楷体_GB2312" w:eastAsia="楷体_GB2312" w:cs="楷体_GB2312"/>
          <w:b/>
          <w:sz w:val="20"/>
          <w:szCs w:val="20"/>
          <w:highlight w:val="none"/>
        </w:rPr>
        <w:t>每日销售费</w:t>
      </w:r>
      <w:r>
        <w:rPr>
          <w:rFonts w:ascii="楷体_GB2312" w:eastAsia="楷体_GB2312" w:cs="楷体_GB2312"/>
          <w:b/>
          <w:sz w:val="20"/>
          <w:szCs w:val="20"/>
          <w:highlight w:val="none"/>
        </w:rPr>
        <w:t>=理财产品上一自然日产品净资产×销售费率/365。（在首个起息日计算销售服务费时，以产品成立日的实收本金为计提基础，计算托管费、固定管理费时亦参照执行）</w:t>
      </w:r>
      <w:r>
        <w:rPr>
          <w:rFonts w:ascii="楷体_GB2312" w:eastAsia="楷体_GB2312" w:cs="楷体_GB2312"/>
          <w:b/>
          <w:color w:val="000000" w:themeColor="text1"/>
          <w:sz w:val="20"/>
          <w:szCs w:val="20"/>
          <w:highlight w:val="none"/>
          <w14:textFill>
            <w14:solidFill>
              <w14:schemeClr w14:val="tx1"/>
            </w14:solidFill>
          </w14:textFill>
        </w:rPr>
        <w:t>】。</w:t>
      </w:r>
    </w:p>
    <w:p w14:paraId="5387DCAC">
      <w:pPr>
        <w:snapToGrid w:val="0"/>
        <w:spacing w:line="300" w:lineRule="exact"/>
        <w:ind w:firstLine="402" w:firstLineChars="200"/>
        <w:jc w:val="both"/>
        <w:outlineLvl w:val="0"/>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销售服务费每日计提，按【季】支付，由管理人向托管人发送指令，托管人复核后按【季】从资产中一次性支付。投资者通过代销机构购买理财产品的，代销机构收取的销售相关费用以代销机构规定为准。</w:t>
      </w:r>
    </w:p>
    <w:p w14:paraId="4DADDEF8">
      <w:pPr>
        <w:spacing w:line="300" w:lineRule="exact"/>
        <w:ind w:firstLine="402" w:firstLineChars="200"/>
        <w:jc w:val="both"/>
        <w:rPr>
          <w:rFonts w:ascii="楷体_GB2312" w:eastAsia="楷体_GB2312" w:cs="楷体_GB2312"/>
          <w:b/>
          <w:color w:val="000000" w:themeColor="text1"/>
          <w:sz w:val="20"/>
          <w:szCs w:val="20"/>
          <w:highlight w:val="none"/>
          <w14:textFill>
            <w14:solidFill>
              <w14:schemeClr w14:val="tx1"/>
            </w14:solidFill>
          </w14:textFill>
        </w:rPr>
      </w:pPr>
      <w:r>
        <w:rPr>
          <w:rFonts w:hint="eastAsia" w:ascii="楷体_GB2312" w:eastAsia="楷体_GB2312" w:cs="楷体_GB2312"/>
          <w:b/>
          <w:sz w:val="20"/>
          <w:szCs w:val="20"/>
          <w:highlight w:val="none"/>
        </w:rPr>
        <w:t>本产品可能同时在其他渠道销售，本产品收取的销售服务费可能因销售机构不同有所差异，从而导致测算的业绩比较基准有所差异，请投资者关注管理人及销售机构相关信息披露。</w:t>
      </w:r>
    </w:p>
    <w:p w14:paraId="73D46326">
      <w:pPr>
        <w:snapToGrid w:val="0"/>
        <w:spacing w:line="300" w:lineRule="exact"/>
        <w:ind w:firstLine="402" w:firstLineChars="200"/>
        <w:jc w:val="both"/>
        <w:outlineLvl w:val="0"/>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6．托管费</w:t>
      </w:r>
    </w:p>
    <w:p w14:paraId="113F646F">
      <w:pPr>
        <w:snapToGrid w:val="0"/>
        <w:spacing w:line="300" w:lineRule="exact"/>
        <w:ind w:firstLine="402" w:firstLineChars="200"/>
        <w:jc w:val="both"/>
        <w:outlineLvl w:val="0"/>
        <w:rPr>
          <w:rFonts w:ascii="楷体_GB2312" w:eastAsia="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费率【0.05%】/年，计算方式为【</w:t>
      </w:r>
      <w:r>
        <w:rPr>
          <w:rFonts w:hint="eastAsia" w:ascii="楷体_GB2312" w:eastAsia="楷体_GB2312" w:cs="楷体_GB2312"/>
          <w:b/>
          <w:sz w:val="20"/>
          <w:szCs w:val="20"/>
          <w:highlight w:val="none"/>
        </w:rPr>
        <w:t>每日托管费</w:t>
      </w:r>
      <w:r>
        <w:rPr>
          <w:rFonts w:ascii="楷体_GB2312" w:eastAsia="楷体_GB2312" w:cs="楷体_GB2312"/>
          <w:b/>
          <w:sz w:val="20"/>
          <w:szCs w:val="20"/>
          <w:highlight w:val="none"/>
        </w:rPr>
        <w:t>=理财产品上一自然日产品净资产×托管费率/365</w:t>
      </w:r>
      <w:r>
        <w:rPr>
          <w:rFonts w:ascii="楷体_GB2312" w:eastAsia="楷体_GB2312" w:cs="楷体_GB2312"/>
          <w:b/>
          <w:color w:val="000000" w:themeColor="text1"/>
          <w:sz w:val="20"/>
          <w:szCs w:val="20"/>
          <w:highlight w:val="none"/>
          <w14:textFill>
            <w14:solidFill>
              <w14:schemeClr w14:val="tx1"/>
            </w14:solidFill>
          </w14:textFill>
        </w:rPr>
        <w:t>】。</w:t>
      </w:r>
    </w:p>
    <w:p w14:paraId="495F3F1E">
      <w:pPr>
        <w:snapToGrid w:val="0"/>
        <w:spacing w:line="300" w:lineRule="exact"/>
        <w:ind w:firstLine="402" w:firstLineChars="200"/>
        <w:jc w:val="both"/>
        <w:outlineLvl w:val="0"/>
        <w:rPr>
          <w:rFonts w:ascii="楷体_GB2312" w:eastAsia="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托管费每日计提，按【</w:t>
      </w:r>
      <w:r>
        <w:rPr>
          <w:rFonts w:hint="eastAsia" w:ascii="楷体_GB2312" w:eastAsia="楷体_GB2312" w:cs="楷体_GB2312"/>
          <w:b/>
          <w:color w:val="000000" w:themeColor="text1"/>
          <w:sz w:val="20"/>
          <w:szCs w:val="20"/>
          <w:highlight w:val="none"/>
          <w14:textFill>
            <w14:solidFill>
              <w14:schemeClr w14:val="tx1"/>
            </w14:solidFill>
          </w14:textFill>
        </w:rPr>
        <w:t>季</w:t>
      </w:r>
      <w:r>
        <w:rPr>
          <w:rFonts w:ascii="楷体_GB2312" w:eastAsia="楷体_GB2312" w:cs="楷体_GB2312"/>
          <w:b/>
          <w:color w:val="000000" w:themeColor="text1"/>
          <w:sz w:val="20"/>
          <w:szCs w:val="20"/>
          <w:highlight w:val="none"/>
          <w14:textFill>
            <w14:solidFill>
              <w14:schemeClr w14:val="tx1"/>
            </w14:solidFill>
          </w14:textFill>
        </w:rPr>
        <w:t>】支付，由管理人向托管人发送指令，托管人复核后从资产中一次性支付。</w:t>
      </w:r>
    </w:p>
    <w:p w14:paraId="7E578B7D">
      <w:pPr>
        <w:snapToGrid w:val="0"/>
        <w:spacing w:line="300" w:lineRule="exact"/>
        <w:ind w:firstLine="402" w:firstLineChars="200"/>
        <w:jc w:val="both"/>
        <w:outlineLvl w:val="0"/>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7．固定管理费</w:t>
      </w:r>
    </w:p>
    <w:p w14:paraId="7268BC2C">
      <w:pPr>
        <w:snapToGrid w:val="0"/>
        <w:spacing w:line="300" w:lineRule="exact"/>
        <w:ind w:firstLine="402" w:firstLineChars="200"/>
        <w:jc w:val="both"/>
        <w:outlineLvl w:val="0"/>
        <w:rPr>
          <w:rFonts w:ascii="楷体_GB2312" w:eastAsia="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费率【0.30%】/年，计算方式为【</w:t>
      </w:r>
      <w:r>
        <w:rPr>
          <w:rFonts w:hint="eastAsia" w:ascii="楷体_GB2312" w:eastAsia="楷体_GB2312" w:cs="楷体_GB2312"/>
          <w:b/>
          <w:sz w:val="20"/>
          <w:szCs w:val="20"/>
          <w:highlight w:val="none"/>
        </w:rPr>
        <w:t>每日固定管理费</w:t>
      </w:r>
      <w:r>
        <w:rPr>
          <w:rFonts w:ascii="楷体_GB2312" w:eastAsia="楷体_GB2312" w:cs="楷体_GB2312"/>
          <w:b/>
          <w:sz w:val="20"/>
          <w:szCs w:val="20"/>
          <w:highlight w:val="none"/>
        </w:rPr>
        <w:t>=理财产品上一自然日产品净资产×固定管理费率/365</w:t>
      </w:r>
      <w:r>
        <w:rPr>
          <w:rFonts w:ascii="楷体_GB2312" w:eastAsia="楷体_GB2312" w:cs="楷体_GB2312"/>
          <w:b/>
          <w:color w:val="000000" w:themeColor="text1"/>
          <w:sz w:val="20"/>
          <w:szCs w:val="20"/>
          <w:highlight w:val="none"/>
          <w14:textFill>
            <w14:solidFill>
              <w14:schemeClr w14:val="tx1"/>
            </w14:solidFill>
          </w14:textFill>
        </w:rPr>
        <w:t>】。</w:t>
      </w:r>
    </w:p>
    <w:p w14:paraId="530AFBA9">
      <w:pPr>
        <w:snapToGrid w:val="0"/>
        <w:spacing w:line="300" w:lineRule="exact"/>
        <w:ind w:firstLine="402" w:firstLineChars="200"/>
        <w:jc w:val="both"/>
        <w:outlineLvl w:val="0"/>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固定管理费每日计提，按【月】支付，由管理人向托管人发送指令，托管人复核后从资产中一次性支付。</w:t>
      </w:r>
    </w:p>
    <w:p w14:paraId="49B68D1E">
      <w:pPr>
        <w:snapToGrid w:val="0"/>
        <w:spacing w:line="300" w:lineRule="exact"/>
        <w:ind w:firstLine="402" w:firstLineChars="200"/>
        <w:jc w:val="both"/>
        <w:outlineLvl w:val="0"/>
        <w:rPr>
          <w:rFonts w:ascii="楷体_GB2312" w:eastAsia="楷体_GB2312" w:cs="楷体_GB2312"/>
          <w:b/>
          <w:color w:val="000000" w:themeColor="text1"/>
          <w:sz w:val="20"/>
          <w:szCs w:val="20"/>
          <w:highlight w:val="none"/>
          <w14:textFill>
            <w14:solidFill>
              <w14:schemeClr w14:val="tx1"/>
            </w14:solidFill>
          </w14:textFill>
        </w:rPr>
      </w:pPr>
      <w:r>
        <w:rPr>
          <w:rFonts w:hint="eastAsia" w:ascii="楷体_GB2312" w:eastAsia="楷体_GB2312" w:cs="楷体_GB2312"/>
          <w:b/>
          <w:color w:val="000000" w:themeColor="text1"/>
          <w:sz w:val="20"/>
          <w:szCs w:val="20"/>
          <w:highlight w:val="none"/>
          <w14:textFill>
            <w14:solidFill>
              <w14:schemeClr w14:val="tx1"/>
            </w14:solidFill>
          </w14:textFill>
        </w:rPr>
        <w:t>8</w:t>
      </w:r>
      <w:r>
        <w:rPr>
          <w:rFonts w:ascii="楷体_GB2312" w:eastAsia="楷体_GB2312" w:cs="楷体_GB2312"/>
          <w:b/>
          <w:color w:val="000000" w:themeColor="text1"/>
          <w:sz w:val="20"/>
          <w:szCs w:val="20"/>
          <w:highlight w:val="none"/>
          <w14:textFill>
            <w14:solidFill>
              <w14:schemeClr w14:val="tx1"/>
            </w14:solidFill>
          </w14:textFill>
        </w:rPr>
        <w:t>．浮动管理费</w:t>
      </w:r>
    </w:p>
    <w:p w14:paraId="77F268A5">
      <w:pPr>
        <w:snapToGrid w:val="0"/>
        <w:spacing w:line="300" w:lineRule="exact"/>
        <w:ind w:right="53" w:rightChars="22" w:firstLine="402" w:firstLineChars="200"/>
        <w:jc w:val="both"/>
        <w:outlineLvl w:val="0"/>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【B】类份额不收取浮动管理费。</w:t>
      </w:r>
      <w:r>
        <w:rPr>
          <w:rFonts w:ascii="楷体_GB2312" w:eastAsia="楷体_GB2312" w:cs="楷体_GB2312"/>
          <w:b/>
          <w:color w:val="000000" w:themeColor="text1"/>
          <w:sz w:val="20"/>
          <w:szCs w:val="20"/>
          <w:highlight w:val="none"/>
          <w14:textFill>
            <w14:solidFill>
              <w14:schemeClr w14:val="tx1"/>
            </w14:solidFill>
          </w14:textFill>
        </w:rPr>
        <w:br w:type="textWrapping"/>
      </w:r>
      <w:r>
        <w:rPr>
          <w:rFonts w:ascii="楷体_GB2312" w:eastAsia="楷体_GB2312" w:cs="楷体_GB2312"/>
          <w:b/>
          <w:color w:val="000000" w:themeColor="text1"/>
          <w:sz w:val="20"/>
          <w:szCs w:val="20"/>
          <w:highlight w:val="none"/>
          <w14:textFill>
            <w14:solidFill>
              <w14:schemeClr w14:val="tx1"/>
            </w14:solidFill>
          </w14:textFill>
        </w:rPr>
        <w:t xml:space="preserve">    【G】类份额不收取浮动管理费。</w:t>
      </w:r>
      <w:r>
        <w:rPr>
          <w:rFonts w:ascii="楷体_GB2312" w:eastAsia="楷体_GB2312" w:cs="楷体_GB2312"/>
          <w:b/>
          <w:color w:val="000000" w:themeColor="text1"/>
          <w:sz w:val="20"/>
          <w:szCs w:val="20"/>
          <w:highlight w:val="none"/>
          <w14:textFill>
            <w14:solidFill>
              <w14:schemeClr w14:val="tx1"/>
            </w14:solidFill>
          </w14:textFill>
        </w:rPr>
        <w:br w:type="textWrapping"/>
      </w:r>
      <w:r>
        <w:rPr>
          <w:rFonts w:ascii="楷体_GB2312" w:eastAsia="楷体_GB2312" w:cs="楷体_GB2312"/>
          <w:b/>
          <w:color w:val="000000" w:themeColor="text1"/>
          <w:sz w:val="20"/>
          <w:szCs w:val="20"/>
          <w:highlight w:val="none"/>
          <w14:textFill>
            <w14:solidFill>
              <w14:schemeClr w14:val="tx1"/>
            </w14:solidFill>
          </w14:textFill>
        </w:rPr>
        <w:t xml:space="preserve">    【H】类份额不收取浮动管理费。</w:t>
      </w:r>
      <w:r>
        <w:rPr>
          <w:rFonts w:ascii="楷体_GB2312" w:eastAsia="楷体_GB2312" w:cs="楷体_GB2312"/>
          <w:b/>
          <w:color w:val="000000" w:themeColor="text1"/>
          <w:sz w:val="20"/>
          <w:szCs w:val="20"/>
          <w:highlight w:val="none"/>
          <w14:textFill>
            <w14:solidFill>
              <w14:schemeClr w14:val="tx1"/>
            </w14:solidFill>
          </w14:textFill>
        </w:rPr>
        <w:br w:type="textWrapping"/>
      </w:r>
      <w:r>
        <w:rPr>
          <w:rFonts w:ascii="楷体_GB2312" w:eastAsia="楷体_GB2312" w:cs="楷体_GB2312"/>
          <w:b/>
          <w:color w:val="000000" w:themeColor="text1"/>
          <w:sz w:val="20"/>
          <w:szCs w:val="20"/>
          <w:highlight w:val="none"/>
          <w14:textFill>
            <w14:solidFill>
              <w14:schemeClr w14:val="tx1"/>
            </w14:solidFill>
          </w14:textFill>
        </w:rPr>
        <w:t xml:space="preserve">    【M】类份额不收取浮动管理费。</w:t>
      </w:r>
      <w:r>
        <w:rPr>
          <w:rFonts w:ascii="楷体_GB2312" w:eastAsia="楷体_GB2312" w:cs="楷体_GB2312"/>
          <w:b/>
          <w:color w:val="000000" w:themeColor="text1"/>
          <w:sz w:val="20"/>
          <w:szCs w:val="20"/>
          <w:highlight w:val="none"/>
          <w14:textFill>
            <w14:solidFill>
              <w14:schemeClr w14:val="tx1"/>
            </w14:solidFill>
          </w14:textFill>
        </w:rPr>
        <w:br w:type="textWrapping"/>
      </w:r>
      <w:r>
        <w:rPr>
          <w:rFonts w:ascii="楷体_GB2312" w:eastAsia="楷体_GB2312" w:cs="楷体_GB2312"/>
          <w:b/>
          <w:color w:val="000000" w:themeColor="text1"/>
          <w:sz w:val="20"/>
          <w:szCs w:val="20"/>
          <w:highlight w:val="none"/>
          <w14:textFill>
            <w14:solidFill>
              <w14:schemeClr w14:val="tx1"/>
            </w14:solidFill>
          </w14:textFill>
        </w:rPr>
        <w:t xml:space="preserve">    【N】类份额不收取浮动管理费。</w:t>
      </w:r>
      <w:r>
        <w:rPr>
          <w:rFonts w:ascii="楷体_GB2312" w:eastAsia="楷体_GB2312" w:cs="楷体_GB2312"/>
          <w:b/>
          <w:color w:val="000000" w:themeColor="text1"/>
          <w:sz w:val="20"/>
          <w:szCs w:val="20"/>
          <w:highlight w:val="none"/>
          <w14:textFill>
            <w14:solidFill>
              <w14:schemeClr w14:val="tx1"/>
            </w14:solidFill>
          </w14:textFill>
        </w:rPr>
        <w:br w:type="textWrapping"/>
      </w:r>
      <w:r>
        <w:rPr>
          <w:rFonts w:ascii="楷体_GB2312" w:eastAsia="楷体_GB2312" w:cs="楷体_GB2312"/>
          <w:b/>
          <w:color w:val="000000" w:themeColor="text1"/>
          <w:sz w:val="20"/>
          <w:szCs w:val="20"/>
          <w:highlight w:val="none"/>
          <w14:textFill>
            <w14:solidFill>
              <w14:schemeClr w14:val="tx1"/>
            </w14:solidFill>
          </w14:textFill>
        </w:rPr>
        <w:t xml:space="preserve">    【S】类份额不收取浮动管理费。</w:t>
      </w:r>
      <w:r>
        <w:rPr>
          <w:rFonts w:ascii="楷体_GB2312" w:eastAsia="楷体_GB2312" w:cs="楷体_GB2312"/>
          <w:b/>
          <w:color w:val="000000" w:themeColor="text1"/>
          <w:sz w:val="20"/>
          <w:szCs w:val="20"/>
          <w:highlight w:val="none"/>
          <w14:textFill>
            <w14:solidFill>
              <w14:schemeClr w14:val="tx1"/>
            </w14:solidFill>
          </w14:textFill>
        </w:rPr>
        <w:br w:type="textWrapping"/>
      </w:r>
      <w:r>
        <w:rPr>
          <w:rFonts w:ascii="楷体_GB2312" w:eastAsia="楷体_GB2312" w:cs="楷体_GB2312"/>
          <w:b/>
          <w:color w:val="000000" w:themeColor="text1"/>
          <w:sz w:val="20"/>
          <w:szCs w:val="20"/>
          <w:highlight w:val="none"/>
          <w14:textFill>
            <w14:solidFill>
              <w14:schemeClr w14:val="tx1"/>
            </w14:solidFill>
          </w14:textFill>
        </w:rPr>
        <w:t xml:space="preserve">    【Y】类份额不收取浮动管理费。</w:t>
      </w:r>
    </w:p>
    <w:p w14:paraId="4C1A9847">
      <w:pPr>
        <w:snapToGrid w:val="0"/>
        <w:spacing w:line="300" w:lineRule="exact"/>
        <w:ind w:left="0" w:leftChars="0" w:right="96" w:rightChars="40" w:firstLine="402" w:firstLineChars="200"/>
        <w:outlineLvl w:val="0"/>
        <w:rPr>
          <w:rFonts w:ascii="楷体_GB2312" w:eastAsia="楷体_GB2312" w:cs="楷体_GB2312"/>
          <w:b/>
          <w:sz w:val="20"/>
          <w:szCs w:val="20"/>
          <w:highlight w:val="none"/>
        </w:rPr>
      </w:pPr>
      <w: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t>9.产品运作和清算中产生的其他资金汇划费、结算费、交易手续费、注册登记费、信息披露费、账户服务费、审计费、律师费、因投资资产而产生的资产推荐服务费等相关费用及按照法律法规规章规定和理财产品销售文件约定应由产品承担的费用等，按照实际发生时从产品资产中列支。</w:t>
      </w:r>
    </w:p>
    <w:p w14:paraId="2D965ABA">
      <w:pPr>
        <w:snapToGrid w:val="0"/>
        <w:spacing w:line="300" w:lineRule="exact"/>
        <w:ind w:left="-2" w:leftChars="-1" w:right="53" w:rightChars="22" w:firstLine="400" w:firstLineChars="200"/>
        <w:jc w:val="both"/>
        <w:outlineLvl w:val="0"/>
        <w:rPr>
          <w:rFonts w:ascii="楷体_GB2312" w:eastAsia="楷体_GB2312" w:cs="楷体_GB2312"/>
          <w:color w:val="000000" w:themeColor="text1"/>
          <w:sz w:val="20"/>
          <w:szCs w:val="20"/>
          <w:highlight w:val="none"/>
          <w14:textFill>
            <w14:solidFill>
              <w14:schemeClr w14:val="tx1"/>
            </w14:solidFill>
          </w14:textFill>
        </w:rPr>
      </w:pPr>
    </w:p>
    <w:p w14:paraId="5F765E30">
      <w:pPr>
        <w:spacing w:line="300" w:lineRule="exact"/>
        <w:ind w:right="29" w:rightChars="12"/>
        <w:rPr>
          <w:rFonts w:ascii="黑体" w:eastAsia="黑体"/>
          <w:color w:val="000000" w:themeColor="text1"/>
          <w:sz w:val="20"/>
          <w:szCs w:val="20"/>
          <w:highlight w:val="none"/>
          <w14:textFill>
            <w14:solidFill>
              <w14:schemeClr w14:val="tx1"/>
            </w14:solidFill>
          </w14:textFill>
        </w:rPr>
      </w:pPr>
      <w:r>
        <w:rPr>
          <w:rFonts w:hint="eastAsia" w:ascii="黑体" w:eastAsia="黑体" w:cs="黑体"/>
          <w:color w:val="000000" w:themeColor="text1"/>
          <w:sz w:val="20"/>
          <w:szCs w:val="20"/>
          <w:highlight w:val="none"/>
          <w14:textFill>
            <w14:solidFill>
              <w14:schemeClr w14:val="tx1"/>
            </w14:solidFill>
          </w14:textFill>
        </w:rPr>
        <w:t>十、资产估值</w:t>
      </w:r>
    </w:p>
    <w:p w14:paraId="791170A7">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1</w:t>
      </w:r>
      <w:r>
        <w:rPr>
          <w:rFonts w:hint="eastAsia" w:ascii="楷体_GB2312" w:eastAsia="楷体_GB2312" w:cs="楷体_GB2312"/>
          <w:color w:val="000000" w:themeColor="text1"/>
          <w:sz w:val="20"/>
          <w:szCs w:val="20"/>
          <w:highlight w:val="none"/>
          <w14:textFill>
            <w14:solidFill>
              <w14:schemeClr w14:val="tx1"/>
            </w14:solidFill>
          </w14:textFill>
        </w:rPr>
        <w:t>．估值日</w:t>
      </w:r>
    </w:p>
    <w:p w14:paraId="37677CFF">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本</w:t>
      </w:r>
      <w:r>
        <w:rPr>
          <w:rFonts w:ascii="楷体_GB2312" w:eastAsia="楷体_GB2312" w:cs="楷体_GB2312"/>
          <w:color w:val="000000" w:themeColor="text1"/>
          <w:sz w:val="20"/>
          <w:szCs w:val="20"/>
          <w:highlight w:val="none"/>
          <w14:textFill>
            <w14:solidFill>
              <w14:schemeClr w14:val="tx1"/>
            </w14:solidFill>
          </w14:textFill>
        </w:rPr>
        <w:t>产品的估值日为</w:t>
      </w:r>
      <w:r>
        <w:rPr>
          <w:rFonts w:hint="eastAsia" w:ascii="楷体_GB2312" w:eastAsia="楷体_GB2312" w:cs="楷体_GB2312"/>
          <w:color w:val="000000" w:themeColor="text1"/>
          <w:sz w:val="20"/>
          <w:szCs w:val="20"/>
          <w:highlight w:val="none"/>
          <w14:textFill>
            <w14:solidFill>
              <w14:schemeClr w14:val="tx1"/>
            </w14:solidFill>
          </w14:textFill>
        </w:rPr>
        <w:t>产品开放日、净值披露日和收益分配日</w:t>
      </w:r>
      <w:r>
        <w:rPr>
          <w:rFonts w:ascii="楷体_GB2312" w:eastAsia="楷体_GB2312" w:cs="楷体_GB2312"/>
          <w:color w:val="000000" w:themeColor="text1"/>
          <w:sz w:val="20"/>
          <w:szCs w:val="20"/>
          <w:highlight w:val="none"/>
          <w14:textFill>
            <w14:solidFill>
              <w14:schemeClr w14:val="tx1"/>
            </w14:solidFill>
          </w14:textFill>
        </w:rPr>
        <w:t>。</w:t>
      </w:r>
    </w:p>
    <w:p w14:paraId="2D3F1DD2">
      <w:pPr>
        <w:numPr>
          <w:ilvl w:val="0"/>
          <w:numId w:val="8"/>
        </w:numPr>
        <w:spacing w:line="300" w:lineRule="exact"/>
        <w:ind w:firstLine="400" w:firstLineChars="200"/>
        <w:jc w:val="both"/>
        <w:rPr>
          <w:rFonts w:hint="default"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估值原则</w:t>
      </w:r>
    </w:p>
    <w:p w14:paraId="79EA9118">
      <w:pPr>
        <w:numPr>
          <w:ilvl w:val="-1"/>
          <w:numId w:val="0"/>
        </w:numPr>
        <w:spacing w:line="300" w:lineRule="exact"/>
        <w:ind w:firstLine="0" w:firstLineChars="0"/>
        <w:jc w:val="both"/>
        <w:rPr>
          <w:rFonts w:hint="eastAsia"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 xml:space="preserve">    </w:t>
      </w:r>
      <w:r>
        <w:rPr>
          <w:rFonts w:hint="eastAsia" w:ascii="楷体_GB2312" w:eastAsia="楷体_GB2312" w:cs="楷体_GB2312"/>
          <w:color w:val="000000" w:themeColor="text1"/>
          <w:sz w:val="20"/>
          <w:szCs w:val="20"/>
          <w:highlight w:val="none"/>
          <w14:textFill>
            <w14:solidFill>
              <w14:schemeClr w14:val="tx1"/>
            </w14:solidFill>
          </w14:textFill>
        </w:rPr>
        <w:t>管理人在确定相关金融工具的公允价值时，应符合《企业会计准则》、监管部门有关规定。</w:t>
      </w:r>
    </w:p>
    <w:p w14:paraId="53F4A7F7">
      <w:pPr>
        <w:numPr>
          <w:ilvl w:val="-1"/>
          <w:numId w:val="0"/>
        </w:numPr>
        <w:spacing w:line="300" w:lineRule="exact"/>
        <w:ind w:firstLine="400" w:firstLineChars="200"/>
        <w:jc w:val="both"/>
        <w:rPr>
          <w:rFonts w:hint="eastAsia"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1</w:t>
      </w: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对存在活跃市场且能够获取相同投资品种报价的金融工具，在估值日有报价的，除会计准则规定的例外情况外，应将该报价不加调整地应用于该金融工具的公允价值计量。估值日无报价且最近交易日后未发生影响公允价值计量的重大事件的，应采用最近交易日的报价确定金融工具</w:t>
      </w:r>
      <w:r>
        <w:rPr>
          <w:rFonts w:hint="eastAsia" w:ascii="楷体_GB2312" w:eastAsia="楷体_GB2312" w:cs="楷体_GB2312"/>
          <w:color w:val="000000" w:themeColor="text1"/>
          <w:sz w:val="20"/>
          <w:szCs w:val="20"/>
          <w:highlight w:val="none"/>
          <w:lang w:eastAsia="zh-CN"/>
          <w14:textFill>
            <w14:solidFill>
              <w14:schemeClr w14:val="tx1"/>
            </w14:solidFill>
          </w14:textFill>
        </w:rPr>
        <w:t>的</w:t>
      </w:r>
      <w:r>
        <w:rPr>
          <w:rFonts w:hint="eastAsia" w:ascii="楷体_GB2312" w:eastAsia="楷体_GB2312" w:cs="楷体_GB2312"/>
          <w:color w:val="000000" w:themeColor="text1"/>
          <w:sz w:val="20"/>
          <w:szCs w:val="20"/>
          <w:highlight w:val="none"/>
          <w14:textFill>
            <w14:solidFill>
              <w14:schemeClr w14:val="tx1"/>
            </w14:solidFill>
          </w14:textFill>
        </w:rPr>
        <w:t>公允价值。有充足证据表明估值日或最近交易日的报价不能真实反映金融工具</w:t>
      </w:r>
      <w:r>
        <w:rPr>
          <w:rFonts w:hint="eastAsia" w:ascii="楷体_GB2312" w:eastAsia="楷体_GB2312" w:cs="楷体_GB2312"/>
          <w:color w:val="000000" w:themeColor="text1"/>
          <w:sz w:val="20"/>
          <w:szCs w:val="20"/>
          <w:highlight w:val="none"/>
          <w:lang w:eastAsia="zh-CN"/>
          <w14:textFill>
            <w14:solidFill>
              <w14:schemeClr w14:val="tx1"/>
            </w14:solidFill>
          </w14:textFill>
        </w:rPr>
        <w:t>的</w:t>
      </w:r>
      <w:r>
        <w:rPr>
          <w:rFonts w:hint="eastAsia" w:ascii="楷体_GB2312" w:eastAsia="楷体_GB2312" w:cs="楷体_GB2312"/>
          <w:color w:val="000000" w:themeColor="text1"/>
          <w:sz w:val="20"/>
          <w:szCs w:val="20"/>
          <w:highlight w:val="none"/>
          <w14:textFill>
            <w14:solidFill>
              <w14:schemeClr w14:val="tx1"/>
            </w14:solidFill>
          </w14:textFill>
        </w:rPr>
        <w:t>公允价值的，应对报价进行调整，确定公允价值。</w:t>
      </w:r>
    </w:p>
    <w:p w14:paraId="6CF710A9">
      <w:pPr>
        <w:numPr>
          <w:ilvl w:val="-1"/>
          <w:numId w:val="0"/>
        </w:numPr>
        <w:spacing w:line="300" w:lineRule="exact"/>
        <w:ind w:firstLine="400" w:firstLineChars="200"/>
        <w:jc w:val="both"/>
        <w:rPr>
          <w:rFonts w:hint="eastAsia"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2</w:t>
      </w: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对存在活跃市场的投资品种，如估值日无报价的，需结合最近交易日后经济环境是否发生了重大变化，评估是否对最近交易市价进行调整，确定公允价值。</w:t>
      </w:r>
    </w:p>
    <w:p w14:paraId="760BED59">
      <w:pPr>
        <w:numPr>
          <w:ilvl w:val="-1"/>
          <w:numId w:val="0"/>
        </w:numPr>
        <w:spacing w:line="300" w:lineRule="exact"/>
        <w:ind w:firstLine="400" w:firstLineChars="200"/>
        <w:jc w:val="both"/>
        <w:rPr>
          <w:rFonts w:hint="eastAsia"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3</w:t>
      </w: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对不存在活跃市场的投资品种，应采用市场参与者普遍认同且被以往市场实际交易价格验证具有可靠性的估值技术确定金融工具的公允价值。采用估值技术确定公允价值时，应优先使用可观察输入值，只有在无法取得相关金融工具可观察输入值或取得不切实可行的情况下，才可以使用不可观察输入值。</w:t>
      </w:r>
    </w:p>
    <w:p w14:paraId="747172AD">
      <w:pPr>
        <w:numPr>
          <w:ilvl w:val="-1"/>
          <w:numId w:val="0"/>
        </w:num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4</w:t>
      </w: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公司在估值过程中可参考第三方估值机构提供的估值结果或估值参数。当采用第三方估值机构提供的价格数据估值时，应选取可靠的、信誉良好的第三方估值机构，并充分了解第三方估值机构所使用的估值技术和估值结果的产生过程，通过定期对估值结构或估值参数进行校验评价其估值质量，防范可能出现的估值偏差。</w:t>
      </w:r>
    </w:p>
    <w:p w14:paraId="1F1F3223">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3</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估值</w:t>
      </w:r>
      <w:r>
        <w:rPr>
          <w:rFonts w:ascii="楷体_GB2312" w:eastAsia="楷体_GB2312" w:cs="楷体_GB2312"/>
          <w:color w:val="000000" w:themeColor="text1"/>
          <w:sz w:val="20"/>
          <w:szCs w:val="20"/>
          <w:highlight w:val="none"/>
          <w14:textFill>
            <w14:solidFill>
              <w14:schemeClr w14:val="tx1"/>
            </w14:solidFill>
          </w14:textFill>
        </w:rPr>
        <w:t>对象和</w:t>
      </w:r>
      <w:r>
        <w:rPr>
          <w:rFonts w:hint="eastAsia" w:ascii="楷体_GB2312" w:eastAsia="楷体_GB2312" w:cs="楷体_GB2312"/>
          <w:color w:val="000000" w:themeColor="text1"/>
          <w:sz w:val="20"/>
          <w:szCs w:val="20"/>
          <w:highlight w:val="none"/>
          <w14:textFill>
            <w14:solidFill>
              <w14:schemeClr w14:val="tx1"/>
            </w14:solidFill>
          </w14:textFill>
        </w:rPr>
        <w:t>估值方法</w:t>
      </w:r>
    </w:p>
    <w:p w14:paraId="262F40EE">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【理财产品所投资各类资产原则上按照公允价值估值。</w:t>
      </w:r>
    </w:p>
    <w:p w14:paraId="0B9B646D">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1）银行存款、回购等货币市场工具</w:t>
      </w:r>
    </w:p>
    <w:p w14:paraId="51BE2A75">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以本金列示，按商定的利率在实际持有期间内逐日计提利息。</w:t>
      </w:r>
    </w:p>
    <w:p w14:paraId="64C3AA33">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2）在境内银行间市场和证券交易所流通的债券等标准化固定收益类资产</w:t>
      </w:r>
    </w:p>
    <w:p w14:paraId="0D49B51F">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按第三方估值机构（中债、中证等）提供的相应品种当日的估值净价进行估值，未获取到第三方估值结果的，按照最新监管规定进行估值。</w:t>
      </w:r>
    </w:p>
    <w:p w14:paraId="13A5E6A0">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3）交易所上市的非货币基金，按其所在证券交易所的收盘价或基金管理人公布能获取到的最新份额净值估值；交易所上市的货币基金，按基金管理人公布能获取到的最新份额净值，或前一估值日后至估值日期间（含节假日）能获取到的最新万分收益进行估值。</w:t>
      </w:r>
    </w:p>
    <w:p w14:paraId="4E632E9E">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4）未上市基金估值</w:t>
      </w:r>
    </w:p>
    <w:p w14:paraId="35BE0A46">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境内未上市的货币市场基金，按基金管理人公布的前一估值日后至估值日期间（含节假日）能获取到的最新万份收益计提估值日收益。</w:t>
      </w:r>
    </w:p>
    <w:p w14:paraId="185670B2">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境内未上市的非货币市场基金，按基金管理人公布能获取到的最新份额净值估值。</w:t>
      </w:r>
    </w:p>
    <w:p w14:paraId="408CC8AE">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5）信托计划、资管计划、私募基金等资产，以对方管理人披露的可获取到的最新净值，或前一估值日后至估值日期间（含节假日）能获取到的最新万分收益进行估值。</w:t>
      </w:r>
    </w:p>
    <w:p w14:paraId="6EE75256">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6）非标准化债权，存在并可以确定公允价值的，以公允价值估值；公允价值不能确定的，按照最新监管规定或管理人认可的估值技术进行估值。</w:t>
      </w:r>
    </w:p>
    <w:p w14:paraId="3D72C248">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7）交易所上市的股票，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00810D82">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8）期货、互换、期权等衍生金融工具，有活跃市场的交易，以最近交易日结算价或收盘价进行估值；无活跃市场的交易，按照第三方机构提供的估值数据或管理人认可的估值技术进行估值。</w:t>
      </w:r>
    </w:p>
    <w:p w14:paraId="72D37B4A">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9）若本产品存续期间持有其他投资品种，以管理人和托管人共同认可的方法估值。</w:t>
      </w:r>
    </w:p>
    <w:p w14:paraId="07FFEA82">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10）在任何情况下，如采用以上规定的方法对资产进行估值，均应被认为采用了适当的估值方法。但是，如果管理人或托管人认为按以上规定的方法对本产品资产进行估值不能客观反映其公允价值的，可协商一致后，变更其估值方式，并从协商一致日起执行。</w:t>
      </w:r>
    </w:p>
    <w:p w14:paraId="7B3C0631">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11）对于以上估值方法，相关法律法规以及监管部门有另行规定的，按照监管最新规定执行。若本产品存续期间持有其他投资品种，以管理人和托管人共同认可的方法计算其价值，如存在并可以确定公允价值的，以公允价值计算。公允价值不能确定的，根据监管最新规定采用管理人认可的估值技术进行估值。</w:t>
      </w:r>
    </w:p>
    <w:p w14:paraId="7734F129">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按照以上估值方法进行估值时，所造成的误差不作为理财产品估值错误处理。】</w:t>
      </w:r>
    </w:p>
    <w:p w14:paraId="629D005A">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4</w:t>
      </w:r>
      <w:r>
        <w:rPr>
          <w:rFonts w:hint="eastAsia" w:ascii="楷体_GB2312" w:eastAsia="楷体_GB2312" w:cs="楷体_GB2312"/>
          <w:color w:val="000000" w:themeColor="text1"/>
          <w:sz w:val="20"/>
          <w:szCs w:val="20"/>
          <w:highlight w:val="none"/>
          <w14:textFill>
            <w14:solidFill>
              <w14:schemeClr w14:val="tx1"/>
            </w14:solidFill>
          </w14:textFill>
        </w:rPr>
        <w:t>．估值</w:t>
      </w:r>
      <w:r>
        <w:rPr>
          <w:rFonts w:ascii="楷体_GB2312" w:eastAsia="楷体_GB2312" w:cs="楷体_GB2312"/>
          <w:color w:val="000000" w:themeColor="text1"/>
          <w:sz w:val="20"/>
          <w:szCs w:val="20"/>
          <w:highlight w:val="none"/>
          <w14:textFill>
            <w14:solidFill>
              <w14:schemeClr w14:val="tx1"/>
            </w14:solidFill>
          </w14:textFill>
        </w:rPr>
        <w:t>错误的</w:t>
      </w:r>
      <w:r>
        <w:rPr>
          <w:rFonts w:hint="eastAsia" w:ascii="楷体_GB2312" w:eastAsia="楷体_GB2312" w:cs="楷体_GB2312"/>
          <w:color w:val="000000" w:themeColor="text1"/>
          <w:sz w:val="20"/>
          <w:szCs w:val="20"/>
          <w:highlight w:val="none"/>
          <w14:textFill>
            <w14:solidFill>
              <w14:schemeClr w14:val="tx1"/>
            </w14:solidFill>
          </w14:textFill>
        </w:rPr>
        <w:t>处理</w:t>
      </w:r>
    </w:p>
    <w:p w14:paraId="2F6A4007">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本产品管理人和托管人将采取必要、适当合理的措施确保资产估值的准确性、及时性。当单位净值出现错误时，本产品管理人和托管人应当立即予以纠正，并采取合理的措施防止损失进一步扩大。</w:t>
      </w:r>
    </w:p>
    <w:p w14:paraId="1C7B022E">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w:t>
      </w:r>
      <w:r>
        <w:rPr>
          <w:rFonts w:ascii="楷体_GB2312" w:eastAsia="楷体_GB2312"/>
          <w:color w:val="000000" w:themeColor="text1"/>
          <w:sz w:val="20"/>
          <w:szCs w:val="20"/>
          <w:highlight w:val="none"/>
          <w14:textFill>
            <w14:solidFill>
              <w14:schemeClr w14:val="tx1"/>
            </w14:solidFill>
          </w14:textFill>
        </w:rPr>
        <w:t>1）估值错误处理原则</w:t>
      </w:r>
    </w:p>
    <w:p w14:paraId="7CC50BCC">
      <w:pPr>
        <w:spacing w:line="300" w:lineRule="exact"/>
        <w:ind w:firstLine="400" w:firstLineChars="200"/>
        <w:jc w:val="both"/>
        <w:rPr>
          <w:rFonts w:hint="eastAsia" w:ascii="楷体_GB2312" w:eastAsia="楷体_GB2312"/>
          <w:color w:val="000000" w:themeColor="text1"/>
          <w:sz w:val="20"/>
          <w:szCs w:val="20"/>
          <w:highlight w:val="none"/>
          <w:lang w:eastAsia="zh-CN"/>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A由于管理人或托管人自身的过错造成估值错误，导致投资者遭受损失的，由估值错误责任方按照各自过错程度对该估值错误导致投资者遭受的直接损失给予赔偿，承担赔偿责任</w:t>
      </w:r>
      <w:r>
        <w:rPr>
          <w:rFonts w:hint="eastAsia" w:ascii="楷体_GB2312" w:eastAsia="楷体_GB2312"/>
          <w:color w:val="000000" w:themeColor="text1"/>
          <w:sz w:val="20"/>
          <w:szCs w:val="20"/>
          <w:highlight w:val="none"/>
          <w:lang w:eastAsia="zh-CN"/>
          <w14:textFill>
            <w14:solidFill>
              <w14:schemeClr w14:val="tx1"/>
            </w14:solidFill>
          </w14:textFill>
        </w:rPr>
        <w:t>；</w:t>
      </w:r>
    </w:p>
    <w:p w14:paraId="33DA3F4A">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B对于因技术原因引起的差错，若系同行业现有技术水平无法预见、无法避免、无法抗拒，属不可抗力。因不可抗力原因出现差错的当事人不对投资者承担赔偿责任，但应当积极采取必要措施消除差错带来的影响</w:t>
      </w:r>
      <w:r>
        <w:rPr>
          <w:rFonts w:hint="eastAsia" w:ascii="楷体_GB2312" w:eastAsia="楷体_GB2312"/>
          <w:color w:val="000000" w:themeColor="text1"/>
          <w:sz w:val="20"/>
          <w:szCs w:val="20"/>
          <w:highlight w:val="none"/>
          <w:lang w:eastAsia="zh-CN"/>
          <w14:textFill>
            <w14:solidFill>
              <w14:schemeClr w14:val="tx1"/>
            </w14:solidFill>
          </w14:textFill>
        </w:rPr>
        <w:t>；</w:t>
      </w:r>
    </w:p>
    <w:p w14:paraId="27E96E48">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C因托管人估值错误造成财产损失时，管理人应向托管人追偿。若管理人和托管人之外的第三方估值差错造成财产的损失，并拒绝进行赔偿时，理财产品由管理人负责向差错方追偿；追偿过程中产生的有关费用，应列入理财产品费用，由理财产品承担</w:t>
      </w:r>
      <w:r>
        <w:rPr>
          <w:rFonts w:hint="eastAsia" w:ascii="楷体_GB2312" w:eastAsia="楷体_GB2312"/>
          <w:color w:val="000000" w:themeColor="text1"/>
          <w:sz w:val="20"/>
          <w:szCs w:val="20"/>
          <w:highlight w:val="none"/>
          <w:lang w:eastAsia="zh-CN"/>
          <w14:textFill>
            <w14:solidFill>
              <w14:schemeClr w14:val="tx1"/>
            </w14:solidFill>
          </w14:textFill>
        </w:rPr>
        <w:t>；</w:t>
      </w:r>
    </w:p>
    <w:p w14:paraId="69357690">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D当估值出现错误时，因估值错误而获得不当得利的投资者负有及时返还不当得利的义务</w:t>
      </w:r>
      <w:r>
        <w:rPr>
          <w:rFonts w:hint="eastAsia" w:ascii="楷体_GB2312" w:eastAsia="楷体_GB2312"/>
          <w:color w:val="000000" w:themeColor="text1"/>
          <w:sz w:val="20"/>
          <w:szCs w:val="20"/>
          <w:highlight w:val="none"/>
          <w:lang w:eastAsia="zh-CN"/>
          <w14:textFill>
            <w14:solidFill>
              <w14:schemeClr w14:val="tx1"/>
            </w14:solidFill>
          </w14:textFill>
        </w:rPr>
        <w:t>；</w:t>
      </w:r>
    </w:p>
    <w:p w14:paraId="64FD212D">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E按法律法规规定的其他原则处理估值错误。</w:t>
      </w:r>
    </w:p>
    <w:p w14:paraId="4592E6DC">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w:t>
      </w:r>
      <w:r>
        <w:rPr>
          <w:rFonts w:ascii="楷体_GB2312" w:eastAsia="楷体_GB2312"/>
          <w:color w:val="000000" w:themeColor="text1"/>
          <w:sz w:val="20"/>
          <w:szCs w:val="20"/>
          <w:highlight w:val="none"/>
          <w14:textFill>
            <w14:solidFill>
              <w14:schemeClr w14:val="tx1"/>
            </w14:solidFill>
          </w14:textFill>
        </w:rPr>
        <w:t>2）估值错误处理程序</w:t>
      </w:r>
    </w:p>
    <w:p w14:paraId="6B341742">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估值错误被发现后，管理人和托管人应当及时进行处理，处理的程序如下：</w:t>
      </w:r>
    </w:p>
    <w:p w14:paraId="3FE94B64">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A查明估值错误发生的原因，列明所有的管理人和托管人并根据估值错误发生的原因确定估值错误的责任方；</w:t>
      </w:r>
    </w:p>
    <w:p w14:paraId="28641551">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B根据估值错误处理原则对因估值错误造成的损失进行评估；</w:t>
      </w:r>
    </w:p>
    <w:p w14:paraId="22864E68">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C根据管理人和托管人协商的方法，由管理人和托管人共同进行更正，由估值错误的责任方进行赔偿损失。</w:t>
      </w:r>
    </w:p>
    <w:p w14:paraId="3B0FEF21">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5</w:t>
      </w:r>
      <w:r>
        <w:rPr>
          <w:rFonts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olor w:val="000000" w:themeColor="text1"/>
          <w:sz w:val="20"/>
          <w:szCs w:val="20"/>
          <w:highlight w:val="none"/>
          <w14:textFill>
            <w14:solidFill>
              <w14:schemeClr w14:val="tx1"/>
            </w14:solidFill>
          </w14:textFill>
        </w:rPr>
        <w:t>特殊情况的处理</w:t>
      </w:r>
    </w:p>
    <w:p w14:paraId="4658833C">
      <w:pPr>
        <w:spacing w:line="300" w:lineRule="exact"/>
        <w:ind w:firstLine="400" w:firstLineChars="200"/>
        <w:jc w:val="both"/>
        <w:rPr>
          <w:rFonts w:hint="eastAsia" w:ascii="楷体_GB2312" w:eastAsia="楷体_GB2312"/>
          <w:color w:val="000000" w:themeColor="text1"/>
          <w:sz w:val="20"/>
          <w:szCs w:val="20"/>
          <w:highlight w:val="none"/>
          <w:lang w:eastAsia="zh-CN"/>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w:t>
      </w:r>
      <w:r>
        <w:rPr>
          <w:rFonts w:ascii="楷体_GB2312" w:eastAsia="楷体_GB2312"/>
          <w:color w:val="000000" w:themeColor="text1"/>
          <w:sz w:val="20"/>
          <w:szCs w:val="20"/>
          <w:highlight w:val="none"/>
          <w14:textFill>
            <w14:solidFill>
              <w14:schemeClr w14:val="tx1"/>
            </w14:solidFill>
          </w14:textFill>
        </w:rPr>
        <w:t>1）由于不可抗力原因，或由于证券交易所、期货交易所、第三方估值机构、信托公司、基金公司等发送数据错误等非管理人和托管人原因，管理人和托管人虽然已经采取必要、适当、合理的措施进行检查，但未能发现错误的，由此造成的估值错误，管理人和托管人免除赔偿责任。但管理人、托管人应当积极采取必要的措施减轻或消除由此造成的影响</w:t>
      </w:r>
      <w:r>
        <w:rPr>
          <w:rFonts w:hint="eastAsia" w:ascii="楷体_GB2312" w:eastAsia="楷体_GB2312"/>
          <w:color w:val="000000" w:themeColor="text1"/>
          <w:sz w:val="20"/>
          <w:szCs w:val="20"/>
          <w:highlight w:val="none"/>
          <w:lang w:eastAsia="zh-CN"/>
          <w14:textFill>
            <w14:solidFill>
              <w14:schemeClr w14:val="tx1"/>
            </w14:solidFill>
          </w14:textFill>
        </w:rPr>
        <w:t>；</w:t>
      </w:r>
    </w:p>
    <w:p w14:paraId="445628C5">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w:t>
      </w:r>
      <w:r>
        <w:rPr>
          <w:rFonts w:ascii="楷体_GB2312" w:eastAsia="楷体_GB2312"/>
          <w:color w:val="000000" w:themeColor="text1"/>
          <w:sz w:val="20"/>
          <w:szCs w:val="20"/>
          <w:highlight w:val="none"/>
          <w14:textFill>
            <w14:solidFill>
              <w14:schemeClr w14:val="tx1"/>
            </w14:solidFill>
          </w14:textFill>
        </w:rPr>
        <w:t>2）前述内容如法律法规、监管机关另有规定的，或有关会计准则发生变化等，按照国家最新规定或管理人最新约定估值。如果行业另有通行做法，管理人和托管人本着平等和保护投资者的原则进行协商。</w:t>
      </w:r>
    </w:p>
    <w:p w14:paraId="4245028A">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lang w:val="en-US" w:eastAsia="zh-CN"/>
          <w14:textFill>
            <w14:solidFill>
              <w14:schemeClr w14:val="tx1"/>
            </w14:solidFill>
          </w14:textFill>
        </w:rPr>
        <w:t>6</w:t>
      </w:r>
      <w:r>
        <w:rPr>
          <w:rFonts w:ascii="楷体_GB2312" w:eastAsia="楷体_GB2312"/>
          <w:color w:val="000000" w:themeColor="text1"/>
          <w:sz w:val="20"/>
          <w:szCs w:val="20"/>
          <w:highlight w:val="none"/>
          <w14:textFill>
            <w14:solidFill>
              <w14:schemeClr w14:val="tx1"/>
            </w14:solidFill>
          </w14:textFill>
        </w:rPr>
        <w:t>．暂停估值的情形</w:t>
      </w:r>
    </w:p>
    <w:p w14:paraId="38FD466B">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1）</w:t>
      </w:r>
      <w:r>
        <w:rPr>
          <w:rFonts w:hint="eastAsia" w:ascii="楷体_GB2312" w:eastAsia="楷体_GB2312" w:cs="楷体_GB2312"/>
          <w:color w:val="000000" w:themeColor="text1"/>
          <w:sz w:val="20"/>
          <w:szCs w:val="20"/>
          <w:highlight w:val="none"/>
          <w14:textFill>
            <w14:solidFill>
              <w14:schemeClr w14:val="tx1"/>
            </w14:solidFill>
          </w14:textFill>
        </w:rPr>
        <w:t>当资产估值因不可抗力或其他情形致使本产品管理人和托管人无法准确评估资产价值时；</w:t>
      </w:r>
    </w:p>
    <w:p w14:paraId="7EEBFA2C">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2）理财产品投资所涉及的交易市场遇法定节假日或因其他原因暂停营业时；</w:t>
      </w:r>
    </w:p>
    <w:p w14:paraId="1C1F666E">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3）</w:t>
      </w:r>
      <w:r>
        <w:rPr>
          <w:rFonts w:hint="eastAsia" w:ascii="楷体_GB2312" w:eastAsia="楷体_GB2312" w:cs="楷体_GB2312"/>
          <w:color w:val="000000" w:themeColor="text1"/>
          <w:sz w:val="20"/>
          <w:szCs w:val="20"/>
          <w:highlight w:val="none"/>
          <w14:textFill>
            <w14:solidFill>
              <w14:schemeClr w14:val="tx1"/>
            </w14:solidFill>
          </w14:textFill>
        </w:rPr>
        <w:t>理财</w:t>
      </w:r>
      <w:r>
        <w:rPr>
          <w:rFonts w:ascii="楷体_GB2312" w:eastAsia="楷体_GB2312" w:cs="楷体_GB2312"/>
          <w:color w:val="000000" w:themeColor="text1"/>
          <w:sz w:val="20"/>
          <w:szCs w:val="20"/>
          <w:highlight w:val="none"/>
          <w14:textFill>
            <w14:solidFill>
              <w14:schemeClr w14:val="tx1"/>
            </w14:solidFill>
          </w14:textFill>
        </w:rPr>
        <w:t>产品投资的其他</w:t>
      </w:r>
      <w:r>
        <w:rPr>
          <w:rFonts w:hint="eastAsia" w:ascii="楷体_GB2312" w:eastAsia="楷体_GB2312" w:cs="楷体_GB2312"/>
          <w:color w:val="000000" w:themeColor="text1"/>
          <w:sz w:val="20"/>
          <w:szCs w:val="20"/>
          <w:highlight w:val="none"/>
          <w14:textFill>
            <w14:solidFill>
              <w14:schemeClr w14:val="tx1"/>
            </w14:solidFill>
          </w14:textFill>
        </w:rPr>
        <w:t>资产</w:t>
      </w:r>
      <w:r>
        <w:rPr>
          <w:rFonts w:ascii="楷体_GB2312" w:eastAsia="楷体_GB2312" w:cs="楷体_GB2312"/>
          <w:color w:val="000000" w:themeColor="text1"/>
          <w:sz w:val="20"/>
          <w:szCs w:val="20"/>
          <w:highlight w:val="none"/>
          <w14:textFill>
            <w14:solidFill>
              <w14:schemeClr w14:val="tx1"/>
            </w14:solidFill>
          </w14:textFill>
        </w:rPr>
        <w:t>产品合同约定暂停估值或无法估值的情形发生，导致理财产品无法估值时；</w:t>
      </w:r>
    </w:p>
    <w:p w14:paraId="2A13D4F6">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4）</w:t>
      </w:r>
      <w:r>
        <w:rPr>
          <w:rFonts w:hint="eastAsia" w:ascii="楷体_GB2312" w:eastAsia="楷体_GB2312" w:cs="楷体_GB2312"/>
          <w:color w:val="000000" w:themeColor="text1"/>
          <w:sz w:val="20"/>
          <w:szCs w:val="20"/>
          <w:highlight w:val="none"/>
          <w14:textFill>
            <w14:solidFill>
              <w14:schemeClr w14:val="tx1"/>
            </w14:solidFill>
          </w14:textFill>
        </w:rPr>
        <w:t>产品在前一估值日内，产品资产净值</w:t>
      </w:r>
      <w:r>
        <w:rPr>
          <w:rFonts w:ascii="楷体_GB2312" w:eastAsia="楷体_GB2312" w:cs="楷体_GB2312"/>
          <w:color w:val="000000" w:themeColor="text1"/>
          <w:sz w:val="20"/>
          <w:szCs w:val="20"/>
          <w:highlight w:val="none"/>
          <w14:textFill>
            <w14:solidFill>
              <w14:schemeClr w14:val="tx1"/>
            </w14:solidFill>
          </w14:textFill>
        </w:rPr>
        <w:t>50%以上的资产不具备活跃交易市场或者在活跃市场中无报价，且不能采用估值技术可靠计量公允价值的</w:t>
      </w:r>
      <w:r>
        <w:rPr>
          <w:rFonts w:hint="eastAsia" w:ascii="楷体_GB2312" w:eastAsia="楷体_GB2312" w:cs="楷体_GB2312"/>
          <w:color w:val="000000" w:themeColor="text1"/>
          <w:sz w:val="20"/>
          <w:szCs w:val="20"/>
          <w:highlight w:val="none"/>
          <w14:textFill>
            <w14:solidFill>
              <w14:schemeClr w14:val="tx1"/>
            </w14:solidFill>
          </w14:textFill>
        </w:rPr>
        <w:t>；</w:t>
      </w:r>
    </w:p>
    <w:p w14:paraId="2B9D9F2A">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（5</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国务院银行业监督管理机构认定的其他情形或理财</w:t>
      </w:r>
      <w:r>
        <w:rPr>
          <w:rFonts w:ascii="楷体_GB2312" w:eastAsia="楷体_GB2312" w:cs="楷体_GB2312"/>
          <w:color w:val="000000" w:themeColor="text1"/>
          <w:sz w:val="20"/>
          <w:szCs w:val="20"/>
          <w:highlight w:val="none"/>
          <w14:textFill>
            <w14:solidFill>
              <w14:schemeClr w14:val="tx1"/>
            </w14:solidFill>
          </w14:textFill>
        </w:rPr>
        <w:t>产品管理人、托管人有合理理由认为将影响本理财产品估值的其他情形</w:t>
      </w:r>
      <w:r>
        <w:rPr>
          <w:rFonts w:hint="eastAsia" w:ascii="楷体_GB2312" w:eastAsia="楷体_GB2312" w:cs="楷体_GB2312"/>
          <w:color w:val="000000" w:themeColor="text1"/>
          <w:sz w:val="20"/>
          <w:szCs w:val="20"/>
          <w:highlight w:val="none"/>
          <w14:textFill>
            <w14:solidFill>
              <w14:schemeClr w14:val="tx1"/>
            </w14:solidFill>
          </w14:textFill>
        </w:rPr>
        <w:t>。</w:t>
      </w:r>
    </w:p>
    <w:p w14:paraId="0AE9B872">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遇以上情形，管理人可暂停本产品估值直至另行通知。</w:t>
      </w:r>
    </w:p>
    <w:p w14:paraId="4BB21A48">
      <w:pPr>
        <w:snapToGrid w:val="0"/>
        <w:spacing w:line="300" w:lineRule="exact"/>
        <w:ind w:right="53" w:rightChars="22"/>
        <w:outlineLvl w:val="0"/>
        <w:rPr>
          <w:rFonts w:ascii="楷体_GB2312" w:eastAsia="楷体_GB2312"/>
          <w:color w:val="000000" w:themeColor="text1"/>
          <w:sz w:val="20"/>
          <w:szCs w:val="20"/>
          <w:highlight w:val="none"/>
          <w14:textFill>
            <w14:solidFill>
              <w14:schemeClr w14:val="tx1"/>
            </w14:solidFill>
          </w14:textFill>
        </w:rPr>
      </w:pPr>
    </w:p>
    <w:p w14:paraId="290C603E">
      <w:pPr>
        <w:spacing w:line="300" w:lineRule="exact"/>
        <w:ind w:left="-2" w:leftChars="-1" w:right="36" w:rightChars="15"/>
        <w:rPr>
          <w:color w:val="000000" w:themeColor="text1"/>
          <w:highlight w:val="none"/>
          <w14:textFill>
            <w14:solidFill>
              <w14:schemeClr w14:val="tx1"/>
            </w14:solidFill>
          </w14:textFill>
        </w:rPr>
      </w:pPr>
      <w:r>
        <w:rPr>
          <w:rFonts w:hint="eastAsia" w:ascii="黑体" w:hAnsi="Times New Roman" w:eastAsia="黑体" w:cs="黑体"/>
          <w:color w:val="000000" w:themeColor="text1"/>
          <w:sz w:val="20"/>
          <w:szCs w:val="20"/>
          <w:highlight w:val="none"/>
          <w14:textFill>
            <w14:solidFill>
              <w14:schemeClr w14:val="tx1"/>
            </w14:solidFill>
          </w14:textFill>
        </w:rPr>
        <w:t>十一、产品不成立</w:t>
      </w:r>
    </w:p>
    <w:p w14:paraId="263C0188">
      <w:pPr>
        <w:spacing w:line="300" w:lineRule="exact"/>
        <w:ind w:firstLine="400" w:firstLineChars="200"/>
        <w:jc w:val="both"/>
        <w:rPr>
          <w:color w:val="000000" w:themeColor="text1"/>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1．</w:t>
      </w:r>
      <w:r>
        <w:rPr>
          <w:rFonts w:hint="eastAsia" w:ascii="楷体_GB2312" w:eastAsia="楷体_GB2312" w:cs="楷体_GB2312"/>
          <w:color w:val="000000" w:themeColor="text1"/>
          <w:sz w:val="20"/>
          <w:szCs w:val="20"/>
          <w:highlight w:val="none"/>
          <w14:textFill>
            <w14:solidFill>
              <w14:schemeClr w14:val="tx1"/>
            </w14:solidFill>
          </w14:textFill>
        </w:rPr>
        <w:t>如遇国家法律法规或监管政策出现重大调整，或者市场、拟投资标的等</w:t>
      </w:r>
      <w:r>
        <w:rPr>
          <w:rFonts w:ascii="楷体_GB2312" w:eastAsia="楷体_GB2312" w:cs="楷体_GB2312"/>
          <w:color w:val="000000" w:themeColor="text1"/>
          <w:sz w:val="20"/>
          <w:szCs w:val="20"/>
          <w:highlight w:val="none"/>
          <w14:textFill>
            <w14:solidFill>
              <w14:schemeClr w14:val="tx1"/>
            </w14:solidFill>
          </w14:textFill>
        </w:rPr>
        <w:t>情况</w:t>
      </w:r>
      <w:r>
        <w:rPr>
          <w:rFonts w:hint="eastAsia" w:ascii="楷体_GB2312" w:eastAsia="楷体_GB2312" w:cs="楷体_GB2312"/>
          <w:color w:val="000000" w:themeColor="text1"/>
          <w:sz w:val="20"/>
          <w:szCs w:val="20"/>
          <w:highlight w:val="none"/>
          <w14:textFill>
            <w14:solidFill>
              <w14:schemeClr w14:val="tx1"/>
            </w14:solidFill>
          </w14:textFill>
        </w:rPr>
        <w:t>出现重大变化，影响到本产品的正常成立时，信银理财有权宣布产品不成立。</w:t>
      </w:r>
    </w:p>
    <w:p w14:paraId="603127AD">
      <w:pPr>
        <w:spacing w:line="300" w:lineRule="exact"/>
        <w:ind w:firstLine="400" w:firstLineChars="200"/>
        <w:jc w:val="both"/>
        <w:rPr>
          <w:rFonts w:ascii="Times New Roman" w:hAnsi="Times New Roman"/>
          <w:b/>
          <w:bCs/>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2．</w:t>
      </w:r>
      <w:r>
        <w:rPr>
          <w:rFonts w:hint="eastAsia" w:ascii="楷体_GB2312" w:eastAsia="楷体_GB2312" w:cs="楷体_GB2312"/>
          <w:color w:val="000000" w:themeColor="text1"/>
          <w:sz w:val="20"/>
          <w:szCs w:val="20"/>
          <w:highlight w:val="none"/>
          <w14:textFill>
            <w14:solidFill>
              <w14:schemeClr w14:val="tx1"/>
            </w14:solidFill>
          </w14:textFill>
        </w:rPr>
        <w:t>信银理财将于决定理财产品不成立后的【2】个工作日内</w:t>
      </w:r>
      <w:r>
        <w:rPr>
          <w:rFonts w:ascii="楷体_GB2312" w:eastAsia="楷体_GB2312" w:cs="楷体_GB2312"/>
          <w:color w:val="000000" w:themeColor="text1"/>
          <w:sz w:val="20"/>
          <w:szCs w:val="20"/>
          <w:highlight w:val="none"/>
          <w14:textFill>
            <w14:solidFill>
              <w14:schemeClr w14:val="tx1"/>
            </w14:solidFill>
          </w14:textFill>
        </w:rPr>
        <w:t>通知投资者</w:t>
      </w:r>
      <w:r>
        <w:rPr>
          <w:rFonts w:hint="eastAsia" w:ascii="楷体_GB2312" w:eastAsia="楷体_GB2312" w:cs="楷体_GB2312"/>
          <w:color w:val="000000" w:themeColor="text1"/>
          <w:sz w:val="20"/>
          <w:szCs w:val="20"/>
          <w:highlight w:val="none"/>
          <w14:textFill>
            <w14:solidFill>
              <w14:schemeClr w14:val="tx1"/>
            </w14:solidFill>
          </w14:textFill>
        </w:rPr>
        <w:t>。如信银理财通知产品不成立，将于通知产品不成立之日起【2】个工作日内返还投资者本金（</w:t>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扣款日至本金返还日期间是否计付利息以及利息计付规则以销售机构为准</w:t>
      </w:r>
      <w:r>
        <w:rPr>
          <w:rFonts w:hint="eastAsia" w:ascii="楷体_GB2312" w:eastAsia="楷体_GB2312" w:cs="楷体_GB2312"/>
          <w:color w:val="000000" w:themeColor="text1"/>
          <w:sz w:val="20"/>
          <w:szCs w:val="20"/>
          <w:highlight w:val="none"/>
          <w14:textFill>
            <w14:solidFill>
              <w14:schemeClr w14:val="tx1"/>
            </w14:solidFill>
          </w14:textFill>
        </w:rPr>
        <w:t>）。投资者通过代销机构渠道购买理财产品的，投资者本金划转至投资者账户的时间以代销机构的清算时间为准。</w:t>
      </w:r>
      <w:r>
        <w:rPr>
          <w:rFonts w:ascii="Times New Roman" w:hAnsi="Times New Roman"/>
          <w:b/>
          <w:bCs/>
          <w:color w:val="000000" w:themeColor="text1"/>
          <w:sz w:val="20"/>
          <w:szCs w:val="20"/>
          <w:highlight w:val="none"/>
          <w14:textFill>
            <w14:solidFill>
              <w14:schemeClr w14:val="tx1"/>
            </w14:solidFill>
          </w14:textFill>
        </w:rPr>
        <w:t> </w:t>
      </w:r>
    </w:p>
    <w:p w14:paraId="1B429A34">
      <w:pPr>
        <w:spacing w:line="300" w:lineRule="exact"/>
        <w:ind w:left="-2" w:leftChars="-1" w:right="36" w:rightChars="15" w:firstLine="480" w:firstLineChars="200"/>
        <w:jc w:val="both"/>
        <w:rPr>
          <w:color w:val="000000" w:themeColor="text1"/>
          <w:highlight w:val="none"/>
          <w14:textFill>
            <w14:solidFill>
              <w14:schemeClr w14:val="tx1"/>
            </w14:solidFill>
          </w14:textFill>
        </w:rPr>
      </w:pPr>
    </w:p>
    <w:p w14:paraId="41AC4CF7">
      <w:pPr>
        <w:snapToGrid w:val="0"/>
        <w:ind w:left="-2" w:leftChars="-1" w:right="53" w:rightChars="22"/>
        <w:outlineLvl w:val="0"/>
        <w:rPr>
          <w:color w:val="000000" w:themeColor="text1"/>
          <w:highlight w:val="none"/>
          <w14:textFill>
            <w14:solidFill>
              <w14:schemeClr w14:val="tx1"/>
            </w14:solidFill>
          </w14:textFill>
        </w:rPr>
      </w:pPr>
      <w:r>
        <w:rPr>
          <w:rFonts w:hint="eastAsia" w:ascii="黑体" w:hAnsi="Times New Roman" w:eastAsia="黑体" w:cs="黑体"/>
          <w:color w:val="000000" w:themeColor="text1"/>
          <w:sz w:val="20"/>
          <w:szCs w:val="20"/>
          <w:highlight w:val="none"/>
          <w14:textFill>
            <w14:solidFill>
              <w14:schemeClr w14:val="tx1"/>
            </w14:solidFill>
          </w14:textFill>
        </w:rPr>
        <w:t>十二、产品的提前终止</w:t>
      </w:r>
    </w:p>
    <w:p w14:paraId="096F570D">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1．</w:t>
      </w:r>
      <w:r>
        <w:rPr>
          <w:rFonts w:hint="eastAsia" w:ascii="楷体_GB2312" w:eastAsia="楷体_GB2312" w:cs="楷体_GB2312"/>
          <w:color w:val="000000" w:themeColor="text1"/>
          <w:sz w:val="20"/>
          <w:szCs w:val="20"/>
          <w:highlight w:val="none"/>
          <w14:textFill>
            <w14:solidFill>
              <w14:schemeClr w14:val="tx1"/>
            </w14:solidFill>
          </w14:textFill>
        </w:rPr>
        <w:t>本理财产品存续期内，投资者无权单方面主动决定终止本理财产品。为保护投资者利益，理财产品管理人有权按照本理财产品资金运作的实际情况，主动终止本理财产品。理财产品管理人提前终止本理财产品的原因包括但不限于：</w:t>
      </w:r>
    </w:p>
    <w:p w14:paraId="09F229B9">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（1）遇不可</w:t>
      </w:r>
      <w:r>
        <w:rPr>
          <w:rFonts w:ascii="楷体_GB2312" w:eastAsia="楷体_GB2312" w:cs="楷体_GB2312"/>
          <w:color w:val="000000" w:themeColor="text1"/>
          <w:sz w:val="20"/>
          <w:szCs w:val="20"/>
          <w:highlight w:val="none"/>
          <w14:textFill>
            <w14:solidFill>
              <w14:schemeClr w14:val="tx1"/>
            </w14:solidFill>
          </w14:textFill>
        </w:rPr>
        <w:t>抗力事件</w:t>
      </w: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法律法规</w:t>
      </w:r>
      <w:r>
        <w:rPr>
          <w:rFonts w:hint="eastAsia" w:ascii="楷体_GB2312" w:eastAsia="楷体_GB2312" w:cs="楷体_GB2312"/>
          <w:color w:val="000000" w:themeColor="text1"/>
          <w:sz w:val="20"/>
          <w:szCs w:val="20"/>
          <w:highlight w:val="none"/>
          <w14:textFill>
            <w14:solidFill>
              <w14:schemeClr w14:val="tx1"/>
            </w14:solidFill>
          </w14:textFill>
        </w:rPr>
        <w:t>规定、</w:t>
      </w:r>
      <w:r>
        <w:rPr>
          <w:rFonts w:ascii="楷体_GB2312" w:eastAsia="楷体_GB2312" w:cs="楷体_GB2312"/>
          <w:color w:val="000000" w:themeColor="text1"/>
          <w:sz w:val="20"/>
          <w:szCs w:val="20"/>
          <w:highlight w:val="none"/>
          <w14:textFill>
            <w14:solidFill>
              <w14:schemeClr w14:val="tx1"/>
            </w14:solidFill>
          </w14:textFill>
        </w:rPr>
        <w:t>国家有权机关强制要求等原因导致理财产品无法继续存续</w:t>
      </w:r>
      <w:r>
        <w:rPr>
          <w:rFonts w:hint="eastAsia" w:ascii="楷体_GB2312" w:eastAsia="楷体_GB2312" w:cs="楷体_GB2312"/>
          <w:color w:val="000000" w:themeColor="text1"/>
          <w:sz w:val="20"/>
          <w:szCs w:val="20"/>
          <w:highlight w:val="none"/>
          <w14:textFill>
            <w14:solidFill>
              <w14:schemeClr w14:val="tx1"/>
            </w14:solidFill>
          </w14:textFill>
        </w:rPr>
        <w:t>的；</w:t>
      </w:r>
    </w:p>
    <w:p w14:paraId="367A65E3">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（2）遇国家金融政策出现重大调整，或本产品所投资资产市场价格大幅下滑，或信银理财认为将</w:t>
      </w:r>
      <w:r>
        <w:rPr>
          <w:rFonts w:ascii="楷体_GB2312" w:eastAsia="楷体_GB2312" w:cs="楷体_GB2312"/>
          <w:color w:val="000000" w:themeColor="text1"/>
          <w:sz w:val="20"/>
          <w:szCs w:val="20"/>
          <w:highlight w:val="none"/>
          <w14:textFill>
            <w14:solidFill>
              <w14:schemeClr w14:val="tx1"/>
            </w14:solidFill>
          </w14:textFill>
        </w:rPr>
        <w:t>影响理财产品正常运作</w:t>
      </w:r>
      <w:r>
        <w:rPr>
          <w:rFonts w:hint="eastAsia" w:ascii="楷体_GB2312" w:eastAsia="楷体_GB2312" w:cs="楷体_GB2312"/>
          <w:color w:val="000000" w:themeColor="text1"/>
          <w:sz w:val="20"/>
          <w:szCs w:val="20"/>
          <w:highlight w:val="none"/>
          <w14:textFill>
            <w14:solidFill>
              <w14:schemeClr w14:val="tx1"/>
            </w14:solidFill>
          </w14:textFill>
        </w:rPr>
        <w:t>、需要提前终止本产品的其他情形的；</w:t>
      </w:r>
    </w:p>
    <w:p w14:paraId="378ADBAE">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（3）本产品所投资资产的信用状况发生恶化，信银理财合理判断可能影响到期正常兑付时；</w:t>
      </w:r>
    </w:p>
    <w:p w14:paraId="6B30C8B2">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（4）因投资者理财资金被有权机关扣划等原因导致理财产品剩余资产无法满足相关法律法规规定、所投资市场要求或协议等相关法律文件约定，或者继续存续无法实现投资目的；</w:t>
      </w:r>
    </w:p>
    <w:p w14:paraId="554813F8">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（5）因相关投资管理机构解散、破产、撤销、被取消业务资格等原因无法继续履行相应职责导致产品无法继续运作；</w:t>
      </w:r>
    </w:p>
    <w:p w14:paraId="4DBA24BE">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（6）相关投资管理机构或运用理财资金的第三方主体实施符合法律法规规定或协议等相关文件约定的行为导致理财产品被动提前终止；</w:t>
      </w:r>
    </w:p>
    <w:p w14:paraId="5AADB57C">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（7）提前终止产品比维持产品运作更有利于保护产品持有人的权益；</w:t>
      </w:r>
    </w:p>
    <w:p w14:paraId="32E33628">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（8）法律法规规定或监管部门认定的其他情形。</w:t>
      </w:r>
    </w:p>
    <w:p w14:paraId="35B2295A">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2</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如果信银理财提前终止本理财产品，信银理财将于提前终止日前【2】个工作日通知投资者，并在提前终止日后【5】个工作日内支付投资者应得</w:t>
      </w:r>
      <w:r>
        <w:rPr>
          <w:rFonts w:ascii="楷体_GB2312" w:eastAsia="楷体_GB2312" w:cs="楷体_GB2312"/>
          <w:color w:val="000000" w:themeColor="text1"/>
          <w:sz w:val="20"/>
          <w:szCs w:val="20"/>
          <w:highlight w:val="none"/>
          <w14:textFill>
            <w14:solidFill>
              <w14:schemeClr w14:val="tx1"/>
            </w14:solidFill>
          </w14:textFill>
        </w:rPr>
        <w:t>资金</w:t>
      </w:r>
      <w:r>
        <w:rPr>
          <w:rFonts w:hint="eastAsia" w:ascii="楷体_GB2312" w:eastAsia="楷体_GB2312" w:cs="楷体_GB2312"/>
          <w:color w:val="000000" w:themeColor="text1"/>
          <w:sz w:val="20"/>
          <w:szCs w:val="20"/>
          <w:highlight w:val="none"/>
          <w14:textFill>
            <w14:solidFill>
              <w14:schemeClr w14:val="tx1"/>
            </w14:solidFill>
          </w14:textFill>
        </w:rPr>
        <w:t>。投资者通过</w:t>
      </w:r>
      <w:r>
        <w:rPr>
          <w:rFonts w:ascii="楷体_GB2312" w:eastAsia="楷体_GB2312" w:cs="楷体_GB2312"/>
          <w:color w:val="000000" w:themeColor="text1"/>
          <w:sz w:val="20"/>
          <w:szCs w:val="20"/>
          <w:highlight w:val="none"/>
          <w14:textFill>
            <w14:solidFill>
              <w14:schemeClr w14:val="tx1"/>
            </w14:solidFill>
          </w14:textFill>
        </w:rPr>
        <w:t>代销机构购买本理财产品的</w:t>
      </w:r>
      <w:r>
        <w:rPr>
          <w:rFonts w:hint="eastAsia" w:ascii="楷体_GB2312" w:eastAsia="楷体_GB2312" w:cs="楷体_GB2312"/>
          <w:color w:val="000000" w:themeColor="text1"/>
          <w:sz w:val="20"/>
          <w:szCs w:val="20"/>
          <w:highlight w:val="none"/>
          <w14:textFill>
            <w14:solidFill>
              <w14:schemeClr w14:val="tx1"/>
            </w14:solidFill>
          </w14:textFill>
        </w:rPr>
        <w:t>，理财资金划转至投资者账户的时间以该代销机构的清算时间为准。若产品提前终止，产品到期日相应调整为提前终止日。</w:t>
      </w:r>
    </w:p>
    <w:p w14:paraId="31556A57">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3</w:t>
      </w:r>
      <w:r>
        <w:rPr>
          <w:rFonts w:ascii="楷体_GB2312" w:eastAsia="楷体_GB2312" w:cs="楷体_GB2312"/>
          <w:color w:val="000000" w:themeColor="text1"/>
          <w:sz w:val="20"/>
          <w:szCs w:val="20"/>
          <w:highlight w:val="none"/>
          <w14:textFill>
            <w14:solidFill>
              <w14:schemeClr w14:val="tx1"/>
            </w14:solidFill>
          </w14:textFill>
        </w:rPr>
        <w:t>．理财产品不因投资者死亡、丧失民事行为能力、破产而终止；投资者的法定继承人、承继人或指定受益人以及继任管理人承担本理财产品项下的相应权利和义务。</w:t>
      </w:r>
    </w:p>
    <w:p w14:paraId="69B8575F">
      <w:pPr>
        <w:snapToGrid w:val="0"/>
        <w:ind w:left="-2" w:leftChars="-1" w:right="53" w:rightChars="22" w:firstLine="480" w:firstLineChars="200"/>
        <w:jc w:val="both"/>
        <w:rPr>
          <w:color w:val="000000" w:themeColor="text1"/>
          <w:highlight w:val="none"/>
          <w14:textFill>
            <w14:solidFill>
              <w14:schemeClr w14:val="tx1"/>
            </w14:solidFill>
          </w14:textFill>
        </w:rPr>
      </w:pPr>
    </w:p>
    <w:p w14:paraId="2683AA10">
      <w:pPr>
        <w:snapToGrid w:val="0"/>
        <w:ind w:left="-2" w:leftChars="-1" w:right="53" w:rightChars="22"/>
        <w:outlineLvl w:val="0"/>
        <w:rPr>
          <w:color w:val="000000" w:themeColor="text1"/>
          <w:highlight w:val="none"/>
          <w14:textFill>
            <w14:solidFill>
              <w14:schemeClr w14:val="tx1"/>
            </w14:solidFill>
          </w14:textFill>
        </w:rPr>
      </w:pPr>
      <w:r>
        <w:rPr>
          <w:rFonts w:hint="eastAsia" w:ascii="黑体" w:hAnsi="Times New Roman" w:eastAsia="黑体" w:cs="黑体"/>
          <w:color w:val="000000" w:themeColor="text1"/>
          <w:sz w:val="20"/>
          <w:szCs w:val="20"/>
          <w:highlight w:val="none"/>
          <w14:textFill>
            <w14:solidFill>
              <w14:schemeClr w14:val="tx1"/>
            </w14:solidFill>
          </w14:textFill>
        </w:rPr>
        <w:t>十三、产品的延期清算</w:t>
      </w:r>
    </w:p>
    <w:p w14:paraId="2DC331DD">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如遇国家金融政策、监管政策、相关法律法规发生变化，或本产品所投资资产的市场发生重大市场波动，或融资方、资产发行人及交易方出现违约或未按约定偿还本息、或投资市场出现流动性不足、资产未能正常买卖结算或后续加入资金不足及其他情形导致投资资产不能及时变现，则信银理财有权将产品实际结算延长至相关投资资产变现或追偿处置完毕为止，产品管理人将尽快对相关资产进行变现，并将变现后的非现金类资产与原有现金类资产在扣除相关费用后向投资者分配。</w:t>
      </w:r>
    </w:p>
    <w:p w14:paraId="1F35428E">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 </w:t>
      </w:r>
    </w:p>
    <w:p w14:paraId="38030E3E">
      <w:pPr>
        <w:snapToGrid w:val="0"/>
        <w:ind w:left="-2" w:leftChars="-1" w:right="53" w:rightChars="22"/>
        <w:outlineLvl w:val="0"/>
        <w:rPr>
          <w:rFonts w:ascii="黑体" w:hAnsi="Times New Roman" w:eastAsia="黑体" w:cs="黑体"/>
          <w:b/>
          <w:color w:val="000000" w:themeColor="text1"/>
          <w:sz w:val="20"/>
          <w:szCs w:val="20"/>
          <w:highlight w:val="none"/>
          <w14:textFill>
            <w14:solidFill>
              <w14:schemeClr w14:val="tx1"/>
            </w14:solidFill>
          </w14:textFill>
        </w:rPr>
      </w:pPr>
      <w:r>
        <w:rPr>
          <w:rFonts w:hint="eastAsia" w:ascii="黑体" w:hAnsi="Times New Roman" w:eastAsia="黑体" w:cs="黑体"/>
          <w:b/>
          <w:color w:val="000000" w:themeColor="text1"/>
          <w:sz w:val="20"/>
          <w:szCs w:val="20"/>
          <w:highlight w:val="none"/>
          <w14:textFill>
            <w14:solidFill>
              <w14:schemeClr w14:val="tx1"/>
            </w14:solidFill>
          </w14:textFill>
        </w:rPr>
        <w:t>十四、产品管理人与投资者权利义务</w:t>
      </w:r>
    </w:p>
    <w:p w14:paraId="7829DCB7">
      <w:pPr>
        <w:snapToGrid w:val="0"/>
        <w:ind w:firstLine="402" w:firstLineChars="200"/>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1．</w:t>
      </w:r>
      <w:r>
        <w:rPr>
          <w:rFonts w:ascii="Times New Roman" w:hAnsi="Times New Roman" w:eastAsia="楷体_GB2312" w:cs="楷体_GB2312"/>
          <w:b/>
          <w:color w:val="000000" w:themeColor="text1"/>
          <w:sz w:val="20"/>
          <w:szCs w:val="20"/>
          <w:highlight w:val="none"/>
          <w14:textFill>
            <w14:solidFill>
              <w14:schemeClr w14:val="tx1"/>
            </w14:solidFill>
          </w14:textFill>
        </w:rPr>
        <w:t>产品管理人声明与保证</w:t>
      </w:r>
    </w:p>
    <w:p w14:paraId="2687795F">
      <w:pPr>
        <w:snapToGrid w:val="0"/>
        <w:ind w:firstLine="402" w:firstLineChars="200"/>
        <w:jc w:val="both"/>
        <w:rPr>
          <w:rFonts w:ascii="楷体_GB2312" w:eastAsia="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（1）</w:t>
      </w:r>
      <w:r>
        <w:rPr>
          <w:rFonts w:ascii="Times New Roman" w:hAnsi="Times New Roman" w:eastAsia="楷体_GB2312" w:cs="楷体_GB2312"/>
          <w:b/>
          <w:color w:val="000000" w:themeColor="text1"/>
          <w:sz w:val="20"/>
          <w:szCs w:val="20"/>
          <w:highlight w:val="none"/>
          <w14:textFill>
            <w14:solidFill>
              <w14:schemeClr w14:val="tx1"/>
            </w14:solidFill>
          </w14:textFill>
        </w:rPr>
        <w:t>产品管理人具有开办理财业务的经营资质，保证以诚实守信、勤勉尽职的原则管理和运用理财资金；</w:t>
      </w:r>
    </w:p>
    <w:p w14:paraId="56E5BF47">
      <w:pPr>
        <w:snapToGrid w:val="0"/>
        <w:ind w:firstLine="402" w:firstLineChars="200"/>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（2）</w:t>
      </w:r>
      <w:r>
        <w:rPr>
          <w:rFonts w:ascii="Times New Roman" w:hAnsi="Times New Roman" w:eastAsia="楷体_GB2312" w:cs="楷体_GB2312"/>
          <w:b/>
          <w:color w:val="000000" w:themeColor="text1"/>
          <w:sz w:val="20"/>
          <w:szCs w:val="20"/>
          <w:highlight w:val="none"/>
          <w14:textFill>
            <w14:solidFill>
              <w14:schemeClr w14:val="tx1"/>
            </w14:solidFill>
          </w14:textFill>
        </w:rPr>
        <w:t>产品管理人具有完全适当的资格和能力订立与履行本理财产品合同。</w:t>
      </w:r>
    </w:p>
    <w:p w14:paraId="0820926C">
      <w:pPr>
        <w:snapToGrid w:val="0"/>
        <w:ind w:firstLine="402" w:firstLineChars="200"/>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2．</w:t>
      </w:r>
      <w:r>
        <w:rPr>
          <w:rFonts w:ascii="Times New Roman" w:hAnsi="Times New Roman" w:eastAsia="楷体_GB2312" w:cs="楷体_GB2312"/>
          <w:b/>
          <w:color w:val="000000" w:themeColor="text1"/>
          <w:sz w:val="20"/>
          <w:szCs w:val="20"/>
          <w:highlight w:val="none"/>
          <w14:textFill>
            <w14:solidFill>
              <w14:schemeClr w14:val="tx1"/>
            </w14:solidFill>
          </w14:textFill>
        </w:rPr>
        <w:t>投资者声明与保证</w:t>
      </w:r>
    </w:p>
    <w:p w14:paraId="168571C6">
      <w:pPr>
        <w:snapToGrid w:val="0"/>
        <w:ind w:firstLine="402" w:firstLineChars="200"/>
        <w:jc w:val="both"/>
        <w:rPr>
          <w:rFonts w:hint="eastAsia" w:ascii="Times New Roman" w:hAnsi="Times New Roman" w:eastAsia="楷体_GB2312" w:cs="楷体_GB2312"/>
          <w:b/>
          <w:color w:val="000000" w:themeColor="text1"/>
          <w:sz w:val="20"/>
          <w:szCs w:val="20"/>
          <w:highlight w:val="none"/>
          <w:lang w:eastAsia="zh-CN"/>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（1）</w:t>
      </w:r>
      <w:r>
        <w:rPr>
          <w:rFonts w:ascii="Times New Roman" w:hAnsi="Times New Roman" w:eastAsia="楷体_GB2312" w:cs="楷体_GB2312"/>
          <w:b/>
          <w:color w:val="000000" w:themeColor="text1"/>
          <w:sz w:val="20"/>
          <w:szCs w:val="20"/>
          <w:highlight w:val="none"/>
          <w14:textFill>
            <w14:solidFill>
              <w14:schemeClr w14:val="tx1"/>
            </w14:solidFill>
          </w14:textFill>
        </w:rPr>
        <w:t>投资者具有完全民事行为能力，有完全适当的资格与能力订立并履行本理财产品</w:t>
      </w:r>
      <w:r>
        <w:rPr>
          <w:rFonts w:hint="eastAsia" w:ascii="Times New Roman" w:hAnsi="Times New Roman" w:eastAsia="楷体_GB2312" w:cs="楷体_GB2312"/>
          <w:b/>
          <w:color w:val="000000" w:themeColor="text1"/>
          <w:sz w:val="20"/>
          <w:szCs w:val="20"/>
          <w:highlight w:val="none"/>
          <w14:textFill>
            <w14:solidFill>
              <w14:schemeClr w14:val="tx1"/>
            </w14:solidFill>
          </w14:textFill>
        </w:rPr>
        <w:t>销售文件</w:t>
      </w:r>
      <w:r>
        <w:rPr>
          <w:rFonts w:ascii="Times New Roman" w:hAnsi="Times New Roman" w:eastAsia="楷体_GB2312" w:cs="楷体_GB2312"/>
          <w:b/>
          <w:color w:val="000000" w:themeColor="text1"/>
          <w:sz w:val="20"/>
          <w:szCs w:val="20"/>
          <w:highlight w:val="none"/>
          <w14:textFill>
            <w14:solidFill>
              <w14:schemeClr w14:val="tx1"/>
            </w14:solidFill>
          </w14:textFill>
        </w:rPr>
        <w:t>，不存在法律、行政法规有关规定禁止或限制投资理财产品的情形（适用于个人投资者）</w:t>
      </w:r>
      <w:r>
        <w:rPr>
          <w:rFonts w:hint="eastAsia" w:ascii="Times New Roman" w:hAnsi="Times New Roman" w:eastAsia="楷体_GB2312" w:cs="楷体_GB2312"/>
          <w:b/>
          <w:color w:val="000000" w:themeColor="text1"/>
          <w:sz w:val="20"/>
          <w:szCs w:val="20"/>
          <w:highlight w:val="none"/>
          <w:lang w:eastAsia="zh-CN"/>
          <w14:textFill>
            <w14:solidFill>
              <w14:schemeClr w14:val="tx1"/>
            </w14:solidFill>
          </w14:textFill>
        </w:rPr>
        <w:t>；</w:t>
      </w:r>
    </w:p>
    <w:p w14:paraId="38ECB845">
      <w:pPr>
        <w:snapToGrid w:val="0"/>
        <w:ind w:firstLine="402" w:firstLineChars="200"/>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Times New Roman" w:hAnsi="Times New Roman" w:eastAsia="楷体_GB2312" w:cs="楷体_GB2312"/>
          <w:b/>
          <w:color w:val="000000" w:themeColor="text1"/>
          <w:sz w:val="20"/>
          <w:szCs w:val="20"/>
          <w:highlight w:val="none"/>
          <w14:textFill>
            <w14:solidFill>
              <w14:schemeClr w14:val="tx1"/>
            </w14:solidFill>
          </w14:textFill>
        </w:rPr>
        <w:t>投资者确认签署和履行理财产品销售文件系其真实意思表示，已经按照其章程或者其它内部管理文件的要求取得合法、有效的授权且不会违反对其有约束力的任何合同和其他法律文件；投资者已经取得签订和履行理财产品</w:t>
      </w:r>
      <w:r>
        <w:rPr>
          <w:rFonts w:hint="eastAsia" w:ascii="Times New Roman" w:hAnsi="Times New Roman" w:eastAsia="楷体_GB2312" w:cs="楷体_GB2312"/>
          <w:b/>
          <w:color w:val="000000" w:themeColor="text1"/>
          <w:sz w:val="20"/>
          <w:szCs w:val="20"/>
          <w:highlight w:val="none"/>
          <w14:textFill>
            <w14:solidFill>
              <w14:schemeClr w14:val="tx1"/>
            </w14:solidFill>
          </w14:textFill>
        </w:rPr>
        <w:t>销售文件</w:t>
      </w:r>
      <w:r>
        <w:rPr>
          <w:rFonts w:ascii="Times New Roman" w:hAnsi="Times New Roman" w:eastAsia="楷体_GB2312" w:cs="楷体_GB2312"/>
          <w:b/>
          <w:color w:val="000000" w:themeColor="text1"/>
          <w:sz w:val="20"/>
          <w:szCs w:val="20"/>
          <w:highlight w:val="none"/>
          <w14:textFill>
            <w14:solidFill>
              <w14:schemeClr w14:val="tx1"/>
            </w14:solidFill>
          </w14:textFill>
        </w:rPr>
        <w:t>所需的一切有关批准、许可、备案或者登记（适用于机构投资者）；</w:t>
      </w:r>
    </w:p>
    <w:p w14:paraId="6149174E">
      <w:pPr>
        <w:snapToGrid w:val="0"/>
        <w:ind w:firstLine="402" w:firstLineChars="200"/>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（2）</w:t>
      </w:r>
      <w:r>
        <w:rPr>
          <w:rFonts w:ascii="Times New Roman" w:hAnsi="Times New Roman" w:eastAsia="楷体_GB2312" w:cs="楷体_GB2312"/>
          <w:b/>
          <w:color w:val="000000" w:themeColor="text1"/>
          <w:sz w:val="20"/>
          <w:szCs w:val="20"/>
          <w:highlight w:val="none"/>
          <w14:textFill>
            <w14:solidFill>
              <w14:schemeClr w14:val="tx1"/>
            </w14:solidFill>
          </w14:textFill>
        </w:rPr>
        <w:t>投资者保证以真实身份投资本理财产品，保证提供给产品管理人和代销机构的信息和资料均真实、准确、完整、合法。如投资者的信息和/或资料发生变更，应当及时书面告知产品管理人或代销机构；</w:t>
      </w:r>
    </w:p>
    <w:p w14:paraId="0D947944">
      <w:pPr>
        <w:snapToGrid w:val="0"/>
        <w:ind w:firstLine="402" w:firstLineChars="200"/>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（3）</w:t>
      </w:r>
      <w:r>
        <w:rPr>
          <w:rFonts w:ascii="Times New Roman" w:hAnsi="Times New Roman" w:eastAsia="楷体_GB2312" w:cs="楷体_GB2312"/>
          <w:b/>
          <w:color w:val="000000" w:themeColor="text1"/>
          <w:sz w:val="20"/>
          <w:szCs w:val="20"/>
          <w:highlight w:val="none"/>
          <w14:textFill>
            <w14:solidFill>
              <w14:schemeClr w14:val="tx1"/>
            </w14:solidFill>
          </w14:textFill>
        </w:rPr>
        <w:t>投资者声明熟悉理财产品类型特征及不同销售渠道的法律法规规定；</w:t>
      </w:r>
    </w:p>
    <w:p w14:paraId="5A2B5028">
      <w:pPr>
        <w:snapToGrid w:val="0"/>
        <w:ind w:firstLine="402" w:firstLineChars="200"/>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（4）</w:t>
      </w:r>
      <w:r>
        <w:rPr>
          <w:rFonts w:ascii="Times New Roman" w:hAnsi="Times New Roman" w:eastAsia="楷体_GB2312" w:cs="楷体_GB2312"/>
          <w:b/>
          <w:color w:val="000000" w:themeColor="text1"/>
          <w:sz w:val="20"/>
          <w:szCs w:val="20"/>
          <w:highlight w:val="none"/>
          <w14:textFill>
            <w14:solidFill>
              <w14:schemeClr w14:val="tx1"/>
            </w14:solidFill>
          </w14:textFill>
        </w:rPr>
        <w:t>投资者承诺：如委托他人购买本产品，代理人须出具具有法律效力的授权委托书；</w:t>
      </w:r>
    </w:p>
    <w:p w14:paraId="232126E0">
      <w:pPr>
        <w:snapToGrid w:val="0"/>
        <w:ind w:firstLine="402" w:firstLineChars="200"/>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（5）</w:t>
      </w:r>
      <w:r>
        <w:rPr>
          <w:rFonts w:ascii="Times New Roman" w:hAnsi="Times New Roman" w:eastAsia="楷体_GB2312" w:cs="楷体_GB2312"/>
          <w:b/>
          <w:color w:val="000000" w:themeColor="text1"/>
          <w:sz w:val="20"/>
          <w:szCs w:val="20"/>
          <w:highlight w:val="none"/>
          <w14:textFill>
            <w14:solidFill>
              <w14:schemeClr w14:val="tx1"/>
            </w14:solidFill>
          </w14:textFill>
        </w:rPr>
        <w:t>投资者保证理财投资资金来源和用途合法，保证可向产品管理人和代销机构提供合法筹集的证明文件；</w:t>
      </w:r>
    </w:p>
    <w:p w14:paraId="4A1E23D9">
      <w:pPr>
        <w:snapToGrid w:val="0"/>
        <w:ind w:firstLine="402" w:firstLineChars="200"/>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（6）</w:t>
      </w:r>
      <w:r>
        <w:rPr>
          <w:rFonts w:ascii="Times New Roman" w:hAnsi="Times New Roman" w:eastAsia="楷体_GB2312" w:cs="楷体_GB2312"/>
          <w:b/>
          <w:color w:val="000000" w:themeColor="text1"/>
          <w:sz w:val="20"/>
          <w:szCs w:val="20"/>
          <w:highlight w:val="none"/>
          <w14:textFill>
            <w14:solidFill>
              <w14:schemeClr w14:val="tx1"/>
            </w14:solidFill>
          </w14:textFill>
        </w:rPr>
        <w:t>投资者不利用本理财业务及本理财产品</w:t>
      </w:r>
      <w:r>
        <w:rPr>
          <w:rFonts w:hint="eastAsia" w:ascii="Times New Roman" w:hAnsi="Times New Roman" w:eastAsia="楷体_GB2312" w:cs="楷体_GB2312"/>
          <w:b/>
          <w:color w:val="000000" w:themeColor="text1"/>
          <w:sz w:val="20"/>
          <w:szCs w:val="20"/>
          <w:highlight w:val="none"/>
          <w14:textFill>
            <w14:solidFill>
              <w14:schemeClr w14:val="tx1"/>
            </w14:solidFill>
          </w14:textFill>
        </w:rPr>
        <w:t>销售文件</w:t>
      </w:r>
      <w:r>
        <w:rPr>
          <w:rFonts w:ascii="Times New Roman" w:hAnsi="Times New Roman" w:eastAsia="楷体_GB2312" w:cs="楷体_GB2312"/>
          <w:b/>
          <w:color w:val="000000" w:themeColor="text1"/>
          <w:sz w:val="20"/>
          <w:szCs w:val="20"/>
          <w:highlight w:val="none"/>
          <w14:textFill>
            <w14:solidFill>
              <w14:schemeClr w14:val="tx1"/>
            </w14:solidFill>
          </w14:textFill>
        </w:rPr>
        <w:t>项下理财产品从事违法活动；</w:t>
      </w:r>
    </w:p>
    <w:p w14:paraId="3873DBD8">
      <w:pPr>
        <w:snapToGrid w:val="0"/>
        <w:ind w:firstLine="402" w:firstLineChars="200"/>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（7）</w:t>
      </w:r>
      <w:r>
        <w:rPr>
          <w:rFonts w:ascii="Times New Roman" w:hAnsi="Times New Roman" w:eastAsia="楷体_GB2312" w:cs="楷体_GB2312"/>
          <w:b/>
          <w:color w:val="000000" w:themeColor="text1"/>
          <w:sz w:val="20"/>
          <w:szCs w:val="20"/>
          <w:highlight w:val="none"/>
          <w14:textFill>
            <w14:solidFill>
              <w14:schemeClr w14:val="tx1"/>
            </w14:solidFill>
          </w14:textFill>
        </w:rPr>
        <w:t>投资者保证遵守国家反洗钱法律、法规及相关政策要求，不从事涉及洗钱、恐怖融资、逃税、逃废债务、套取现金等违法违规活动，积极配合管理人/代销机构开展投资者身份识别、交易记录保存、投资者身份及交易背景尽职调查、大额和可疑交易报告等各项反洗钱工作，并按要求提供相关证明材料；</w:t>
      </w:r>
    </w:p>
    <w:p w14:paraId="46CEDEBD">
      <w:pPr>
        <w:snapToGrid w:val="0"/>
        <w:ind w:firstLine="402" w:firstLineChars="200"/>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（8）</w:t>
      </w:r>
      <w:r>
        <w:rPr>
          <w:rFonts w:ascii="Times New Roman" w:hAnsi="Times New Roman" w:eastAsia="楷体_GB2312" w:cs="楷体_GB2312"/>
          <w:b/>
          <w:color w:val="000000" w:themeColor="text1"/>
          <w:sz w:val="20"/>
          <w:szCs w:val="20"/>
          <w:highlight w:val="none"/>
          <w14:textFill>
            <w14:solidFill>
              <w14:schemeClr w14:val="tx1"/>
            </w14:solidFill>
          </w14:textFill>
        </w:rPr>
        <w:t>投资者不属于联合国制裁名单，及中国政府部门或有权机关发布的涉恐及反洗钱相关风险名单内的企业或个人；不位于被联合</w:t>
      </w:r>
      <w:r>
        <w:rPr>
          <w:rFonts w:hint="eastAsia" w:ascii="Times New Roman" w:hAnsi="Times New Roman" w:eastAsia="楷体_GB2312" w:cs="楷体_GB2312"/>
          <w:b/>
          <w:color w:val="000000" w:themeColor="text1"/>
          <w:sz w:val="20"/>
          <w:szCs w:val="20"/>
          <w:highlight w:val="none"/>
          <w:lang w:val="en-US" w:eastAsia="zh-CN"/>
          <w14:textFill>
            <w14:solidFill>
              <w14:schemeClr w14:val="tx1"/>
            </w14:solidFill>
          </w14:textFill>
        </w:rPr>
        <w:t>国</w:t>
      </w:r>
      <w:r>
        <w:rPr>
          <w:rFonts w:ascii="Times New Roman" w:hAnsi="Times New Roman" w:eastAsia="楷体_GB2312" w:cs="楷体_GB2312"/>
          <w:b/>
          <w:color w:val="000000" w:themeColor="text1"/>
          <w:sz w:val="20"/>
          <w:szCs w:val="20"/>
          <w:highlight w:val="none"/>
          <w14:textFill>
            <w14:solidFill>
              <w14:schemeClr w14:val="tx1"/>
            </w14:solidFill>
          </w14:textFill>
        </w:rPr>
        <w:t>或</w:t>
      </w:r>
      <w:r>
        <w:rPr>
          <w:rFonts w:hint="eastAsia" w:ascii="Times New Roman" w:hAnsi="Times New Roman" w:eastAsia="楷体_GB2312" w:cs="楷体_GB2312"/>
          <w:b/>
          <w:color w:val="000000" w:themeColor="text1"/>
          <w:sz w:val="20"/>
          <w:szCs w:val="20"/>
          <w:highlight w:val="none"/>
          <w:lang w:val="en-US" w:eastAsia="zh-CN"/>
          <w14:textFill>
            <w14:solidFill>
              <w14:schemeClr w14:val="tx1"/>
            </w14:solidFill>
          </w14:textFill>
        </w:rPr>
        <w:t>中</w:t>
      </w:r>
      <w:r>
        <w:rPr>
          <w:rFonts w:ascii="Times New Roman" w:hAnsi="Times New Roman" w:eastAsia="楷体_GB2312" w:cs="楷体_GB2312"/>
          <w:b/>
          <w:color w:val="000000" w:themeColor="text1"/>
          <w:sz w:val="20"/>
          <w:szCs w:val="20"/>
          <w:highlight w:val="none"/>
          <w14:textFill>
            <w14:solidFill>
              <w14:schemeClr w14:val="tx1"/>
            </w14:solidFill>
          </w14:textFill>
        </w:rPr>
        <w:t>国制裁的国家和地区；</w:t>
      </w:r>
    </w:p>
    <w:p w14:paraId="1225EC4D">
      <w:pPr>
        <w:snapToGrid w:val="0"/>
        <w:ind w:firstLine="402" w:firstLineChars="200"/>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（9）</w:t>
      </w:r>
      <w:r>
        <w:rPr>
          <w:rFonts w:ascii="Times New Roman" w:hAnsi="Times New Roman" w:eastAsia="楷体_GB2312" w:cs="楷体_GB2312"/>
          <w:b/>
          <w:color w:val="000000" w:themeColor="text1"/>
          <w:sz w:val="20"/>
          <w:szCs w:val="20"/>
          <w:highlight w:val="none"/>
          <w14:textFill>
            <w14:solidFill>
              <w14:schemeClr w14:val="tx1"/>
            </w14:solidFill>
          </w14:textFill>
        </w:rPr>
        <w:t>投资者保证不使用贷款、发行债券等筹集的非自有资金投资理财产品，保证投资本理财产品不存在违反监管要求的产品嵌套，以及以投资本理财产品规避投资范围、杠杆约束等监管要求等违规行为。</w:t>
      </w:r>
    </w:p>
    <w:p w14:paraId="125A55FE">
      <w:pPr>
        <w:snapToGrid w:val="0"/>
        <w:ind w:firstLine="402" w:firstLineChars="200"/>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3．</w:t>
      </w:r>
      <w:r>
        <w:rPr>
          <w:rFonts w:ascii="Times New Roman" w:hAnsi="Times New Roman" w:eastAsia="楷体_GB2312" w:cs="楷体_GB2312"/>
          <w:b/>
          <w:color w:val="000000" w:themeColor="text1"/>
          <w:sz w:val="20"/>
          <w:szCs w:val="20"/>
          <w:highlight w:val="none"/>
          <w14:textFill>
            <w14:solidFill>
              <w14:schemeClr w14:val="tx1"/>
            </w14:solidFill>
          </w14:textFill>
        </w:rPr>
        <w:t>双方同意</w:t>
      </w:r>
    </w:p>
    <w:p w14:paraId="054E2064">
      <w:pPr>
        <w:snapToGrid w:val="0"/>
        <w:ind w:firstLine="402" w:firstLineChars="200"/>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（1）</w:t>
      </w:r>
      <w:r>
        <w:rPr>
          <w:rFonts w:ascii="Times New Roman" w:hAnsi="Times New Roman" w:eastAsia="楷体_GB2312" w:cs="楷体_GB2312"/>
          <w:b/>
          <w:color w:val="000000" w:themeColor="text1"/>
          <w:sz w:val="20"/>
          <w:szCs w:val="20"/>
          <w:highlight w:val="none"/>
          <w14:textFill>
            <w14:solidFill>
              <w14:schemeClr w14:val="tx1"/>
            </w14:solidFill>
          </w14:textFill>
        </w:rPr>
        <w:t>未经产品管理人同意，投资者不得以本理财产品项下的任何权利、利益、权益（包括单独和整体）为投资者和任何第三人的债务设定担保或其他权益</w:t>
      </w:r>
      <w:r>
        <w:rPr>
          <w:rFonts w:hint="eastAsia" w:ascii="Times New Roman" w:hAnsi="Times New Roman" w:eastAsia="楷体_GB2312" w:cs="楷体_GB2312"/>
          <w:b/>
          <w:color w:val="000000" w:themeColor="text1"/>
          <w:sz w:val="20"/>
          <w:szCs w:val="20"/>
          <w:highlight w:val="none"/>
          <w:lang w:eastAsia="zh-CN"/>
          <w14:textFill>
            <w14:solidFill>
              <w14:schemeClr w14:val="tx1"/>
            </w14:solidFill>
          </w14:textFill>
        </w:rPr>
        <w:t>；</w:t>
      </w:r>
    </w:p>
    <w:p w14:paraId="1C7372BA">
      <w:pPr>
        <w:snapToGrid w:val="0"/>
        <w:ind w:firstLine="402" w:firstLineChars="200"/>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（2）</w:t>
      </w:r>
      <w:r>
        <w:rPr>
          <w:rFonts w:ascii="Times New Roman" w:hAnsi="Times New Roman" w:eastAsia="楷体_GB2312" w:cs="楷体_GB2312"/>
          <w:b/>
          <w:color w:val="000000" w:themeColor="text1"/>
          <w:sz w:val="20"/>
          <w:szCs w:val="20"/>
          <w:highlight w:val="none"/>
          <w14:textFill>
            <w14:solidFill>
              <w14:schemeClr w14:val="tx1"/>
            </w14:solidFill>
          </w14:textFill>
        </w:rPr>
        <w:t>未经产品管理人同意，投资者不得向任何第三人转让、赠与本理财产品</w:t>
      </w:r>
      <w:r>
        <w:rPr>
          <w:rFonts w:hint="eastAsia" w:ascii="Times New Roman" w:hAnsi="Times New Roman" w:eastAsia="楷体_GB2312" w:cs="楷体_GB2312"/>
          <w:b/>
          <w:color w:val="000000" w:themeColor="text1"/>
          <w:sz w:val="20"/>
          <w:szCs w:val="20"/>
          <w:highlight w:val="none"/>
          <w14:textFill>
            <w14:solidFill>
              <w14:schemeClr w14:val="tx1"/>
            </w14:solidFill>
          </w14:textFill>
        </w:rPr>
        <w:t>销售文件</w:t>
      </w:r>
      <w:r>
        <w:rPr>
          <w:rFonts w:ascii="Times New Roman" w:hAnsi="Times New Roman" w:eastAsia="楷体_GB2312" w:cs="楷体_GB2312"/>
          <w:b/>
          <w:color w:val="000000" w:themeColor="text1"/>
          <w:sz w:val="20"/>
          <w:szCs w:val="20"/>
          <w:highlight w:val="none"/>
          <w14:textFill>
            <w14:solidFill>
              <w14:schemeClr w14:val="tx1"/>
            </w14:solidFill>
          </w14:textFill>
        </w:rPr>
        <w:t>或本理财产品</w:t>
      </w:r>
      <w:r>
        <w:rPr>
          <w:rFonts w:hint="eastAsia" w:ascii="Times New Roman" w:hAnsi="Times New Roman" w:eastAsia="楷体_GB2312" w:cs="楷体_GB2312"/>
          <w:b/>
          <w:color w:val="000000" w:themeColor="text1"/>
          <w:sz w:val="20"/>
          <w:szCs w:val="20"/>
          <w:highlight w:val="none"/>
          <w14:textFill>
            <w14:solidFill>
              <w14:schemeClr w14:val="tx1"/>
            </w14:solidFill>
          </w14:textFill>
        </w:rPr>
        <w:t>销售文件</w:t>
      </w:r>
      <w:r>
        <w:rPr>
          <w:rFonts w:ascii="Times New Roman" w:hAnsi="Times New Roman" w:eastAsia="楷体_GB2312" w:cs="楷体_GB2312"/>
          <w:b/>
          <w:color w:val="000000" w:themeColor="text1"/>
          <w:sz w:val="20"/>
          <w:szCs w:val="20"/>
          <w:highlight w:val="none"/>
          <w14:textFill>
            <w14:solidFill>
              <w14:schemeClr w14:val="tx1"/>
            </w14:solidFill>
          </w14:textFill>
        </w:rPr>
        <w:t>项下的任何权利、利益、权益（包括单独和整体）</w:t>
      </w:r>
      <w:r>
        <w:rPr>
          <w:rFonts w:hint="eastAsia" w:ascii="Times New Roman" w:hAnsi="Times New Roman" w:eastAsia="楷体_GB2312" w:cs="楷体_GB2312"/>
          <w:b/>
          <w:color w:val="000000" w:themeColor="text1"/>
          <w:sz w:val="20"/>
          <w:szCs w:val="20"/>
          <w:highlight w:val="none"/>
          <w:lang w:eastAsia="zh-CN"/>
          <w14:textFill>
            <w14:solidFill>
              <w14:schemeClr w14:val="tx1"/>
            </w14:solidFill>
          </w14:textFill>
        </w:rPr>
        <w:t>；</w:t>
      </w:r>
    </w:p>
    <w:p w14:paraId="39BF3F39">
      <w:pPr>
        <w:snapToGrid w:val="0"/>
        <w:ind w:firstLine="402" w:firstLineChars="200"/>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（3）</w:t>
      </w:r>
      <w:r>
        <w:rPr>
          <w:rFonts w:ascii="Times New Roman" w:hAnsi="Times New Roman" w:eastAsia="楷体_GB2312" w:cs="楷体_GB2312"/>
          <w:b/>
          <w:color w:val="000000" w:themeColor="text1"/>
          <w:sz w:val="20"/>
          <w:szCs w:val="20"/>
          <w:highlight w:val="none"/>
          <w14:textFill>
            <w14:solidFill>
              <w14:schemeClr w14:val="tx1"/>
            </w14:solidFill>
          </w14:textFill>
        </w:rPr>
        <w:t>产品管理人不承担对第三人支付本产品项下投资者清算产品后分配金额以及相关权益的责任，法律法规另有规定的除外。</w:t>
      </w:r>
    </w:p>
    <w:p w14:paraId="31FFD0B7">
      <w:pPr>
        <w:spacing w:line="300" w:lineRule="exact"/>
        <w:ind w:left="400" w:right="29" w:rightChars="12" w:hanging="400" w:hangingChars="200"/>
        <w:rPr>
          <w:rFonts w:ascii="黑体" w:eastAsia="黑体" w:cs="黑体"/>
          <w:color w:val="000000" w:themeColor="text1"/>
          <w:sz w:val="20"/>
          <w:szCs w:val="20"/>
          <w:highlight w:val="none"/>
          <w14:textFill>
            <w14:solidFill>
              <w14:schemeClr w14:val="tx1"/>
            </w14:solidFill>
          </w14:textFill>
        </w:rPr>
      </w:pPr>
    </w:p>
    <w:p w14:paraId="479B9856">
      <w:pPr>
        <w:spacing w:line="300" w:lineRule="exact"/>
        <w:ind w:left="402" w:right="29" w:rightChars="12" w:hanging="402" w:hangingChars="200"/>
        <w:rPr>
          <w:rFonts w:ascii="黑体" w:eastAsia="黑体" w:cs="黑体"/>
          <w:b/>
          <w:color w:val="000000" w:themeColor="text1"/>
          <w:sz w:val="20"/>
          <w:szCs w:val="20"/>
          <w:highlight w:val="none"/>
          <w14:textFill>
            <w14:solidFill>
              <w14:schemeClr w14:val="tx1"/>
            </w14:solidFill>
          </w14:textFill>
        </w:rPr>
      </w:pPr>
      <w:r>
        <w:rPr>
          <w:rFonts w:hint="eastAsia" w:ascii="黑体" w:eastAsia="黑体" w:cs="黑体"/>
          <w:b/>
          <w:color w:val="000000" w:themeColor="text1"/>
          <w:sz w:val="20"/>
          <w:szCs w:val="20"/>
          <w:highlight w:val="none"/>
          <w14:textFill>
            <w14:solidFill>
              <w14:schemeClr w14:val="tx1"/>
            </w14:solidFill>
          </w14:textFill>
        </w:rPr>
        <w:t>十五、保密</w:t>
      </w:r>
      <w:r>
        <w:rPr>
          <w:rFonts w:ascii="黑体" w:eastAsia="黑体" w:cs="黑体"/>
          <w:b/>
          <w:color w:val="000000" w:themeColor="text1"/>
          <w:sz w:val="20"/>
          <w:szCs w:val="20"/>
          <w:highlight w:val="none"/>
          <w14:textFill>
            <w14:solidFill>
              <w14:schemeClr w14:val="tx1"/>
            </w14:solidFill>
          </w14:textFill>
        </w:rPr>
        <w:t>条款</w:t>
      </w:r>
    </w:p>
    <w:p w14:paraId="48F3CE4D">
      <w:pPr>
        <w:pStyle w:val="19"/>
        <w:numPr>
          <w:ilvl w:val="0"/>
          <w:numId w:val="9"/>
        </w:numPr>
        <w:spacing w:line="300" w:lineRule="exact"/>
        <w:ind w:left="0" w:firstLine="402"/>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Times New Roman" w:hAnsi="Times New Roman" w:eastAsia="楷体_GB2312" w:cs="楷体_GB2312"/>
          <w:b/>
          <w:color w:val="000000" w:themeColor="text1"/>
          <w:sz w:val="20"/>
          <w:szCs w:val="20"/>
          <w:highlight w:val="none"/>
          <w14:textFill>
            <w14:solidFill>
              <w14:schemeClr w14:val="tx1"/>
            </w14:solidFill>
          </w14:textFill>
        </w:rPr>
        <w:t>信银理财将加强信息安全管理，根据法律法规及监管要求，对在产品销售和运作过程中获取的投资者信息履行保密义务，除非依照法律法规之规定，或应监管机构及其他有权机关的要求，或与投资者另有约定外，不向第三方披露。</w:t>
      </w:r>
    </w:p>
    <w:p w14:paraId="74053361">
      <w:pPr>
        <w:pStyle w:val="19"/>
        <w:numPr>
          <w:ilvl w:val="0"/>
          <w:numId w:val="9"/>
        </w:numPr>
        <w:spacing w:line="300" w:lineRule="exact"/>
        <w:ind w:left="0" w:firstLine="402"/>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Times New Roman" w:hAnsi="Times New Roman" w:eastAsia="楷体_GB2312" w:cs="楷体_GB2312"/>
          <w:b/>
          <w:color w:val="000000" w:themeColor="text1"/>
          <w:sz w:val="20"/>
          <w:szCs w:val="20"/>
          <w:highlight w:val="none"/>
          <w14:textFill>
            <w14:solidFill>
              <w14:schemeClr w14:val="tx1"/>
            </w14:solidFill>
          </w14:textFill>
        </w:rPr>
        <w:t>理财产品管理人向投资者披露的或投资者因购买本理财产品而获知的有关本理财产品的全部信息（包括但不限于本理财产品销售文件、本理财产品投资安排的全部信息）及本理财产品参与主体的未对外公开的信息均为保密信息。投资者有义务对上述保密信息采取保密措施，未经理财产品管理人同意，投资者不得向任何第三方披露该等保密信息，否则应承担相应违约责任，但以下情形除外：（1）向与本次投资有关而需要获知以上信息并受保密协议约束的律师、会计师、顾问和咨询人员披露的；（2）根据适用的法律法规的要求，向有关政府部门、监管机构或者管理机构（包括证券交易所）披露的；（3）本产品说明书另有约定的。前述保密义务不因本理财产品销售文件或相关协议的无效、被撤销、终止而受影响。</w:t>
      </w:r>
    </w:p>
    <w:p w14:paraId="4B88B9D3">
      <w:pPr>
        <w:pStyle w:val="19"/>
        <w:numPr>
          <w:ilvl w:val="0"/>
          <w:numId w:val="9"/>
        </w:numPr>
        <w:spacing w:line="300" w:lineRule="exact"/>
        <w:ind w:left="0" w:firstLine="402"/>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Times New Roman" w:hAnsi="Times New Roman" w:eastAsia="楷体_GB2312" w:cs="楷体_GB2312"/>
          <w:b/>
          <w:color w:val="000000" w:themeColor="text1"/>
          <w:sz w:val="20"/>
          <w:szCs w:val="20"/>
          <w:highlight w:val="none"/>
          <w14:textFill>
            <w14:solidFill>
              <w14:schemeClr w14:val="tx1"/>
            </w14:solidFill>
          </w14:textFill>
        </w:rPr>
        <w:t>根据监管机构要求，管理人（特指除本理财</w:t>
      </w:r>
      <w:r>
        <w:rPr>
          <w:rFonts w:hint="eastAsia" w:ascii="Times New Roman" w:hAnsi="Times New Roman" w:eastAsia="楷体_GB2312" w:cs="楷体_GB2312"/>
          <w:b/>
          <w:color w:val="000000" w:themeColor="text1"/>
          <w:sz w:val="20"/>
          <w:szCs w:val="20"/>
          <w:highlight w:val="none"/>
          <w14:textFill>
            <w14:solidFill>
              <w14:schemeClr w14:val="tx1"/>
            </w14:solidFill>
          </w14:textFill>
        </w:rPr>
        <w:t>产品</w:t>
      </w:r>
      <w:r>
        <w:rPr>
          <w:rFonts w:ascii="Times New Roman" w:hAnsi="Times New Roman" w:eastAsia="楷体_GB2312" w:cs="楷体_GB2312"/>
          <w:b/>
          <w:color w:val="000000" w:themeColor="text1"/>
          <w:sz w:val="20"/>
          <w:szCs w:val="20"/>
          <w:highlight w:val="none"/>
          <w14:textFill>
            <w14:solidFill>
              <w14:schemeClr w14:val="tx1"/>
            </w14:solidFill>
          </w14:textFill>
        </w:rPr>
        <w:t>的管理人信银理财之外的其他管理人，包括但不限于本理财</w:t>
      </w:r>
      <w:r>
        <w:rPr>
          <w:rFonts w:hint="eastAsia" w:ascii="Times New Roman" w:hAnsi="Times New Roman" w:eastAsia="楷体_GB2312" w:cs="楷体_GB2312"/>
          <w:b/>
          <w:color w:val="000000" w:themeColor="text1"/>
          <w:sz w:val="20"/>
          <w:szCs w:val="20"/>
          <w:highlight w:val="none"/>
          <w14:textFill>
            <w14:solidFill>
              <w14:schemeClr w14:val="tx1"/>
            </w14:solidFill>
          </w14:textFill>
        </w:rPr>
        <w:t>产品</w:t>
      </w:r>
      <w:r>
        <w:rPr>
          <w:rFonts w:ascii="Times New Roman" w:hAnsi="Times New Roman" w:eastAsia="楷体_GB2312" w:cs="楷体_GB2312"/>
          <w:b/>
          <w:color w:val="000000" w:themeColor="text1"/>
          <w:sz w:val="20"/>
          <w:szCs w:val="20"/>
          <w:highlight w:val="none"/>
          <w14:textFill>
            <w14:solidFill>
              <w14:schemeClr w14:val="tx1"/>
            </w14:solidFill>
          </w14:textFill>
        </w:rPr>
        <w:t>所投资的信托计划、资管计划、私募基金的受托人或管理人、相关投资顾问等，下同）有可能需要向监管机构报送投资者身份信息、持仓信息等相关信息，信银理财将应管理人申请，在必要范围内向管理人提供相关信息，并要求该等管理人履行投资者信息保密义务。投资者签署本理财产品销售文件即视为已经同意信银理财在前述范围内向相关方提供投资者身份信息、持仓信息等相关信息。</w:t>
      </w:r>
    </w:p>
    <w:p w14:paraId="429E869F">
      <w:pPr>
        <w:spacing w:line="300" w:lineRule="exact"/>
        <w:ind w:right="29" w:rightChars="12"/>
        <w:rPr>
          <w:rFonts w:ascii="黑体" w:eastAsia="黑体" w:cs="黑体"/>
          <w:color w:val="000000" w:themeColor="text1"/>
          <w:sz w:val="20"/>
          <w:szCs w:val="20"/>
          <w:highlight w:val="none"/>
          <w14:textFill>
            <w14:solidFill>
              <w14:schemeClr w14:val="tx1"/>
            </w14:solidFill>
          </w14:textFill>
        </w:rPr>
      </w:pPr>
    </w:p>
    <w:p w14:paraId="1DC277DD">
      <w:pPr>
        <w:spacing w:line="300" w:lineRule="exact"/>
        <w:ind w:left="402" w:right="29" w:rightChars="12" w:hanging="402" w:hangingChars="200"/>
        <w:rPr>
          <w:rFonts w:ascii="楷体_GB2312" w:eastAsia="楷体_GB2312"/>
          <w:b/>
          <w:color w:val="000000" w:themeColor="text1"/>
          <w:sz w:val="20"/>
          <w:szCs w:val="20"/>
          <w:highlight w:val="none"/>
          <w14:textFill>
            <w14:solidFill>
              <w14:schemeClr w14:val="tx1"/>
            </w14:solidFill>
          </w14:textFill>
        </w:rPr>
      </w:pPr>
      <w:r>
        <w:rPr>
          <w:rFonts w:hint="eastAsia" w:ascii="黑体" w:hAnsi="Times New Roman" w:eastAsia="黑体" w:cs="黑体"/>
          <w:b/>
          <w:color w:val="000000" w:themeColor="text1"/>
          <w:sz w:val="20"/>
          <w:szCs w:val="20"/>
          <w:highlight w:val="none"/>
          <w14:textFill>
            <w14:solidFill>
              <w14:schemeClr w14:val="tx1"/>
            </w14:solidFill>
          </w14:textFill>
        </w:rPr>
        <w:t>十六、特别提示</w:t>
      </w:r>
    </w:p>
    <w:p w14:paraId="65E2868F">
      <w:pPr>
        <w:spacing w:line="300" w:lineRule="exact"/>
        <w:ind w:firstLine="402" w:firstLineChars="200"/>
        <w:jc w:val="both"/>
        <w:rPr>
          <w:b/>
          <w:color w:val="000000" w:themeColor="text1"/>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1．本产品面临的风险包括信用风险、市场风险、流动性风险、提前终止风险、政策风险、信息传递风险、管理风险、延期清算风险、</w:t>
      </w:r>
      <w:r>
        <w:rPr>
          <w:rFonts w:hint="eastAsia" w:ascii="楷体_GB2312" w:eastAsia="楷体_GB2312" w:cs="楷体_GB2312"/>
          <w:b/>
          <w:color w:val="000000" w:themeColor="text1"/>
          <w:sz w:val="20"/>
          <w:szCs w:val="20"/>
          <w:highlight w:val="none"/>
          <w14:textFill>
            <w14:solidFill>
              <w14:schemeClr w14:val="tx1"/>
            </w14:solidFill>
          </w14:textFill>
        </w:rPr>
        <w:t>理财</w:t>
      </w:r>
      <w:r>
        <w:rPr>
          <w:rFonts w:ascii="楷体_GB2312" w:eastAsia="楷体_GB2312" w:cs="楷体_GB2312"/>
          <w:b/>
          <w:color w:val="000000" w:themeColor="text1"/>
          <w:sz w:val="20"/>
          <w:szCs w:val="20"/>
          <w:highlight w:val="none"/>
          <w14:textFill>
            <w14:solidFill>
              <w14:schemeClr w14:val="tx1"/>
            </w14:solidFill>
          </w14:textFill>
        </w:rPr>
        <w:t>产品不成立风险、不可抗力及意外事件风险、</w:t>
      </w:r>
      <w:r>
        <w:rPr>
          <w:rFonts w:hint="eastAsia" w:ascii="楷体_GB2312" w:eastAsia="楷体_GB2312" w:cs="楷体_GB2312"/>
          <w:b/>
          <w:color w:val="000000" w:themeColor="text1"/>
          <w:sz w:val="20"/>
          <w:szCs w:val="20"/>
          <w:highlight w:val="none"/>
          <w14:textFill>
            <w14:solidFill>
              <w14:schemeClr w14:val="tx1"/>
            </w14:solidFill>
          </w14:textFill>
        </w:rPr>
        <w:t>理财本金全部损失风险、</w:t>
      </w:r>
      <w:r>
        <w:rPr>
          <w:rFonts w:ascii="楷体_GB2312" w:eastAsia="楷体_GB2312" w:cs="楷体_GB2312"/>
          <w:b/>
          <w:color w:val="000000" w:themeColor="text1"/>
          <w:sz w:val="20"/>
          <w:szCs w:val="20"/>
          <w:highlight w:val="none"/>
          <w14:textFill>
            <w14:solidFill>
              <w14:schemeClr w14:val="tx1"/>
            </w14:solidFill>
          </w14:textFill>
        </w:rPr>
        <w:t>合作销售机构</w:t>
      </w:r>
      <w:r>
        <w:rPr>
          <w:rFonts w:hint="eastAsia" w:ascii="楷体_GB2312" w:eastAsia="楷体_GB2312" w:cs="楷体_GB2312"/>
          <w:b/>
          <w:color w:val="000000" w:themeColor="text1"/>
          <w:sz w:val="20"/>
          <w:szCs w:val="20"/>
          <w:highlight w:val="none"/>
          <w14:textFill>
            <w14:solidFill>
              <w14:schemeClr w14:val="tx1"/>
            </w14:solidFill>
          </w14:textFill>
        </w:rPr>
        <w:t>（代销机构）</w:t>
      </w:r>
      <w:r>
        <w:rPr>
          <w:rFonts w:ascii="楷体_GB2312" w:eastAsia="楷体_GB2312" w:cs="楷体_GB2312"/>
          <w:b/>
          <w:color w:val="000000" w:themeColor="text1"/>
          <w:sz w:val="20"/>
          <w:szCs w:val="20"/>
          <w:highlight w:val="none"/>
          <w14:textFill>
            <w14:solidFill>
              <w14:schemeClr w14:val="tx1"/>
            </w14:solidFill>
          </w14:textFill>
        </w:rPr>
        <w:t>风险、操作风险</w:t>
      </w:r>
      <w:r>
        <w:rPr>
          <w:rFonts w:hint="eastAsia" w:ascii="楷体_GB2312" w:eastAsia="楷体_GB2312" w:cs="楷体_GB2312"/>
          <w:b/>
          <w:color w:val="000000" w:themeColor="text1"/>
          <w:sz w:val="20"/>
          <w:szCs w:val="20"/>
          <w:highlight w:val="none"/>
          <w14:textFill>
            <w14:solidFill>
              <w14:schemeClr w14:val="tx1"/>
            </w14:solidFill>
          </w14:textFill>
        </w:rPr>
        <w:t>、关联交易风险</w:t>
      </w:r>
      <w:r>
        <w:rPr>
          <w:rFonts w:ascii="楷体_GB2312" w:eastAsia="楷体_GB2312" w:cs="楷体_GB2312"/>
          <w:b/>
          <w:color w:val="000000" w:themeColor="text1"/>
          <w:sz w:val="20"/>
          <w:szCs w:val="20"/>
          <w:highlight w:val="none"/>
          <w14:textFill>
            <w14:solidFill>
              <w14:schemeClr w14:val="tx1"/>
            </w14:solidFill>
          </w14:textFill>
        </w:rPr>
        <w:t xml:space="preserve">等风险，将可能导致投资者无法取得收益，甚至本金蒙受部分或全部损失。由此产生的理财本金和收益损失的风险由投资者自行承担，信银理财不承担任何返还理财本金及收益的保证责任。  </w:t>
      </w:r>
    </w:p>
    <w:p w14:paraId="7399EFEC">
      <w:pPr>
        <w:spacing w:line="300" w:lineRule="exact"/>
        <w:ind w:firstLine="402" w:firstLineChars="200"/>
        <w:jc w:val="both"/>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2．除本说明书中明确规定的收益或收益分配方式外，任何预计收益、预期收益、测算收益、业绩比较基准或类似表述均属不具有法律效力的用语，不代表投资者可能获得的实际收益，亦不构成信银理财对本理财产品的任何收益承诺。</w:t>
      </w:r>
    </w:p>
    <w:p w14:paraId="18356326">
      <w:pPr>
        <w:spacing w:line="300" w:lineRule="exact"/>
        <w:ind w:firstLine="430" w:firstLineChars="214"/>
        <w:jc w:val="both"/>
        <w:rPr>
          <w:rFonts w:ascii="楷体_GB2312" w:eastAsia="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3．关于费用</w:t>
      </w:r>
    </w:p>
    <w:p w14:paraId="50D5F9B4">
      <w:pPr>
        <w:spacing w:line="300" w:lineRule="exact"/>
        <w:ind w:firstLine="430" w:firstLineChars="214"/>
        <w:jc w:val="both"/>
        <w:rPr>
          <w:rFonts w:ascii="楷体_GB2312" w:eastAsia="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（1）双方确认：本产品说明书约定的收费标准经双方协商确定，双方均认可该收费标准。</w:t>
      </w:r>
    </w:p>
    <w:p w14:paraId="11C05704">
      <w:pPr>
        <w:spacing w:line="300" w:lineRule="exact"/>
        <w:ind w:firstLine="430" w:firstLineChars="214"/>
        <w:jc w:val="both"/>
        <w:rPr>
          <w:rFonts w:ascii="楷体_GB2312" w:eastAsia="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2）限制与例外条款：信银理财保留根据适用法律和国家政策规定及产品说明书的相关约定调整产品收费标准的权利。若因上述原因，信银理财确需调整本产品说明书项下收费标准的，应以本产品说明书约定方式提前通知投资者。投资者不接受调整后的收费标准的，可于最近一个开放日赎回理财产品。</w:t>
      </w:r>
    </w:p>
    <w:p w14:paraId="7EC689D6">
      <w:pPr>
        <w:spacing w:line="300" w:lineRule="exact"/>
        <w:ind w:firstLine="430" w:firstLineChars="214"/>
        <w:jc w:val="both"/>
        <w:rPr>
          <w:rFonts w:ascii="楷体_GB2312" w:eastAsia="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4．咨询与投诉：投资者对本理财产品有任何建议、意见或投诉，请联系信银理财理财经理，或反馈至信银理财营业场所，</w:t>
      </w:r>
      <w:r>
        <w:rPr>
          <w:rFonts w:hint="eastAsia" w:ascii="楷体_GB2312" w:eastAsia="楷体_GB2312"/>
          <w:b/>
          <w:color w:val="000000" w:themeColor="text1"/>
          <w:sz w:val="20"/>
          <w:szCs w:val="20"/>
          <w:highlight w:val="none"/>
          <w14:textFill>
            <w14:solidFill>
              <w14:schemeClr w14:val="tx1"/>
            </w14:solidFill>
          </w14:textFill>
        </w:rPr>
        <w:t>或</w:t>
      </w:r>
      <w:r>
        <w:rPr>
          <w:rFonts w:ascii="楷体_GB2312" w:eastAsia="楷体_GB2312"/>
          <w:b/>
          <w:color w:val="000000" w:themeColor="text1"/>
          <w:sz w:val="20"/>
          <w:szCs w:val="20"/>
          <w:highlight w:val="none"/>
          <w14:textFill>
            <w14:solidFill>
              <w14:schemeClr w14:val="tx1"/>
            </w14:solidFill>
          </w14:textFill>
        </w:rPr>
        <w:t>拨打信银理财客户服务热线【</w:t>
      </w:r>
      <w:r>
        <w:rPr>
          <w:rFonts w:ascii="楷体_GB2312" w:eastAsia="楷体_GB2312"/>
          <w:b/>
          <w:bCs/>
          <w:sz w:val="20"/>
          <w:szCs w:val="20"/>
          <w:highlight w:val="none"/>
        </w:rPr>
        <w:t>950950，工作时间为工作日8：30-20：30</w:t>
      </w:r>
      <w:r>
        <w:rPr>
          <w:rFonts w:ascii="楷体_GB2312" w:eastAsia="楷体_GB2312"/>
          <w:b/>
          <w:color w:val="000000" w:themeColor="text1"/>
          <w:sz w:val="20"/>
          <w:szCs w:val="20"/>
          <w:highlight w:val="none"/>
          <w14:textFill>
            <w14:solidFill>
              <w14:schemeClr w14:val="tx1"/>
            </w14:solidFill>
          </w14:textFill>
        </w:rPr>
        <w:t>】，</w:t>
      </w:r>
      <w:r>
        <w:rPr>
          <w:rFonts w:hint="eastAsia" w:ascii="楷体_GB2312" w:eastAsia="楷体_GB2312"/>
          <w:b/>
          <w:color w:val="000000" w:themeColor="text1"/>
          <w:sz w:val="20"/>
          <w:szCs w:val="20"/>
          <w:highlight w:val="none"/>
          <w14:textFill>
            <w14:solidFill>
              <w14:schemeClr w14:val="tx1"/>
            </w14:solidFill>
          </w14:textFill>
        </w:rPr>
        <w:t>或</w:t>
      </w:r>
      <w:r>
        <w:rPr>
          <w:rFonts w:ascii="楷体_GB2312" w:eastAsia="楷体_GB2312"/>
          <w:b/>
          <w:color w:val="000000" w:themeColor="text1"/>
          <w:sz w:val="20"/>
          <w:szCs w:val="20"/>
          <w:highlight w:val="none"/>
          <w14:textFill>
            <w14:solidFill>
              <w14:schemeClr w14:val="tx1"/>
            </w14:solidFill>
          </w14:textFill>
        </w:rPr>
        <w:t>登录信银理财网站【</w:t>
      </w:r>
      <w:r>
        <w:rPr>
          <w:rFonts w:ascii="楷体_GB2312" w:eastAsia="楷体_GB2312"/>
          <w:b/>
          <w:bCs/>
          <w:sz w:val="20"/>
          <w:szCs w:val="20"/>
          <w:highlight w:val="none"/>
        </w:rPr>
        <w:t>http://www.citic-wealth.com/</w:t>
      </w:r>
      <w:r>
        <w:rPr>
          <w:rFonts w:ascii="楷体_GB2312" w:eastAsia="楷体_GB2312"/>
          <w:b/>
          <w:color w:val="000000" w:themeColor="text1"/>
          <w:sz w:val="20"/>
          <w:szCs w:val="20"/>
          <w:highlight w:val="none"/>
          <w14:textFill>
            <w14:solidFill>
              <w14:schemeClr w14:val="tx1"/>
            </w14:solidFill>
          </w14:textFill>
        </w:rPr>
        <w:t>】进行查询。信银理财将安排专人及时收集客户投诉，并在收到客户投诉的第一时间内与客户取得联系，及时处理并进行反馈</w:t>
      </w:r>
      <w:r>
        <w:rPr>
          <w:rFonts w:hint="eastAsia" w:ascii="楷体_GB2312" w:eastAsia="楷体_GB2312"/>
          <w:b/>
          <w:color w:val="000000" w:themeColor="text1"/>
          <w:sz w:val="20"/>
          <w:szCs w:val="20"/>
          <w:highlight w:val="none"/>
          <w:lang w:eastAsia="zh-CN"/>
          <w14:textFill>
            <w14:solidFill>
              <w14:schemeClr w14:val="tx1"/>
            </w14:solidFill>
          </w14:textFill>
        </w:rPr>
        <w:t>。</w:t>
      </w:r>
      <w:r>
        <w:rPr>
          <w:rFonts w:ascii="楷体_GB2312" w:eastAsia="楷体_GB2312"/>
          <w:b/>
          <w:color w:val="000000" w:themeColor="text1"/>
          <w:sz w:val="20"/>
          <w:szCs w:val="20"/>
          <w:highlight w:val="none"/>
          <w14:textFill>
            <w14:solidFill>
              <w14:schemeClr w14:val="tx1"/>
            </w14:solidFill>
          </w14:textFill>
        </w:rPr>
        <w:t>投资者通过代销机构购买理财产品的，可按照代销机构提供的联系方式反馈信息、咨询和投诉。</w:t>
      </w:r>
    </w:p>
    <w:p w14:paraId="59675254">
      <w:pPr>
        <w:spacing w:line="300" w:lineRule="exact"/>
        <w:ind w:firstLine="430" w:firstLineChars="214"/>
        <w:jc w:val="both"/>
        <w:rPr>
          <w:rFonts w:ascii="楷体_GB2312" w:eastAsia="楷体_GB2312"/>
          <w:b/>
          <w:color w:val="000000" w:themeColor="text1"/>
          <w:sz w:val="20"/>
          <w:szCs w:val="20"/>
          <w:highlight w:val="none"/>
          <w14:textFill>
            <w14:solidFill>
              <w14:schemeClr w14:val="tx1"/>
            </w14:solidFill>
          </w14:textFill>
        </w:rPr>
      </w:pPr>
      <w:r>
        <w:rPr>
          <w:rFonts w:hint="eastAsia" w:ascii="楷体_GB2312" w:eastAsia="楷体_GB2312"/>
          <w:b/>
          <w:color w:val="000000" w:themeColor="text1"/>
          <w:sz w:val="20"/>
          <w:szCs w:val="20"/>
          <w:highlight w:val="none"/>
          <w:lang w:val="en-US" w:eastAsia="zh-CN"/>
          <w14:textFill>
            <w14:solidFill>
              <w14:schemeClr w14:val="tx1"/>
            </w14:solidFill>
          </w14:textFill>
        </w:rPr>
        <w:t>我司投诉处理机构或部门调查核实投诉事项，在收到投诉之日起15日内作出处理决定并告知投诉人，情况复杂的可延长至30日，最长处理期限不超过60日。我司投诉处理机构或部门告知投诉人处理决定的同时，会说明对消费投诉内容的核实情况、作出决定的有关依据和理由，以及投诉人可以采取的申请核查、调解、仲裁、诉讼等纠纷解决途径。</w:t>
      </w:r>
    </w:p>
    <w:p w14:paraId="1BB0C0ED">
      <w:pPr>
        <w:spacing w:line="300" w:lineRule="exact"/>
        <w:ind w:firstLine="430" w:firstLineChars="214"/>
        <w:jc w:val="both"/>
        <w:rPr>
          <w:rFonts w:ascii="楷体_GB2312" w:eastAsia="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5．本产品说明书中关于时间的标准，以信银理财业务处理系统记录的北京时间为准。</w:t>
      </w:r>
    </w:p>
    <w:p w14:paraId="11EA719D">
      <w:pPr>
        <w:spacing w:line="300" w:lineRule="exact"/>
        <w:ind w:firstLine="430" w:firstLineChars="214"/>
        <w:jc w:val="both"/>
        <w:rPr>
          <w:rFonts w:ascii="楷体_GB2312" w:eastAsia="楷体_GB2312"/>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6．信银理财有权依法对本产品说明书进行解释。</w:t>
      </w:r>
    </w:p>
    <w:p w14:paraId="2AF32104">
      <w:pPr>
        <w:spacing w:line="300" w:lineRule="exact"/>
        <w:ind w:left="400" w:right="29" w:rightChars="12" w:hanging="400" w:hangingChars="200"/>
        <w:rPr>
          <w:rFonts w:ascii="黑体" w:hAnsi="Times New Roman" w:eastAsia="黑体" w:cs="黑体"/>
          <w:color w:val="000000" w:themeColor="text1"/>
          <w:sz w:val="20"/>
          <w:szCs w:val="20"/>
          <w:highlight w:val="none"/>
          <w14:textFill>
            <w14:solidFill>
              <w14:schemeClr w14:val="tx1"/>
            </w14:solidFill>
          </w14:textFill>
        </w:rPr>
      </w:pPr>
    </w:p>
    <w:p w14:paraId="3B633168">
      <w:pPr>
        <w:spacing w:line="300" w:lineRule="exact"/>
        <w:ind w:left="400" w:right="29" w:rightChars="12" w:hanging="400" w:hangingChars="200"/>
        <w:rPr>
          <w:rFonts w:ascii="黑体" w:hAnsi="Times New Roman" w:eastAsia="黑体" w:cs="黑体"/>
          <w:color w:val="000000" w:themeColor="text1"/>
          <w:sz w:val="20"/>
          <w:szCs w:val="20"/>
          <w:highlight w:val="none"/>
          <w14:textFill>
            <w14:solidFill>
              <w14:schemeClr w14:val="tx1"/>
            </w14:solidFill>
          </w14:textFill>
        </w:rPr>
      </w:pPr>
      <w:r>
        <w:rPr>
          <w:rFonts w:hint="eastAsia" w:ascii="黑体" w:hAnsi="Times New Roman" w:eastAsia="黑体" w:cs="黑体"/>
          <w:color w:val="000000" w:themeColor="text1"/>
          <w:sz w:val="20"/>
          <w:szCs w:val="20"/>
          <w:highlight w:val="none"/>
          <w14:textFill>
            <w14:solidFill>
              <w14:schemeClr w14:val="tx1"/>
            </w14:solidFill>
          </w14:textFill>
        </w:rPr>
        <w:t>十七、违约责任</w:t>
      </w:r>
    </w:p>
    <w:p w14:paraId="40BAFCD4">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双方因违反本产品说明书约定而给对方造成损失的，违约方应赔偿因此给对方造成的直接损失。</w:t>
      </w:r>
    </w:p>
    <w:p w14:paraId="08733FE8">
      <w:pPr>
        <w:spacing w:line="300" w:lineRule="exact"/>
        <w:ind w:left="-2" w:right="36" w:rightChars="15" w:firstLine="428" w:firstLineChars="214"/>
        <w:rPr>
          <w:rFonts w:ascii="楷体_GB2312" w:eastAsia="楷体_GB2312"/>
          <w:color w:val="000000" w:themeColor="text1"/>
          <w:sz w:val="20"/>
          <w:szCs w:val="20"/>
          <w:highlight w:val="none"/>
          <w14:textFill>
            <w14:solidFill>
              <w14:schemeClr w14:val="tx1"/>
            </w14:solidFill>
          </w14:textFill>
        </w:rPr>
      </w:pPr>
    </w:p>
    <w:p w14:paraId="3435EE6A">
      <w:pPr>
        <w:spacing w:line="300" w:lineRule="exact"/>
        <w:ind w:left="400" w:right="29" w:rightChars="12" w:hanging="400" w:hangingChars="200"/>
        <w:rPr>
          <w:rFonts w:ascii="黑体" w:hAnsi="Times New Roman" w:eastAsia="黑体" w:cs="黑体"/>
          <w:color w:val="000000" w:themeColor="text1"/>
          <w:sz w:val="20"/>
          <w:szCs w:val="20"/>
          <w:highlight w:val="none"/>
          <w14:textFill>
            <w14:solidFill>
              <w14:schemeClr w14:val="tx1"/>
            </w14:solidFill>
          </w14:textFill>
        </w:rPr>
      </w:pPr>
      <w:r>
        <w:rPr>
          <w:rFonts w:hint="eastAsia" w:ascii="黑体" w:hAnsi="Times New Roman" w:eastAsia="黑体" w:cs="黑体"/>
          <w:color w:val="000000" w:themeColor="text1"/>
          <w:sz w:val="20"/>
          <w:szCs w:val="20"/>
          <w:highlight w:val="none"/>
          <w14:textFill>
            <w14:solidFill>
              <w14:schemeClr w14:val="tx1"/>
            </w14:solidFill>
          </w14:textFill>
        </w:rPr>
        <w:t>十八、免责内容</w:t>
      </w:r>
    </w:p>
    <w:p w14:paraId="1A96CAE9">
      <w:pPr>
        <w:spacing w:line="300" w:lineRule="exact"/>
        <w:ind w:firstLine="402" w:firstLineChars="200"/>
        <w:jc w:val="both"/>
        <w:rPr>
          <w:rFonts w:ascii="楷体_GB2312" w:eastAsia="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因法律法规或监管政策变化、自然灾害、意外事故、战争、系统故障、通讯故障等信银理财客观不能预见、不能避免、不能克服的不可抗力事件或意外事件，导致信银理财无法或延后履行本产品说明书有关义务的，信银理财不承担责任</w:t>
      </w:r>
      <w:r>
        <w:rPr>
          <w:rFonts w:hint="eastAsia" w:ascii="楷体_GB2312" w:eastAsia="楷体_GB2312"/>
          <w:b/>
          <w:color w:val="000000" w:themeColor="text1"/>
          <w:sz w:val="20"/>
          <w:szCs w:val="20"/>
          <w:highlight w:val="none"/>
          <w:lang w:eastAsia="zh-CN"/>
          <w14:textFill>
            <w14:solidFill>
              <w14:schemeClr w14:val="tx1"/>
            </w14:solidFill>
          </w14:textFill>
        </w:rPr>
        <w:t>，</w:t>
      </w:r>
      <w:r>
        <w:rPr>
          <w:rFonts w:ascii="楷体_GB2312" w:eastAsia="楷体_GB2312"/>
          <w:b/>
          <w:color w:val="000000" w:themeColor="text1"/>
          <w:sz w:val="20"/>
          <w:szCs w:val="20"/>
          <w:highlight w:val="none"/>
          <w14:textFill>
            <w14:solidFill>
              <w14:schemeClr w14:val="tx1"/>
            </w14:solidFill>
          </w14:textFill>
        </w:rPr>
        <w:t>但因信银理财故意或重大过失造成的系统故障、通讯故障的除外。前述约定不免除因信银理财过错导致依法应由产品管理人承担的责任。管理人应在条件允许的情况下，采取必要的补救措施以减少不可抗力造成的损失。</w:t>
      </w:r>
    </w:p>
    <w:p w14:paraId="68CED322">
      <w:pPr>
        <w:spacing w:line="300" w:lineRule="exact"/>
        <w:ind w:left="-2" w:right="36" w:rightChars="15" w:firstLine="428" w:firstLineChars="214"/>
        <w:rPr>
          <w:rFonts w:ascii="楷体_GB2312" w:eastAsia="楷体_GB2312"/>
          <w:color w:val="000000" w:themeColor="text1"/>
          <w:sz w:val="20"/>
          <w:szCs w:val="20"/>
          <w:highlight w:val="none"/>
          <w14:textFill>
            <w14:solidFill>
              <w14:schemeClr w14:val="tx1"/>
            </w14:solidFill>
          </w14:textFill>
        </w:rPr>
      </w:pPr>
    </w:p>
    <w:p w14:paraId="6227C349">
      <w:pPr>
        <w:spacing w:line="300" w:lineRule="exact"/>
        <w:ind w:left="400" w:right="29" w:rightChars="12" w:hanging="400" w:hangingChars="200"/>
        <w:rPr>
          <w:rFonts w:ascii="黑体" w:hAnsi="Times New Roman" w:eastAsia="黑体" w:cs="黑体"/>
          <w:color w:val="000000" w:themeColor="text1"/>
          <w:sz w:val="20"/>
          <w:szCs w:val="20"/>
          <w:highlight w:val="none"/>
          <w14:textFill>
            <w14:solidFill>
              <w14:schemeClr w14:val="tx1"/>
            </w14:solidFill>
          </w14:textFill>
        </w:rPr>
      </w:pPr>
      <w:r>
        <w:rPr>
          <w:rFonts w:hint="eastAsia" w:ascii="黑体" w:hAnsi="Times New Roman" w:eastAsia="黑体" w:cs="黑体"/>
          <w:color w:val="000000" w:themeColor="text1"/>
          <w:sz w:val="20"/>
          <w:szCs w:val="20"/>
          <w:highlight w:val="none"/>
          <w14:textFill>
            <w14:solidFill>
              <w14:schemeClr w14:val="tx1"/>
            </w14:solidFill>
          </w14:textFill>
        </w:rPr>
        <w:t>十九、本说明书的生效与终止</w:t>
      </w:r>
    </w:p>
    <w:p w14:paraId="0BDDED5B">
      <w:pPr>
        <w:pStyle w:val="19"/>
        <w:numPr>
          <w:ilvl w:val="255"/>
          <w:numId w:val="0"/>
        </w:num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1</w:t>
      </w:r>
      <w:r>
        <w:rPr>
          <w:rFonts w:ascii="楷体_GB2312" w:eastAsia="楷体_GB2312"/>
          <w:color w:val="000000" w:themeColor="text1"/>
          <w:sz w:val="20"/>
          <w:szCs w:val="20"/>
          <w:highlight w:val="none"/>
          <w14:textFill>
            <w14:solidFill>
              <w14:schemeClr w14:val="tx1"/>
            </w14:solidFill>
          </w14:textFill>
        </w:rPr>
        <w:t>．</w:t>
      </w:r>
      <w:r>
        <w:rPr>
          <w:rFonts w:hint="eastAsia" w:ascii="楷体_GB2312" w:eastAsia="楷体_GB2312"/>
          <w:color w:val="000000" w:themeColor="text1"/>
          <w:sz w:val="20"/>
          <w:szCs w:val="20"/>
          <w:highlight w:val="none"/>
          <w14:textFill>
            <w14:solidFill>
              <w14:schemeClr w14:val="tx1"/>
            </w14:solidFill>
          </w14:textFill>
        </w:rPr>
        <w:t>投资者在信银</w:t>
      </w:r>
      <w:r>
        <w:rPr>
          <w:rFonts w:ascii="楷体_GB2312" w:eastAsia="楷体_GB2312"/>
          <w:color w:val="000000" w:themeColor="text1"/>
          <w:sz w:val="20"/>
          <w:szCs w:val="20"/>
          <w:highlight w:val="none"/>
          <w14:textFill>
            <w14:solidFill>
              <w14:schemeClr w14:val="tx1"/>
            </w14:solidFill>
          </w14:textFill>
        </w:rPr>
        <w:t>理财营业场所购买理财产品的，</w:t>
      </w:r>
      <w:r>
        <w:rPr>
          <w:rFonts w:hint="eastAsia" w:ascii="楷体_GB2312" w:eastAsia="楷体_GB2312"/>
          <w:color w:val="000000" w:themeColor="text1"/>
          <w:sz w:val="20"/>
          <w:szCs w:val="20"/>
          <w:highlight w:val="none"/>
          <w14:textFill>
            <w14:solidFill>
              <w14:schemeClr w14:val="tx1"/>
            </w14:solidFill>
          </w14:textFill>
        </w:rPr>
        <w:t>本产品说明书</w:t>
      </w:r>
      <w:r>
        <w:rPr>
          <w:rFonts w:ascii="楷体_GB2312" w:eastAsia="楷体_GB2312"/>
          <w:color w:val="000000" w:themeColor="text1"/>
          <w:sz w:val="20"/>
          <w:szCs w:val="20"/>
          <w:highlight w:val="none"/>
          <w14:textFill>
            <w14:solidFill>
              <w14:schemeClr w14:val="tx1"/>
            </w14:solidFill>
          </w14:textFill>
        </w:rPr>
        <w:t>自</w:t>
      </w:r>
      <w:r>
        <w:rPr>
          <w:rFonts w:hint="eastAsia" w:ascii="楷体_GB2312" w:eastAsia="楷体_GB2312"/>
          <w:color w:val="000000" w:themeColor="text1"/>
          <w:sz w:val="20"/>
          <w:szCs w:val="20"/>
          <w:highlight w:val="none"/>
          <w14:textFill>
            <w14:solidFill>
              <w14:schemeClr w14:val="tx1"/>
            </w14:solidFill>
          </w14:textFill>
        </w:rPr>
        <w:t>投资者</w:t>
      </w:r>
      <w:r>
        <w:rPr>
          <w:rFonts w:ascii="楷体_GB2312" w:eastAsia="楷体_GB2312"/>
          <w:color w:val="000000" w:themeColor="text1"/>
          <w:sz w:val="20"/>
          <w:szCs w:val="20"/>
          <w:highlight w:val="none"/>
          <w14:textFill>
            <w14:solidFill>
              <w14:schemeClr w14:val="tx1"/>
            </w14:solidFill>
          </w14:textFill>
        </w:rPr>
        <w:t>签字/盖章后生效。</w:t>
      </w:r>
      <w:r>
        <w:rPr>
          <w:rFonts w:hint="eastAsia" w:ascii="楷体_GB2312" w:eastAsia="楷体_GB2312"/>
          <w:color w:val="000000" w:themeColor="text1"/>
          <w:sz w:val="20"/>
          <w:szCs w:val="20"/>
          <w:highlight w:val="none"/>
          <w14:textFill>
            <w14:solidFill>
              <w14:schemeClr w14:val="tx1"/>
            </w14:solidFill>
          </w14:textFill>
        </w:rPr>
        <w:t>投资者</w:t>
      </w:r>
      <w:r>
        <w:rPr>
          <w:rFonts w:ascii="楷体_GB2312" w:eastAsia="楷体_GB2312"/>
          <w:color w:val="000000" w:themeColor="text1"/>
          <w:sz w:val="20"/>
          <w:szCs w:val="20"/>
          <w:highlight w:val="none"/>
          <w14:textFill>
            <w14:solidFill>
              <w14:schemeClr w14:val="tx1"/>
            </w14:solidFill>
          </w14:textFill>
        </w:rPr>
        <w:t>通过</w:t>
      </w:r>
      <w:r>
        <w:rPr>
          <w:rFonts w:hint="eastAsia" w:ascii="楷体_GB2312" w:eastAsia="楷体_GB2312"/>
          <w:color w:val="000000" w:themeColor="text1"/>
          <w:sz w:val="20"/>
          <w:szCs w:val="20"/>
          <w:highlight w:val="none"/>
          <w14:textFill>
            <w14:solidFill>
              <w14:schemeClr w14:val="tx1"/>
            </w14:solidFill>
          </w14:textFill>
        </w:rPr>
        <w:t>信银理财</w:t>
      </w:r>
      <w:r>
        <w:rPr>
          <w:rFonts w:ascii="楷体_GB2312" w:eastAsia="楷体_GB2312"/>
          <w:color w:val="000000" w:themeColor="text1"/>
          <w:sz w:val="20"/>
          <w:szCs w:val="20"/>
          <w:highlight w:val="none"/>
          <w14:textFill>
            <w14:solidFill>
              <w14:schemeClr w14:val="tx1"/>
            </w14:solidFill>
          </w14:textFill>
        </w:rPr>
        <w:t>电子渠道购买理财产品的，</w:t>
      </w:r>
      <w:r>
        <w:rPr>
          <w:rFonts w:hint="eastAsia" w:ascii="楷体_GB2312" w:eastAsia="楷体_GB2312"/>
          <w:color w:val="000000" w:themeColor="text1"/>
          <w:sz w:val="20"/>
          <w:szCs w:val="20"/>
          <w:highlight w:val="none"/>
          <w14:textFill>
            <w14:solidFill>
              <w14:schemeClr w14:val="tx1"/>
            </w14:solidFill>
          </w14:textFill>
        </w:rPr>
        <w:t>本产品说明书</w:t>
      </w:r>
      <w:r>
        <w:rPr>
          <w:rFonts w:ascii="楷体_GB2312" w:eastAsia="楷体_GB2312"/>
          <w:color w:val="000000" w:themeColor="text1"/>
          <w:sz w:val="20"/>
          <w:szCs w:val="20"/>
          <w:highlight w:val="none"/>
          <w14:textFill>
            <w14:solidFill>
              <w14:schemeClr w14:val="tx1"/>
            </w14:solidFill>
          </w14:textFill>
        </w:rPr>
        <w:t>自</w:t>
      </w:r>
      <w:r>
        <w:rPr>
          <w:rFonts w:hint="eastAsia" w:ascii="楷体_GB2312" w:eastAsia="楷体_GB2312"/>
          <w:color w:val="000000" w:themeColor="text1"/>
          <w:sz w:val="20"/>
          <w:szCs w:val="20"/>
          <w:highlight w:val="none"/>
          <w14:textFill>
            <w14:solidFill>
              <w14:schemeClr w14:val="tx1"/>
            </w14:solidFill>
          </w14:textFill>
        </w:rPr>
        <w:t>其</w:t>
      </w:r>
      <w:r>
        <w:rPr>
          <w:rFonts w:ascii="楷体_GB2312" w:eastAsia="楷体_GB2312"/>
          <w:color w:val="000000" w:themeColor="text1"/>
          <w:sz w:val="20"/>
          <w:szCs w:val="20"/>
          <w:highlight w:val="none"/>
          <w14:textFill>
            <w14:solidFill>
              <w14:schemeClr w14:val="tx1"/>
            </w14:solidFill>
          </w14:textFill>
        </w:rPr>
        <w:t>在线</w:t>
      </w:r>
      <w:r>
        <w:rPr>
          <w:rFonts w:hint="eastAsia" w:ascii="楷体_GB2312" w:eastAsia="楷体_GB2312"/>
          <w:color w:val="000000" w:themeColor="text1"/>
          <w:sz w:val="20"/>
          <w:szCs w:val="20"/>
          <w:highlight w:val="none"/>
          <w14:textFill>
            <w14:solidFill>
              <w14:schemeClr w14:val="tx1"/>
            </w14:solidFill>
          </w14:textFill>
        </w:rPr>
        <w:t>勾选</w:t>
      </w:r>
      <w:r>
        <w:rPr>
          <w:rFonts w:ascii="楷体_GB2312" w:eastAsia="楷体_GB2312"/>
          <w:color w:val="000000" w:themeColor="text1"/>
          <w:sz w:val="20"/>
          <w:szCs w:val="20"/>
          <w:highlight w:val="none"/>
          <w14:textFill>
            <w14:solidFill>
              <w14:schemeClr w14:val="tx1"/>
            </w14:solidFill>
          </w14:textFill>
        </w:rPr>
        <w:t>确认后生效。</w:t>
      </w:r>
    </w:p>
    <w:p w14:paraId="15F6AD4F">
      <w:pPr>
        <w:pStyle w:val="19"/>
        <w:numPr>
          <w:ilvl w:val="255"/>
          <w:numId w:val="0"/>
        </w:num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2</w:t>
      </w:r>
      <w:r>
        <w:rPr>
          <w:rFonts w:ascii="楷体_GB2312" w:eastAsia="楷体_GB2312"/>
          <w:color w:val="000000" w:themeColor="text1"/>
          <w:sz w:val="20"/>
          <w:szCs w:val="20"/>
          <w:highlight w:val="none"/>
          <w14:textFill>
            <w14:solidFill>
              <w14:schemeClr w14:val="tx1"/>
            </w14:solidFill>
          </w14:textFill>
        </w:rPr>
        <w:t>．</w:t>
      </w:r>
      <w:r>
        <w:rPr>
          <w:rFonts w:hint="eastAsia" w:ascii="楷体_GB2312" w:eastAsia="楷体_GB2312"/>
          <w:color w:val="000000" w:themeColor="text1"/>
          <w:sz w:val="20"/>
          <w:szCs w:val="20"/>
          <w:highlight w:val="none"/>
          <w14:textFill>
            <w14:solidFill>
              <w14:schemeClr w14:val="tx1"/>
            </w14:solidFill>
          </w14:textFill>
        </w:rPr>
        <w:t>如</w:t>
      </w:r>
      <w:r>
        <w:rPr>
          <w:rFonts w:ascii="楷体_GB2312" w:eastAsia="楷体_GB2312"/>
          <w:color w:val="000000" w:themeColor="text1"/>
          <w:sz w:val="20"/>
          <w:szCs w:val="20"/>
          <w:highlight w:val="none"/>
          <w14:textFill>
            <w14:solidFill>
              <w14:schemeClr w14:val="tx1"/>
            </w14:solidFill>
          </w14:textFill>
        </w:rPr>
        <w:t>投资者通过</w:t>
      </w:r>
      <w:r>
        <w:rPr>
          <w:rFonts w:hint="eastAsia" w:ascii="楷体_GB2312" w:eastAsia="楷体_GB2312"/>
          <w:color w:val="000000" w:themeColor="text1"/>
          <w:sz w:val="20"/>
          <w:szCs w:val="20"/>
          <w:highlight w:val="none"/>
          <w14:textFill>
            <w14:solidFill>
              <w14:schemeClr w14:val="tx1"/>
            </w14:solidFill>
          </w14:textFill>
        </w:rPr>
        <w:t>信银</w:t>
      </w:r>
      <w:r>
        <w:rPr>
          <w:rFonts w:ascii="楷体_GB2312" w:eastAsia="楷体_GB2312"/>
          <w:color w:val="000000" w:themeColor="text1"/>
          <w:sz w:val="20"/>
          <w:szCs w:val="20"/>
          <w:highlight w:val="none"/>
          <w14:textFill>
            <w14:solidFill>
              <w14:schemeClr w14:val="tx1"/>
            </w14:solidFill>
          </w14:textFill>
        </w:rPr>
        <w:t>理财合作销售机构</w:t>
      </w:r>
      <w:r>
        <w:rPr>
          <w:rFonts w:hint="eastAsia" w:ascii="楷体_GB2312" w:eastAsia="楷体_GB2312"/>
          <w:color w:val="000000" w:themeColor="text1"/>
          <w:sz w:val="20"/>
          <w:szCs w:val="20"/>
          <w:highlight w:val="none"/>
          <w14:textFill>
            <w14:solidFill>
              <w14:schemeClr w14:val="tx1"/>
            </w14:solidFill>
          </w14:textFill>
        </w:rPr>
        <w:t>（代销机构）</w:t>
      </w:r>
      <w:r>
        <w:rPr>
          <w:rFonts w:ascii="楷体_GB2312" w:eastAsia="楷体_GB2312"/>
          <w:color w:val="000000" w:themeColor="text1"/>
          <w:sz w:val="20"/>
          <w:szCs w:val="20"/>
          <w:highlight w:val="none"/>
          <w14:textFill>
            <w14:solidFill>
              <w14:schemeClr w14:val="tx1"/>
            </w14:solidFill>
          </w14:textFill>
        </w:rPr>
        <w:t>购买理财产品的，</w:t>
      </w:r>
      <w:r>
        <w:rPr>
          <w:rFonts w:hint="eastAsia" w:ascii="楷体_GB2312" w:eastAsia="楷体_GB2312"/>
          <w:color w:val="000000" w:themeColor="text1"/>
          <w:sz w:val="20"/>
          <w:szCs w:val="20"/>
          <w:highlight w:val="none"/>
          <w14:textFill>
            <w14:solidFill>
              <w14:schemeClr w14:val="tx1"/>
            </w14:solidFill>
          </w14:textFill>
        </w:rPr>
        <w:t>说明书</w:t>
      </w:r>
      <w:r>
        <w:rPr>
          <w:rFonts w:ascii="楷体_GB2312" w:eastAsia="楷体_GB2312"/>
          <w:color w:val="000000" w:themeColor="text1"/>
          <w:sz w:val="20"/>
          <w:szCs w:val="20"/>
          <w:highlight w:val="none"/>
          <w14:textFill>
            <w14:solidFill>
              <w14:schemeClr w14:val="tx1"/>
            </w14:solidFill>
          </w14:textFill>
        </w:rPr>
        <w:t>签署及生效方式以</w:t>
      </w:r>
      <w:r>
        <w:rPr>
          <w:rFonts w:hint="eastAsia" w:ascii="楷体_GB2312" w:eastAsia="楷体_GB2312"/>
          <w:color w:val="000000" w:themeColor="text1"/>
          <w:sz w:val="20"/>
          <w:szCs w:val="20"/>
          <w:highlight w:val="none"/>
          <w14:textFill>
            <w14:solidFill>
              <w14:schemeClr w14:val="tx1"/>
            </w14:solidFill>
          </w14:textFill>
        </w:rPr>
        <w:t>投资者</w:t>
      </w:r>
      <w:r>
        <w:rPr>
          <w:rFonts w:ascii="楷体_GB2312" w:eastAsia="楷体_GB2312"/>
          <w:color w:val="000000" w:themeColor="text1"/>
          <w:sz w:val="20"/>
          <w:szCs w:val="20"/>
          <w:highlight w:val="none"/>
          <w14:textFill>
            <w14:solidFill>
              <w14:schemeClr w14:val="tx1"/>
            </w14:solidFill>
          </w14:textFill>
        </w:rPr>
        <w:t>与</w:t>
      </w:r>
      <w:r>
        <w:rPr>
          <w:rFonts w:hint="eastAsia" w:ascii="楷体_GB2312" w:eastAsia="楷体_GB2312"/>
          <w:color w:val="000000" w:themeColor="text1"/>
          <w:sz w:val="20"/>
          <w:szCs w:val="20"/>
          <w:highlight w:val="none"/>
          <w14:textFill>
            <w14:solidFill>
              <w14:schemeClr w14:val="tx1"/>
            </w14:solidFill>
          </w14:textFill>
        </w:rPr>
        <w:t>代销机构约定</w:t>
      </w:r>
      <w:r>
        <w:rPr>
          <w:rFonts w:ascii="楷体_GB2312" w:eastAsia="楷体_GB2312"/>
          <w:color w:val="000000" w:themeColor="text1"/>
          <w:sz w:val="20"/>
          <w:szCs w:val="20"/>
          <w:highlight w:val="none"/>
          <w14:textFill>
            <w14:solidFill>
              <w14:schemeClr w14:val="tx1"/>
            </w14:solidFill>
          </w14:textFill>
        </w:rPr>
        <w:t>为准。</w:t>
      </w:r>
    </w:p>
    <w:p w14:paraId="43592FDA">
      <w:pPr>
        <w:pStyle w:val="19"/>
        <w:spacing w:line="300" w:lineRule="exact"/>
        <w:ind w:left="786" w:right="36" w:rightChars="15" w:firstLine="0" w:firstLineChars="0"/>
        <w:rPr>
          <w:rFonts w:ascii="楷体_GB2312" w:eastAsia="楷体_GB2312"/>
          <w:color w:val="000000" w:themeColor="text1"/>
          <w:sz w:val="20"/>
          <w:szCs w:val="20"/>
          <w:highlight w:val="none"/>
          <w14:textFill>
            <w14:solidFill>
              <w14:schemeClr w14:val="tx1"/>
            </w14:solidFill>
          </w14:textFill>
        </w:rPr>
      </w:pPr>
    </w:p>
    <w:p w14:paraId="092A5569">
      <w:pPr>
        <w:spacing w:line="300" w:lineRule="exact"/>
        <w:ind w:left="400" w:right="29" w:rightChars="12" w:hanging="400" w:hangingChars="200"/>
        <w:rPr>
          <w:rFonts w:ascii="黑体" w:hAnsi="Times New Roman" w:eastAsia="黑体" w:cs="黑体"/>
          <w:color w:val="000000" w:themeColor="text1"/>
          <w:sz w:val="20"/>
          <w:szCs w:val="20"/>
          <w:highlight w:val="none"/>
          <w14:textFill>
            <w14:solidFill>
              <w14:schemeClr w14:val="tx1"/>
            </w14:solidFill>
          </w14:textFill>
        </w:rPr>
      </w:pPr>
      <w:r>
        <w:rPr>
          <w:rFonts w:hint="eastAsia" w:ascii="黑体" w:hAnsi="Times New Roman" w:eastAsia="黑体" w:cs="黑体"/>
          <w:color w:val="000000" w:themeColor="text1"/>
          <w:sz w:val="20"/>
          <w:szCs w:val="20"/>
          <w:highlight w:val="none"/>
          <w14:textFill>
            <w14:solidFill>
              <w14:schemeClr w14:val="tx1"/>
            </w14:solidFill>
          </w14:textFill>
        </w:rPr>
        <w:t>二十、争议解决</w:t>
      </w:r>
    </w:p>
    <w:p w14:paraId="62591965">
      <w:pPr>
        <w:spacing w:line="300" w:lineRule="exact"/>
        <w:ind w:firstLine="402" w:firstLineChars="200"/>
        <w:jc w:val="both"/>
        <w:rPr>
          <w:rFonts w:ascii="Times New Roman" w:hAnsi="Times New Roman" w:eastAsia="楷体_GB2312" w:cs="Times New Roman"/>
          <w:b/>
          <w:bCs/>
          <w:sz w:val="20"/>
          <w:szCs w:val="20"/>
          <w:highlight w:val="none"/>
        </w:rPr>
      </w:pPr>
      <w:bookmarkStart w:id="0" w:name="_Hlk144405041"/>
      <w:r>
        <w:rPr>
          <w:rFonts w:ascii="楷体_GB2312" w:eastAsia="楷体_GB2312" w:cs="楷体_GB2312"/>
          <w:b/>
          <w:color w:val="000000" w:themeColor="text1"/>
          <w:sz w:val="20"/>
          <w:szCs w:val="20"/>
          <w:highlight w:val="none"/>
          <w14:textFill>
            <w14:solidFill>
              <w14:schemeClr w14:val="tx1"/>
            </w14:solidFill>
          </w14:textFill>
        </w:rPr>
        <w:t>1．</w:t>
      </w:r>
      <w:r>
        <w:rPr>
          <w:rFonts w:hint="eastAsia" w:ascii="Times New Roman" w:hAnsi="Times New Roman" w:eastAsia="楷体_GB2312" w:cs="Times New Roman"/>
          <w:b/>
          <w:sz w:val="20"/>
          <w:szCs w:val="20"/>
          <w:highlight w:val="none"/>
        </w:rPr>
        <w:t>理财产品合同适用中华人民共和国法律（为履行理财产品合同之目的，不包括中国香港特别行政区、澳门特别行政区及台湾地区法律）。</w:t>
      </w:r>
    </w:p>
    <w:p w14:paraId="07A6A6BC">
      <w:pPr>
        <w:spacing w:line="300" w:lineRule="exact"/>
        <w:ind w:firstLine="402" w:firstLineChars="200"/>
        <w:jc w:val="both"/>
        <w:rPr>
          <w:rFonts w:ascii="Times New Roman" w:hAnsi="Times New Roman" w:eastAsia="楷体_GB2312" w:cs="Times New Roman"/>
          <w:b/>
          <w:bCs/>
          <w:sz w:val="20"/>
          <w:szCs w:val="20"/>
          <w:highlight w:val="none"/>
        </w:rPr>
      </w:pPr>
      <w:r>
        <w:rPr>
          <w:rFonts w:hint="eastAsia" w:ascii="楷体_GB2312" w:eastAsia="楷体_GB2312" w:cs="楷体_GB2312"/>
          <w:b/>
          <w:color w:val="000000" w:themeColor="text1"/>
          <w:sz w:val="20"/>
          <w:szCs w:val="20"/>
          <w:highlight w:val="none"/>
          <w:lang w:val="en-US" w:eastAsia="zh-CN"/>
          <w14:textFill>
            <w14:solidFill>
              <w14:schemeClr w14:val="tx1"/>
            </w14:solidFill>
          </w14:textFill>
        </w:rPr>
        <w:t>2</w:t>
      </w:r>
      <w:r>
        <w:rPr>
          <w:rFonts w:ascii="楷体_GB2312" w:eastAsia="楷体_GB2312" w:cs="楷体_GB2312"/>
          <w:b/>
          <w:color w:val="000000" w:themeColor="text1"/>
          <w:sz w:val="20"/>
          <w:szCs w:val="20"/>
          <w:highlight w:val="none"/>
          <w14:textFill>
            <w14:solidFill>
              <w14:schemeClr w14:val="tx1"/>
            </w14:solidFill>
          </w14:textFill>
        </w:rPr>
        <w:t>．</w:t>
      </w:r>
      <w:r>
        <w:rPr>
          <w:rFonts w:hint="eastAsia" w:ascii="Times New Roman" w:hAnsi="Times New Roman" w:eastAsia="楷体_GB2312" w:cs="Times New Roman"/>
          <w:b/>
          <w:bCs/>
          <w:sz w:val="20"/>
          <w:szCs w:val="20"/>
          <w:highlight w:val="none"/>
        </w:rPr>
        <w:t>凡因理财产品合同引起的或与理财产品合同有关的任何争议，甲乙双方应本着诚实信用的原则通过协商解决。如通过协商仍不能解决争议时，双方应将该等争议提交上海仲裁委员会仲裁，仲裁地在上海。仲裁裁决是终局性的，对双方均有约束力。除非仲裁裁决另有规定，双方为仲裁而实际支付的费用（包括但不限于仲裁费</w:t>
      </w:r>
      <w:r>
        <w:rPr>
          <w:rFonts w:hint="eastAsia" w:ascii="Times New Roman" w:hAnsi="Times New Roman" w:eastAsia="楷体_GB2312" w:cs="Times New Roman"/>
          <w:b/>
          <w:bCs/>
          <w:sz w:val="20"/>
          <w:szCs w:val="20"/>
          <w:highlight w:val="none"/>
          <w:lang w:eastAsia="zh-CN"/>
        </w:rPr>
        <w:t>、</w:t>
      </w:r>
      <w:r>
        <w:rPr>
          <w:rFonts w:hint="eastAsia" w:ascii="Times New Roman" w:hAnsi="Times New Roman" w:eastAsia="楷体_GB2312" w:cs="Times New Roman"/>
          <w:b/>
          <w:bCs/>
          <w:sz w:val="20"/>
          <w:szCs w:val="20"/>
          <w:highlight w:val="none"/>
        </w:rPr>
        <w:t>律师费</w:t>
      </w:r>
      <w:r>
        <w:rPr>
          <w:rFonts w:hint="eastAsia" w:ascii="Times New Roman" w:hAnsi="Times New Roman" w:eastAsia="楷体_GB2312" w:cs="Times New Roman"/>
          <w:b/>
          <w:bCs/>
          <w:sz w:val="20"/>
          <w:szCs w:val="20"/>
          <w:highlight w:val="none"/>
          <w:lang w:eastAsia="zh-CN"/>
        </w:rPr>
        <w:t>、</w:t>
      </w:r>
      <w:r>
        <w:rPr>
          <w:rFonts w:hint="eastAsia" w:ascii="Times New Roman" w:hAnsi="Times New Roman" w:eastAsia="楷体_GB2312" w:cs="Times New Roman"/>
          <w:b/>
          <w:bCs/>
          <w:sz w:val="20"/>
          <w:szCs w:val="20"/>
          <w:highlight w:val="none"/>
          <w:lang w:val="en-US" w:eastAsia="zh-CN"/>
        </w:rPr>
        <w:t>保全担保费等</w:t>
      </w:r>
      <w:r>
        <w:rPr>
          <w:rFonts w:hint="eastAsia" w:ascii="Times New Roman" w:hAnsi="Times New Roman" w:eastAsia="楷体_GB2312" w:cs="Times New Roman"/>
          <w:b/>
          <w:bCs/>
          <w:sz w:val="20"/>
          <w:szCs w:val="20"/>
          <w:highlight w:val="none"/>
        </w:rPr>
        <w:t>）由败诉方承担。</w:t>
      </w:r>
    </w:p>
    <w:p w14:paraId="4F1410F4">
      <w:pPr>
        <w:spacing w:line="300" w:lineRule="exact"/>
        <w:ind w:firstLine="402"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b/>
          <w:color w:val="000000" w:themeColor="text1"/>
          <w:sz w:val="20"/>
          <w:szCs w:val="20"/>
          <w:highlight w:val="none"/>
          <w:lang w:val="en-US" w:eastAsia="zh-CN"/>
          <w14:textFill>
            <w14:solidFill>
              <w14:schemeClr w14:val="tx1"/>
            </w14:solidFill>
          </w14:textFill>
        </w:rPr>
        <w:t>3</w:t>
      </w:r>
      <w:r>
        <w:rPr>
          <w:rFonts w:ascii="楷体_GB2312" w:eastAsia="楷体_GB2312" w:cs="楷体_GB2312"/>
          <w:b/>
          <w:color w:val="000000" w:themeColor="text1"/>
          <w:sz w:val="20"/>
          <w:szCs w:val="20"/>
          <w:highlight w:val="none"/>
          <w14:textFill>
            <w14:solidFill>
              <w14:schemeClr w14:val="tx1"/>
            </w14:solidFill>
          </w14:textFill>
        </w:rPr>
        <w:t>．</w:t>
      </w:r>
      <w:r>
        <w:rPr>
          <w:rFonts w:hint="eastAsia" w:ascii="Times New Roman" w:hAnsi="Times New Roman" w:eastAsia="楷体_GB2312" w:cs="Times New Roman"/>
          <w:b/>
          <w:bCs/>
          <w:sz w:val="20"/>
          <w:szCs w:val="20"/>
          <w:highlight w:val="none"/>
        </w:rPr>
        <w:t>在协商或仲裁期间，对于理财产品合同不涉及争议部分的条款，双方仍须履行。</w:t>
      </w:r>
      <w:bookmarkEnd w:id="0"/>
    </w:p>
    <w:p w14:paraId="57FAD75D">
      <w:pPr>
        <w:spacing w:line="300" w:lineRule="exact"/>
        <w:ind w:left="400" w:right="29" w:rightChars="12" w:hanging="400" w:hangingChars="200"/>
        <w:rPr>
          <w:rFonts w:ascii="黑体" w:hAnsi="Times New Roman" w:eastAsia="黑体" w:cs="黑体"/>
          <w:color w:val="000000" w:themeColor="text1"/>
          <w:sz w:val="20"/>
          <w:szCs w:val="20"/>
          <w:highlight w:val="none"/>
          <w14:textFill>
            <w14:solidFill>
              <w14:schemeClr w14:val="tx1"/>
            </w14:solidFill>
          </w14:textFill>
        </w:rPr>
      </w:pPr>
      <w:r>
        <w:rPr>
          <w:rFonts w:hint="eastAsia" w:ascii="黑体" w:hAnsi="Times New Roman" w:eastAsia="黑体" w:cs="黑体"/>
          <w:color w:val="000000" w:themeColor="text1"/>
          <w:sz w:val="20"/>
          <w:szCs w:val="20"/>
          <w:highlight w:val="none"/>
          <w14:textFill>
            <w14:solidFill>
              <w14:schemeClr w14:val="tx1"/>
            </w14:solidFill>
          </w14:textFill>
        </w:rPr>
        <w:t>（以下无正文）</w:t>
      </w:r>
    </w:p>
    <w:p w14:paraId="402DF6EA">
      <w:pPr>
        <w:rPr>
          <w:rFonts w:ascii="黑体" w:hAnsi="Times New Roman" w:eastAsia="黑体" w:cs="黑体"/>
          <w:color w:val="000000" w:themeColor="text1"/>
          <w:sz w:val="20"/>
          <w:szCs w:val="20"/>
          <w:highlight w:val="none"/>
          <w14:textFill>
            <w14:solidFill>
              <w14:schemeClr w14:val="tx1"/>
            </w14:solidFill>
          </w14:textFill>
        </w:rPr>
      </w:pPr>
      <w:r>
        <w:rPr>
          <w:rFonts w:ascii="黑体" w:hAnsi="Times New Roman" w:eastAsia="黑体" w:cs="黑体"/>
          <w:color w:val="000000" w:themeColor="text1"/>
          <w:sz w:val="20"/>
          <w:szCs w:val="20"/>
          <w:highlight w:val="none"/>
          <w14:textFill>
            <w14:solidFill>
              <w14:schemeClr w14:val="tx1"/>
            </w14:solidFill>
          </w14:textFill>
        </w:rPr>
        <w:br w:type="page"/>
      </w:r>
      <w:r>
        <w:rPr>
          <w:rFonts w:ascii="楷体_GB2312" w:eastAsia="楷体_GB2312"/>
          <w:color w:val="000000" w:themeColor="text1"/>
          <w:sz w:val="20"/>
          <w:szCs w:val="20"/>
          <w:highlight w:val="none"/>
          <w:u w:val="single"/>
          <w14:textFill>
            <w14:solidFill>
              <w14:schemeClr w14:val="tx1"/>
            </w14:solidFill>
          </w14:textFill>
        </w:rPr>
        <w:t>                                 </w:t>
      </w:r>
    </w:p>
    <w:p w14:paraId="0F4F246F">
      <w:pPr>
        <w:jc w:val="both"/>
        <w:rPr>
          <w:rFonts w:ascii="黑体" w:eastAsia="黑体"/>
          <w:b/>
          <w:bCs/>
          <w:color w:val="000000"/>
          <w:highlight w:val="none"/>
        </w:rPr>
      </w:pPr>
      <w:r>
        <w:rPr>
          <w:rFonts w:hint="eastAsia" w:ascii="黑体" w:eastAsia="黑体"/>
          <w:b/>
          <w:bCs/>
          <w:color w:val="000000"/>
          <w:highlight w:val="none"/>
        </w:rPr>
        <w:t>【重要提示：信银理财已提请投资者注意本产品说明书项下免除或限制其责任的条款以及争议解决条款，并已按投资者要求对有关条款予以充分说明。投资者在本产品说明书上签字</w:t>
      </w:r>
      <w:r>
        <w:rPr>
          <w:rFonts w:ascii="黑体" w:eastAsia="黑体"/>
          <w:b/>
          <w:bCs/>
          <w:color w:val="000000"/>
          <w:highlight w:val="none"/>
        </w:rPr>
        <w:t>/盖章或在线</w:t>
      </w:r>
      <w:r>
        <w:rPr>
          <w:rFonts w:hint="eastAsia" w:ascii="黑体" w:eastAsia="黑体"/>
          <w:b/>
          <w:bCs/>
          <w:color w:val="000000"/>
          <w:highlight w:val="none"/>
        </w:rPr>
        <w:t>点击</w:t>
      </w:r>
      <w:r>
        <w:rPr>
          <w:rFonts w:ascii="黑体" w:eastAsia="黑体"/>
          <w:b/>
          <w:bCs/>
          <w:color w:val="000000"/>
          <w:highlight w:val="none"/>
        </w:rPr>
        <w:t>确认</w:t>
      </w:r>
      <w:r>
        <w:rPr>
          <w:rFonts w:hint="eastAsia" w:ascii="黑体" w:eastAsia="黑体"/>
          <w:b/>
          <w:bCs/>
          <w:color w:val="000000"/>
          <w:highlight w:val="none"/>
        </w:rPr>
        <w:t>即表示已知晓并同意本产品说明书的全部</w:t>
      </w:r>
      <w:r>
        <w:rPr>
          <w:rFonts w:ascii="黑体" w:eastAsia="黑体"/>
          <w:b/>
          <w:bCs/>
          <w:color w:val="000000"/>
          <w:highlight w:val="none"/>
        </w:rPr>
        <w:t>内容</w:t>
      </w:r>
      <w:r>
        <w:rPr>
          <w:rFonts w:hint="eastAsia" w:ascii="黑体" w:eastAsia="黑体"/>
          <w:b/>
          <w:bCs/>
          <w:color w:val="000000"/>
          <w:highlight w:val="none"/>
        </w:rPr>
        <w:t>，因此请您务必仔细阅读后再签署本产品说明书。】</w:t>
      </w:r>
    </w:p>
    <w:p w14:paraId="4FE962DF">
      <w:pPr>
        <w:spacing w:line="300" w:lineRule="exact"/>
        <w:ind w:left="-2" w:leftChars="-1" w:right="36" w:rightChars="15"/>
        <w:rPr>
          <w:rFonts w:ascii="黑体" w:hAnsi="Times New Roman" w:eastAsia="黑体"/>
          <w:color w:val="000000" w:themeColor="text1"/>
          <w:highlight w:val="none"/>
          <w14:textFill>
            <w14:solidFill>
              <w14:schemeClr w14:val="tx1"/>
            </w14:solidFill>
          </w14:textFill>
        </w:rPr>
      </w:pPr>
    </w:p>
    <w:p w14:paraId="402952F6">
      <w:pPr>
        <w:spacing w:line="300" w:lineRule="exact"/>
        <w:ind w:left="-2" w:leftChars="-1" w:right="36" w:rightChars="15"/>
        <w:rPr>
          <w:color w:val="000000" w:themeColor="text1"/>
          <w:highlight w:val="none"/>
          <w14:textFill>
            <w14:solidFill>
              <w14:schemeClr w14:val="tx1"/>
            </w14:solidFill>
          </w14:textFill>
        </w:rPr>
      </w:pPr>
      <w:r>
        <w:rPr>
          <w:rFonts w:hint="eastAsia" w:ascii="黑体" w:hAnsi="Times New Roman" w:eastAsia="黑体"/>
          <w:color w:val="000000" w:themeColor="text1"/>
          <w:highlight w:val="none"/>
          <w14:textFill>
            <w14:solidFill>
              <w14:schemeClr w14:val="tx1"/>
            </w14:solidFill>
          </w14:textFill>
        </w:rPr>
        <w:t>个人客户（签字）：</w:t>
      </w:r>
      <w:r>
        <w:rPr>
          <w:rFonts w:ascii="黑体" w:hAnsi="Times New Roman" w:eastAsia="黑体"/>
          <w:color w:val="000000" w:themeColor="text1"/>
          <w:highlight w:val="none"/>
          <w14:textFill>
            <w14:solidFill>
              <w14:schemeClr w14:val="tx1"/>
            </w14:solidFill>
          </w14:textFill>
        </w:rPr>
        <w:t xml:space="preserve">                   </w:t>
      </w:r>
    </w:p>
    <w:p w14:paraId="3F73A45A">
      <w:pPr>
        <w:ind w:right="440"/>
        <w:rPr>
          <w:rFonts w:ascii="Arial" w:hAnsi="Arial" w:cs="Arial"/>
          <w:color w:val="000000" w:themeColor="text1"/>
          <w:sz w:val="15"/>
          <w:szCs w:val="15"/>
          <w:highlight w:val="none"/>
          <w14:textFill>
            <w14:solidFill>
              <w14:schemeClr w14:val="tx1"/>
            </w14:solidFill>
          </w14:textFill>
        </w:rPr>
      </w:pPr>
      <w:r>
        <w:rPr>
          <w:rFonts w:ascii="黑体" w:hAnsi="Times New Roman" w:eastAsia="黑体" w:cs="Arial"/>
          <w:color w:val="000000" w:themeColor="text1"/>
          <w:highlight w:val="none"/>
          <w14:textFill>
            <w14:solidFill>
              <w14:schemeClr w14:val="tx1"/>
            </w14:solidFill>
          </w14:textFill>
        </w:rPr>
        <w:t xml:space="preserve">                                  </w:t>
      </w:r>
    </w:p>
    <w:p w14:paraId="767FD8A8">
      <w:pPr>
        <w:ind w:left="4440" w:right="440" w:hanging="4440" w:hangingChars="1850"/>
        <w:rPr>
          <w:rFonts w:ascii="楷体" w:hAnsi="楷体" w:eastAsia="楷体" w:cs="Arial"/>
          <w:color w:val="000000" w:themeColor="text1"/>
          <w:sz w:val="15"/>
          <w:szCs w:val="15"/>
          <w:highlight w:val="none"/>
          <w14:textFill>
            <w14:solidFill>
              <w14:schemeClr w14:val="tx1"/>
            </w14:solidFill>
          </w14:textFill>
        </w:rPr>
      </w:pPr>
      <w:r>
        <w:rPr>
          <w:rFonts w:hint="eastAsia" w:ascii="黑体" w:hAnsi="Times New Roman" w:eastAsia="黑体" w:cs="Arial"/>
          <w:color w:val="000000" w:themeColor="text1"/>
          <w:highlight w:val="none"/>
          <w14:textFill>
            <w14:solidFill>
              <w14:schemeClr w14:val="tx1"/>
            </w14:solidFill>
          </w14:textFill>
        </w:rPr>
        <w:t xml:space="preserve">日期：年 月 日                      </w:t>
      </w:r>
      <w:r>
        <w:rPr>
          <w:rFonts w:ascii="黑体" w:hAnsi="Times New Roman" w:eastAsia="黑体" w:cs="Arial"/>
          <w:color w:val="000000" w:themeColor="text1"/>
          <w:highlight w:val="none"/>
          <w14:textFill>
            <w14:solidFill>
              <w14:schemeClr w14:val="tx1"/>
            </w14:solidFill>
          </w14:textFill>
        </w:rPr>
        <w:t xml:space="preserve"> </w:t>
      </w:r>
    </w:p>
    <w:p w14:paraId="2968C615">
      <w:pPr>
        <w:ind w:right="-902" w:rightChars="-376"/>
        <w:rPr>
          <w:rFonts w:ascii="楷体" w:hAnsi="楷体" w:eastAsia="楷体"/>
          <w:color w:val="000000" w:themeColor="text1"/>
          <w:highlight w:val="none"/>
          <w14:textFill>
            <w14:solidFill>
              <w14:schemeClr w14:val="tx1"/>
            </w14:solidFill>
          </w14:textFill>
        </w:rPr>
      </w:pPr>
      <w:r>
        <w:rPr>
          <w:rFonts w:ascii="Calibri" w:hAnsi="Calibri" w:eastAsia="楷体" w:cs="Calibri"/>
          <w:color w:val="000000" w:themeColor="text1"/>
          <w:highlight w:val="none"/>
          <w14:textFill>
            <w14:solidFill>
              <w14:schemeClr w14:val="tx1"/>
            </w14:solidFill>
          </w14:textFill>
        </w:rPr>
        <w:t> </w:t>
      </w:r>
    </w:p>
    <w:p w14:paraId="5656C59C">
      <w:pPr>
        <w:ind w:right="-902" w:rightChars="-376"/>
        <w:rPr>
          <w:rFonts w:ascii="黑体" w:hAnsi="Times New Roman" w:eastAsia="黑体"/>
          <w:color w:val="000000" w:themeColor="text1"/>
          <w:highlight w:val="none"/>
          <w14:textFill>
            <w14:solidFill>
              <w14:schemeClr w14:val="tx1"/>
            </w14:solidFill>
          </w14:textFill>
        </w:rPr>
      </w:pPr>
    </w:p>
    <w:p w14:paraId="262D11BF">
      <w:pPr>
        <w:ind w:right="-902" w:rightChars="-376"/>
        <w:rPr>
          <w:color w:val="000000" w:themeColor="text1"/>
          <w:highlight w:val="none"/>
          <w14:textFill>
            <w14:solidFill>
              <w14:schemeClr w14:val="tx1"/>
            </w14:solidFill>
          </w14:textFill>
        </w:rPr>
      </w:pPr>
      <w:r>
        <w:rPr>
          <w:rFonts w:hint="eastAsia" w:ascii="黑体" w:hAnsi="Times New Roman" w:eastAsia="黑体"/>
          <w:color w:val="000000" w:themeColor="text1"/>
          <w:highlight w:val="none"/>
          <w14:textFill>
            <w14:solidFill>
              <w14:schemeClr w14:val="tx1"/>
            </w14:solidFill>
          </w14:textFill>
        </w:rPr>
        <w:t>机构客户（盖章）：</w:t>
      </w:r>
      <w:r>
        <w:rPr>
          <w:rFonts w:ascii="黑体" w:hAnsi="Times New Roman" w:eastAsia="黑体"/>
          <w:color w:val="000000" w:themeColor="text1"/>
          <w:highlight w:val="none"/>
          <w14:textFill>
            <w14:solidFill>
              <w14:schemeClr w14:val="tx1"/>
            </w14:solidFill>
          </w14:textFill>
        </w:rPr>
        <w:t xml:space="preserve">                    </w:t>
      </w:r>
    </w:p>
    <w:p w14:paraId="584EFEE1">
      <w:pPr>
        <w:ind w:right="-902" w:rightChars="-376"/>
        <w:rPr>
          <w:color w:val="000000" w:themeColor="text1"/>
          <w:highlight w:val="none"/>
          <w14:textFill>
            <w14:solidFill>
              <w14:schemeClr w14:val="tx1"/>
            </w14:solidFill>
          </w14:textFill>
        </w:rPr>
      </w:pPr>
      <w:r>
        <w:rPr>
          <w:rFonts w:ascii="黑体" w:hAnsi="Times New Roman" w:eastAsia="黑体"/>
          <w:color w:val="000000" w:themeColor="text1"/>
          <w:highlight w:val="none"/>
          <w14:textFill>
            <w14:solidFill>
              <w14:schemeClr w14:val="tx1"/>
            </w14:solidFill>
          </w14:textFill>
        </w:rPr>
        <w:t> </w:t>
      </w:r>
    </w:p>
    <w:p w14:paraId="0EE3D199">
      <w:pPr>
        <w:ind w:right="-902" w:rightChars="-376"/>
        <w:rPr>
          <w:color w:val="000000" w:themeColor="text1"/>
          <w:highlight w:val="none"/>
          <w14:textFill>
            <w14:solidFill>
              <w14:schemeClr w14:val="tx1"/>
            </w14:solidFill>
          </w14:textFill>
        </w:rPr>
      </w:pPr>
      <w:r>
        <w:rPr>
          <w:rFonts w:hint="eastAsia" w:ascii="黑体" w:hAnsi="Times New Roman" w:eastAsia="黑体"/>
          <w:color w:val="000000" w:themeColor="text1"/>
          <w:highlight w:val="none"/>
          <w14:textFill>
            <w14:solidFill>
              <w14:schemeClr w14:val="tx1"/>
            </w14:solidFill>
          </w14:textFill>
        </w:rPr>
        <w:t>法定代表人或负责人（签字或签章）：</w:t>
      </w:r>
    </w:p>
    <w:p w14:paraId="72E37A01">
      <w:pPr>
        <w:ind w:right="-902" w:rightChars="-376"/>
        <w:rPr>
          <w:color w:val="000000" w:themeColor="text1"/>
          <w:highlight w:val="none"/>
          <w14:textFill>
            <w14:solidFill>
              <w14:schemeClr w14:val="tx1"/>
            </w14:solidFill>
          </w14:textFill>
        </w:rPr>
      </w:pPr>
      <w:r>
        <w:rPr>
          <w:rFonts w:ascii="黑体" w:hAnsi="Times New Roman" w:eastAsia="黑体"/>
          <w:color w:val="000000" w:themeColor="text1"/>
          <w:highlight w:val="none"/>
          <w14:textFill>
            <w14:solidFill>
              <w14:schemeClr w14:val="tx1"/>
            </w14:solidFill>
          </w14:textFill>
        </w:rPr>
        <w:t> </w:t>
      </w:r>
    </w:p>
    <w:p w14:paraId="53339D4F">
      <w:pPr>
        <w:ind w:right="-902" w:rightChars="-376"/>
        <w:rPr>
          <w:rFonts w:ascii="黑体" w:hAnsi="Times New Roman" w:eastAsia="黑体"/>
          <w:color w:val="000000" w:themeColor="text1"/>
          <w:highlight w:val="none"/>
          <w14:textFill>
            <w14:solidFill>
              <w14:schemeClr w14:val="tx1"/>
            </w14:solidFill>
          </w14:textFill>
        </w:rPr>
      </w:pPr>
      <w:r>
        <w:rPr>
          <w:rFonts w:hint="eastAsia" w:ascii="黑体" w:hAnsi="Times New Roman" w:eastAsia="黑体"/>
          <w:color w:val="000000" w:themeColor="text1"/>
          <w:highlight w:val="none"/>
          <w14:textFill>
            <w14:solidFill>
              <w14:schemeClr w14:val="tx1"/>
            </w14:solidFill>
          </w14:textFill>
        </w:rPr>
        <w:t>日期：年</w:t>
      </w:r>
      <w:r>
        <w:rPr>
          <w:rFonts w:ascii="黑体" w:hAnsi="Times New Roman" w:eastAsia="黑体"/>
          <w:color w:val="000000" w:themeColor="text1"/>
          <w:highlight w:val="none"/>
          <w14:textFill>
            <w14:solidFill>
              <w14:schemeClr w14:val="tx1"/>
            </w14:solidFill>
          </w14:textFill>
        </w:rPr>
        <w:t xml:space="preserve"> </w:t>
      </w:r>
      <w:r>
        <w:rPr>
          <w:rFonts w:hint="eastAsia" w:ascii="黑体" w:hAnsi="Times New Roman" w:eastAsia="黑体"/>
          <w:color w:val="000000" w:themeColor="text1"/>
          <w:highlight w:val="none"/>
          <w14:textFill>
            <w14:solidFill>
              <w14:schemeClr w14:val="tx1"/>
            </w14:solidFill>
          </w14:textFill>
        </w:rPr>
        <w:t>月</w:t>
      </w:r>
      <w:r>
        <w:rPr>
          <w:rFonts w:ascii="黑体" w:hAnsi="Times New Roman" w:eastAsia="黑体"/>
          <w:color w:val="000000" w:themeColor="text1"/>
          <w:highlight w:val="none"/>
          <w14:textFill>
            <w14:solidFill>
              <w14:schemeClr w14:val="tx1"/>
            </w14:solidFill>
          </w14:textFill>
        </w:rPr>
        <w:t xml:space="preserve"> </w:t>
      </w:r>
      <w:r>
        <w:rPr>
          <w:rFonts w:hint="eastAsia" w:ascii="黑体" w:hAnsi="Times New Roman" w:eastAsia="黑体"/>
          <w:color w:val="000000" w:themeColor="text1"/>
          <w:highlight w:val="none"/>
          <w14:textFill>
            <w14:solidFill>
              <w14:schemeClr w14:val="tx1"/>
            </w14:solidFill>
          </w14:textFill>
        </w:rPr>
        <w:t>日</w:t>
      </w:r>
    </w:p>
    <w:p w14:paraId="74CEDDDF">
      <w:pPr>
        <w:snapToGrid w:val="0"/>
        <w:ind w:right="53" w:rightChars="22" w:firstLine="480" w:firstLineChars="200"/>
        <w:outlineLvl w:val="0"/>
        <w:rPr>
          <w:highlight w:val="none"/>
        </w:rPr>
      </w:pPr>
    </w:p>
    <w:sectPr>
      <w:headerReference r:id="rId3" w:type="default"/>
      <w:footerReference r:id="rId4" w:type="default"/>
      <w:pgSz w:w="11906" w:h="16838"/>
      <w:pgMar w:top="1440" w:right="1797" w:bottom="1440" w:left="1797" w:header="850" w:footer="992" w:gutter="0"/>
      <w:pgNumType w:start="1"/>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C4D59">
    <w:pPr>
      <w:pStyle w:val="4"/>
      <w:jc w:val="center"/>
      <w:rPr>
        <w:color w:val="000000" w:themeColor="text1"/>
        <w14:textFill>
          <w14:solidFill>
            <w14:schemeClr w14:val="tx1"/>
          </w14:solidFill>
        </w14:textFill>
      </w:rPr>
    </w:pPr>
    <w:r>
      <w:rPr>
        <w:rFonts w:hint="eastAsia"/>
        <w:color w:val="000000" w:themeColor="text1"/>
        <w:lang w:val="zh-CN"/>
        <w14:textFill>
          <w14:solidFill>
            <w14:schemeClr w14:val="tx1"/>
          </w14:solidFill>
        </w14:textFill>
      </w:rPr>
      <w:t>第</w:t>
    </w:r>
    <w:r>
      <w:rPr>
        <w:color w:val="000000" w:themeColor="text1"/>
        <w:lang w:val="zh-CN"/>
        <w14:textFill>
          <w14:solidFill>
            <w14:schemeClr w14:val="tx1"/>
          </w14:solidFill>
        </w14:textFill>
      </w:rPr>
      <w:t xml:space="preserve">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PAGE  \* Arabic  \* MERGEFORMAT</w:instrText>
    </w:r>
    <w:r>
      <w:rPr>
        <w:color w:val="000000" w:themeColor="text1"/>
        <w14:textFill>
          <w14:solidFill>
            <w14:schemeClr w14:val="tx1"/>
          </w14:solidFill>
        </w14:textFill>
      </w:rPr>
      <w:fldChar w:fldCharType="separate"/>
    </w:r>
    <w:r>
      <w:rPr>
        <w:color w:val="000000" w:themeColor="text1"/>
        <w:lang w:val="zh-CN"/>
        <w14:textFill>
          <w14:solidFill>
            <w14:schemeClr w14:val="tx1"/>
          </w14:solidFill>
        </w14:textFill>
      </w:rPr>
      <w:t>21</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页</w:t>
    </w:r>
    <w:r>
      <w:rPr>
        <w:color w:val="000000" w:themeColor="text1"/>
        <w:lang w:val="zh-CN"/>
        <w14:textFill>
          <w14:solidFill>
            <w14:schemeClr w14:val="tx1"/>
          </w14:solidFill>
        </w14:textFill>
      </w:rPr>
      <w:t xml:space="preserve"> </w:t>
    </w:r>
    <w:r>
      <w:rPr>
        <w:rFonts w:hint="eastAsia"/>
        <w:color w:val="000000" w:themeColor="text1"/>
        <w:lang w:val="zh-CN"/>
        <w14:textFill>
          <w14:solidFill>
            <w14:schemeClr w14:val="tx1"/>
          </w14:solidFill>
        </w14:textFill>
      </w:rPr>
      <w:t>，共</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SECTIONPAGES \* MERGEFORMAT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21</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页</w:t>
    </w:r>
  </w:p>
  <w:p w14:paraId="0E1C5FBC">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A619D">
    <w:pPr>
      <w:pStyle w:val="5"/>
    </w:pPr>
    <w:r>
      <w:rPr>
        <w:rFonts w:hint="eastAsia"/>
      </w:rPr>
      <w:t>本产品风险评级为【PR2】</w:t>
    </w:r>
    <w:r>
      <w:t xml:space="preserve">                    理财非存款、产品有风险、投资须谨慎</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63D3AF"/>
    <w:multiLevelType w:val="singleLevel"/>
    <w:tmpl w:val="9863D3AF"/>
    <w:lvl w:ilvl="0" w:tentative="0">
      <w:start w:val="1"/>
      <w:numFmt w:val="decimal"/>
      <w:lvlText w:val="%1."/>
      <w:lvlJc w:val="left"/>
      <w:pPr>
        <w:ind w:left="425" w:hanging="425"/>
      </w:pPr>
      <w:rPr>
        <w:rFonts w:hint="default"/>
      </w:rPr>
    </w:lvl>
  </w:abstractNum>
  <w:abstractNum w:abstractNumId="1">
    <w:nsid w:val="0CE13340"/>
    <w:multiLevelType w:val="multilevel"/>
    <w:tmpl w:val="0CE13340"/>
    <w:lvl w:ilvl="0" w:tentative="0">
      <w:start w:val="1"/>
      <w:numFmt w:val="decimal"/>
      <w:lvlText w:val="%1."/>
      <w:lvlJc w:val="left"/>
      <w:pPr>
        <w:ind w:left="758" w:hanging="360"/>
      </w:pPr>
      <w:rPr>
        <w:rFonts w:ascii="楷体_GB2312" w:hAnsi="宋体" w:eastAsia="楷体_GB2312" w:cs="楷体_GB2312"/>
      </w:rPr>
    </w:lvl>
    <w:lvl w:ilvl="1" w:tentative="0">
      <w:start w:val="1"/>
      <w:numFmt w:val="lowerLetter"/>
      <w:lvlText w:val="%2)"/>
      <w:lvlJc w:val="left"/>
      <w:pPr>
        <w:ind w:left="1238" w:hanging="420"/>
      </w:pPr>
    </w:lvl>
    <w:lvl w:ilvl="2" w:tentative="0">
      <w:start w:val="1"/>
      <w:numFmt w:val="lowerRoman"/>
      <w:lvlText w:val="%3."/>
      <w:lvlJc w:val="right"/>
      <w:pPr>
        <w:ind w:left="1658" w:hanging="420"/>
      </w:pPr>
    </w:lvl>
    <w:lvl w:ilvl="3" w:tentative="0">
      <w:start w:val="1"/>
      <w:numFmt w:val="decimal"/>
      <w:lvlText w:val="%4."/>
      <w:lvlJc w:val="left"/>
      <w:pPr>
        <w:ind w:left="2078" w:hanging="420"/>
      </w:pPr>
    </w:lvl>
    <w:lvl w:ilvl="4" w:tentative="0">
      <w:start w:val="1"/>
      <w:numFmt w:val="lowerLetter"/>
      <w:lvlText w:val="%5)"/>
      <w:lvlJc w:val="left"/>
      <w:pPr>
        <w:ind w:left="2498" w:hanging="420"/>
      </w:pPr>
    </w:lvl>
    <w:lvl w:ilvl="5" w:tentative="0">
      <w:start w:val="1"/>
      <w:numFmt w:val="lowerRoman"/>
      <w:lvlText w:val="%6."/>
      <w:lvlJc w:val="right"/>
      <w:pPr>
        <w:ind w:left="2918" w:hanging="420"/>
      </w:pPr>
    </w:lvl>
    <w:lvl w:ilvl="6" w:tentative="0">
      <w:start w:val="1"/>
      <w:numFmt w:val="decimal"/>
      <w:lvlText w:val="%7."/>
      <w:lvlJc w:val="left"/>
      <w:pPr>
        <w:ind w:left="3338" w:hanging="420"/>
      </w:pPr>
    </w:lvl>
    <w:lvl w:ilvl="7" w:tentative="0">
      <w:start w:val="1"/>
      <w:numFmt w:val="lowerLetter"/>
      <w:lvlText w:val="%8)"/>
      <w:lvlJc w:val="left"/>
      <w:pPr>
        <w:ind w:left="3758" w:hanging="420"/>
      </w:pPr>
    </w:lvl>
    <w:lvl w:ilvl="8" w:tentative="0">
      <w:start w:val="1"/>
      <w:numFmt w:val="lowerRoman"/>
      <w:lvlText w:val="%9."/>
      <w:lvlJc w:val="right"/>
      <w:pPr>
        <w:ind w:left="4178" w:hanging="420"/>
      </w:pPr>
    </w:lvl>
  </w:abstractNum>
  <w:abstractNum w:abstractNumId="2">
    <w:nsid w:val="15C00D17"/>
    <w:multiLevelType w:val="multilevel"/>
    <w:tmpl w:val="15C00D17"/>
    <w:lvl w:ilvl="0" w:tentative="0">
      <w:start w:val="1"/>
      <w:numFmt w:val="decimal"/>
      <w:lvlText w:val="%1."/>
      <w:lvlJc w:val="left"/>
      <w:pPr>
        <w:ind w:left="644" w:hanging="360"/>
      </w:pPr>
      <w:rPr>
        <w:rFonts w:ascii="Times New Roman" w:hAnsi="Times New Roman" w:eastAsia="楷体_GB2312" w:cs="楷体_GB2312"/>
      </w:rPr>
    </w:lvl>
    <w:lvl w:ilvl="1" w:tentative="0">
      <w:start w:val="1"/>
      <w:numFmt w:val="lowerLetter"/>
      <w:lvlText w:val="%2)"/>
      <w:lvlJc w:val="left"/>
      <w:pPr>
        <w:ind w:left="1124" w:hanging="420"/>
      </w:pPr>
    </w:lvl>
    <w:lvl w:ilvl="2" w:tentative="0">
      <w:start w:val="1"/>
      <w:numFmt w:val="lowerRoman"/>
      <w:lvlText w:val="%3."/>
      <w:lvlJc w:val="right"/>
      <w:pPr>
        <w:ind w:left="1544" w:hanging="420"/>
      </w:pPr>
    </w:lvl>
    <w:lvl w:ilvl="3" w:tentative="0">
      <w:start w:val="1"/>
      <w:numFmt w:val="decimal"/>
      <w:lvlText w:val="%4."/>
      <w:lvlJc w:val="left"/>
      <w:pPr>
        <w:ind w:left="1964" w:hanging="420"/>
      </w:pPr>
    </w:lvl>
    <w:lvl w:ilvl="4" w:tentative="0">
      <w:start w:val="1"/>
      <w:numFmt w:val="lowerLetter"/>
      <w:lvlText w:val="%5)"/>
      <w:lvlJc w:val="left"/>
      <w:pPr>
        <w:ind w:left="2384" w:hanging="420"/>
      </w:pPr>
    </w:lvl>
    <w:lvl w:ilvl="5" w:tentative="0">
      <w:start w:val="1"/>
      <w:numFmt w:val="lowerRoman"/>
      <w:lvlText w:val="%6."/>
      <w:lvlJc w:val="right"/>
      <w:pPr>
        <w:ind w:left="2804" w:hanging="420"/>
      </w:pPr>
    </w:lvl>
    <w:lvl w:ilvl="6" w:tentative="0">
      <w:start w:val="1"/>
      <w:numFmt w:val="decimal"/>
      <w:lvlText w:val="%7."/>
      <w:lvlJc w:val="left"/>
      <w:pPr>
        <w:ind w:left="3224" w:hanging="420"/>
      </w:pPr>
    </w:lvl>
    <w:lvl w:ilvl="7" w:tentative="0">
      <w:start w:val="1"/>
      <w:numFmt w:val="lowerLetter"/>
      <w:lvlText w:val="%8)"/>
      <w:lvlJc w:val="left"/>
      <w:pPr>
        <w:ind w:left="3644" w:hanging="420"/>
      </w:pPr>
    </w:lvl>
    <w:lvl w:ilvl="8" w:tentative="0">
      <w:start w:val="1"/>
      <w:numFmt w:val="lowerRoman"/>
      <w:lvlText w:val="%9."/>
      <w:lvlJc w:val="right"/>
      <w:pPr>
        <w:ind w:left="4064" w:hanging="420"/>
      </w:pPr>
    </w:lvl>
  </w:abstractNum>
  <w:abstractNum w:abstractNumId="3">
    <w:nsid w:val="26136516"/>
    <w:multiLevelType w:val="multilevel"/>
    <w:tmpl w:val="26136516"/>
    <w:lvl w:ilvl="0" w:tentative="0">
      <w:start w:val="1"/>
      <w:numFmt w:val="decimal"/>
      <w:lvlText w:val="%1."/>
      <w:lvlJc w:val="left"/>
      <w:pPr>
        <w:ind w:left="758" w:hanging="360"/>
      </w:pPr>
      <w:rPr>
        <w:rFonts w:ascii="Times New Roman" w:hAnsi="Times New Roman" w:eastAsia="楷体_GB2312" w:cs="楷体_GB2312"/>
      </w:rPr>
    </w:lvl>
    <w:lvl w:ilvl="1" w:tentative="0">
      <w:start w:val="1"/>
      <w:numFmt w:val="lowerLetter"/>
      <w:lvlText w:val="%2)"/>
      <w:lvlJc w:val="left"/>
      <w:pPr>
        <w:ind w:left="1238" w:hanging="420"/>
      </w:pPr>
    </w:lvl>
    <w:lvl w:ilvl="2" w:tentative="0">
      <w:start w:val="1"/>
      <w:numFmt w:val="lowerRoman"/>
      <w:lvlText w:val="%3."/>
      <w:lvlJc w:val="right"/>
      <w:pPr>
        <w:ind w:left="1658" w:hanging="420"/>
      </w:pPr>
    </w:lvl>
    <w:lvl w:ilvl="3" w:tentative="0">
      <w:start w:val="1"/>
      <w:numFmt w:val="decimal"/>
      <w:lvlText w:val="%4."/>
      <w:lvlJc w:val="left"/>
      <w:pPr>
        <w:ind w:left="2078" w:hanging="420"/>
      </w:pPr>
    </w:lvl>
    <w:lvl w:ilvl="4" w:tentative="0">
      <w:start w:val="1"/>
      <w:numFmt w:val="lowerLetter"/>
      <w:lvlText w:val="%5)"/>
      <w:lvlJc w:val="left"/>
      <w:pPr>
        <w:ind w:left="2498" w:hanging="420"/>
      </w:pPr>
    </w:lvl>
    <w:lvl w:ilvl="5" w:tentative="0">
      <w:start w:val="1"/>
      <w:numFmt w:val="lowerRoman"/>
      <w:lvlText w:val="%6."/>
      <w:lvlJc w:val="right"/>
      <w:pPr>
        <w:ind w:left="2918" w:hanging="420"/>
      </w:pPr>
    </w:lvl>
    <w:lvl w:ilvl="6" w:tentative="0">
      <w:start w:val="1"/>
      <w:numFmt w:val="decimal"/>
      <w:lvlText w:val="%7."/>
      <w:lvlJc w:val="left"/>
      <w:pPr>
        <w:ind w:left="3338" w:hanging="420"/>
      </w:pPr>
    </w:lvl>
    <w:lvl w:ilvl="7" w:tentative="0">
      <w:start w:val="1"/>
      <w:numFmt w:val="lowerLetter"/>
      <w:lvlText w:val="%8)"/>
      <w:lvlJc w:val="left"/>
      <w:pPr>
        <w:ind w:left="3758" w:hanging="420"/>
      </w:pPr>
    </w:lvl>
    <w:lvl w:ilvl="8" w:tentative="0">
      <w:start w:val="1"/>
      <w:numFmt w:val="lowerRoman"/>
      <w:lvlText w:val="%9."/>
      <w:lvlJc w:val="right"/>
      <w:pPr>
        <w:ind w:left="4178" w:hanging="420"/>
      </w:pPr>
    </w:lvl>
  </w:abstractNum>
  <w:abstractNum w:abstractNumId="4">
    <w:nsid w:val="2D33B429"/>
    <w:multiLevelType w:val="singleLevel"/>
    <w:tmpl w:val="2D33B429"/>
    <w:lvl w:ilvl="0" w:tentative="0">
      <w:start w:val="2"/>
      <w:numFmt w:val="decimal"/>
      <w:suff w:val="space"/>
      <w:lvlText w:val="%1."/>
      <w:lvlJc w:val="left"/>
    </w:lvl>
  </w:abstractNum>
  <w:abstractNum w:abstractNumId="5">
    <w:nsid w:val="320240BE"/>
    <w:multiLevelType w:val="multilevel"/>
    <w:tmpl w:val="320240BE"/>
    <w:lvl w:ilvl="0" w:tentative="0">
      <w:start w:val="1"/>
      <w:numFmt w:val="decimal"/>
      <w:lvlText w:val="%1."/>
      <w:lvlJc w:val="left"/>
      <w:pPr>
        <w:ind w:left="358" w:hanging="360"/>
      </w:pPr>
      <w:rPr>
        <w:rFonts w:hint="default"/>
      </w:rPr>
    </w:lvl>
    <w:lvl w:ilvl="1" w:tentative="0">
      <w:start w:val="1"/>
      <w:numFmt w:val="lowerLetter"/>
      <w:lvlText w:val="%2)"/>
      <w:lvlJc w:val="left"/>
      <w:pPr>
        <w:ind w:left="838" w:hanging="420"/>
      </w:pPr>
    </w:lvl>
    <w:lvl w:ilvl="2" w:tentative="0">
      <w:start w:val="1"/>
      <w:numFmt w:val="lowerRoman"/>
      <w:lvlText w:val="%3."/>
      <w:lvlJc w:val="right"/>
      <w:pPr>
        <w:ind w:left="1258" w:hanging="420"/>
      </w:pPr>
    </w:lvl>
    <w:lvl w:ilvl="3" w:tentative="0">
      <w:start w:val="1"/>
      <w:numFmt w:val="decimal"/>
      <w:lvlText w:val="%4."/>
      <w:lvlJc w:val="left"/>
      <w:pPr>
        <w:ind w:left="1678" w:hanging="420"/>
      </w:pPr>
    </w:lvl>
    <w:lvl w:ilvl="4" w:tentative="0">
      <w:start w:val="1"/>
      <w:numFmt w:val="lowerLetter"/>
      <w:lvlText w:val="%5)"/>
      <w:lvlJc w:val="left"/>
      <w:pPr>
        <w:ind w:left="2098" w:hanging="420"/>
      </w:pPr>
    </w:lvl>
    <w:lvl w:ilvl="5" w:tentative="0">
      <w:start w:val="1"/>
      <w:numFmt w:val="lowerRoman"/>
      <w:lvlText w:val="%6."/>
      <w:lvlJc w:val="right"/>
      <w:pPr>
        <w:ind w:left="2518" w:hanging="420"/>
      </w:pPr>
    </w:lvl>
    <w:lvl w:ilvl="6" w:tentative="0">
      <w:start w:val="1"/>
      <w:numFmt w:val="decimal"/>
      <w:lvlText w:val="%7."/>
      <w:lvlJc w:val="left"/>
      <w:pPr>
        <w:ind w:left="2938" w:hanging="420"/>
      </w:pPr>
    </w:lvl>
    <w:lvl w:ilvl="7" w:tentative="0">
      <w:start w:val="1"/>
      <w:numFmt w:val="lowerLetter"/>
      <w:lvlText w:val="%8)"/>
      <w:lvlJc w:val="left"/>
      <w:pPr>
        <w:ind w:left="3358" w:hanging="420"/>
      </w:pPr>
    </w:lvl>
    <w:lvl w:ilvl="8" w:tentative="0">
      <w:start w:val="1"/>
      <w:numFmt w:val="lowerRoman"/>
      <w:lvlText w:val="%9."/>
      <w:lvlJc w:val="right"/>
      <w:pPr>
        <w:ind w:left="3778" w:hanging="420"/>
      </w:pPr>
    </w:lvl>
  </w:abstractNum>
  <w:abstractNum w:abstractNumId="6">
    <w:nsid w:val="4B6B1016"/>
    <w:multiLevelType w:val="multilevel"/>
    <w:tmpl w:val="4B6B1016"/>
    <w:lvl w:ilvl="0" w:tentative="0">
      <w:start w:val="1"/>
      <w:numFmt w:val="decimal"/>
      <w:lvlText w:val="%1."/>
      <w:lvlJc w:val="left"/>
      <w:pPr>
        <w:ind w:left="358" w:hanging="360"/>
      </w:pPr>
      <w:rPr>
        <w:rFonts w:hint="default" w:ascii="楷体_GB2312" w:hAnsi="宋体" w:cs="楷体_GB2312"/>
      </w:rPr>
    </w:lvl>
    <w:lvl w:ilvl="1" w:tentative="0">
      <w:start w:val="1"/>
      <w:numFmt w:val="lowerLetter"/>
      <w:lvlText w:val="%2)"/>
      <w:lvlJc w:val="left"/>
      <w:pPr>
        <w:ind w:left="838" w:hanging="420"/>
      </w:pPr>
    </w:lvl>
    <w:lvl w:ilvl="2" w:tentative="0">
      <w:start w:val="1"/>
      <w:numFmt w:val="lowerRoman"/>
      <w:lvlText w:val="%3."/>
      <w:lvlJc w:val="right"/>
      <w:pPr>
        <w:ind w:left="1258" w:hanging="420"/>
      </w:pPr>
    </w:lvl>
    <w:lvl w:ilvl="3" w:tentative="0">
      <w:start w:val="1"/>
      <w:numFmt w:val="decimal"/>
      <w:lvlText w:val="%4."/>
      <w:lvlJc w:val="left"/>
      <w:pPr>
        <w:ind w:left="1678" w:hanging="420"/>
      </w:pPr>
    </w:lvl>
    <w:lvl w:ilvl="4" w:tentative="0">
      <w:start w:val="1"/>
      <w:numFmt w:val="lowerLetter"/>
      <w:lvlText w:val="%5)"/>
      <w:lvlJc w:val="left"/>
      <w:pPr>
        <w:ind w:left="2098" w:hanging="420"/>
      </w:pPr>
    </w:lvl>
    <w:lvl w:ilvl="5" w:tentative="0">
      <w:start w:val="1"/>
      <w:numFmt w:val="lowerRoman"/>
      <w:lvlText w:val="%6."/>
      <w:lvlJc w:val="right"/>
      <w:pPr>
        <w:ind w:left="2518" w:hanging="420"/>
      </w:pPr>
    </w:lvl>
    <w:lvl w:ilvl="6" w:tentative="0">
      <w:start w:val="1"/>
      <w:numFmt w:val="decimal"/>
      <w:lvlText w:val="%7."/>
      <w:lvlJc w:val="left"/>
      <w:pPr>
        <w:ind w:left="2938" w:hanging="420"/>
      </w:pPr>
    </w:lvl>
    <w:lvl w:ilvl="7" w:tentative="0">
      <w:start w:val="1"/>
      <w:numFmt w:val="lowerLetter"/>
      <w:lvlText w:val="%8)"/>
      <w:lvlJc w:val="left"/>
      <w:pPr>
        <w:ind w:left="3358" w:hanging="420"/>
      </w:pPr>
    </w:lvl>
    <w:lvl w:ilvl="8" w:tentative="0">
      <w:start w:val="1"/>
      <w:numFmt w:val="lowerRoman"/>
      <w:lvlText w:val="%9."/>
      <w:lvlJc w:val="right"/>
      <w:pPr>
        <w:ind w:left="3778" w:hanging="420"/>
      </w:pPr>
    </w:lvl>
  </w:abstractNum>
  <w:abstractNum w:abstractNumId="7">
    <w:nsid w:val="70C8692D"/>
    <w:multiLevelType w:val="multilevel"/>
    <w:tmpl w:val="70C8692D"/>
    <w:lvl w:ilvl="0" w:tentative="0">
      <w:start w:val="1"/>
      <w:numFmt w:val="decimal"/>
      <w:lvlText w:val="%1."/>
      <w:lvlJc w:val="left"/>
      <w:pPr>
        <w:ind w:left="358" w:hanging="360"/>
      </w:pPr>
      <w:rPr>
        <w:rFonts w:ascii="楷体_GB2312" w:hAnsi="宋体" w:eastAsia="楷体_GB2312" w:cs="楷体_GB2312"/>
      </w:rPr>
    </w:lvl>
    <w:lvl w:ilvl="1" w:tentative="0">
      <w:start w:val="1"/>
      <w:numFmt w:val="lowerLetter"/>
      <w:lvlText w:val="%2."/>
      <w:lvlJc w:val="left"/>
      <w:pPr>
        <w:ind w:left="1078" w:hanging="360"/>
      </w:pPr>
    </w:lvl>
    <w:lvl w:ilvl="2" w:tentative="0">
      <w:start w:val="1"/>
      <w:numFmt w:val="lowerRoman"/>
      <w:lvlText w:val="%3."/>
      <w:lvlJc w:val="right"/>
      <w:pPr>
        <w:ind w:left="1798" w:hanging="180"/>
      </w:pPr>
    </w:lvl>
    <w:lvl w:ilvl="3" w:tentative="0">
      <w:start w:val="1"/>
      <w:numFmt w:val="decimal"/>
      <w:lvlText w:val="%4."/>
      <w:lvlJc w:val="left"/>
      <w:pPr>
        <w:ind w:left="2518" w:hanging="360"/>
      </w:pPr>
    </w:lvl>
    <w:lvl w:ilvl="4" w:tentative="0">
      <w:start w:val="1"/>
      <w:numFmt w:val="lowerLetter"/>
      <w:lvlText w:val="%5."/>
      <w:lvlJc w:val="left"/>
      <w:pPr>
        <w:ind w:left="3238" w:hanging="360"/>
      </w:pPr>
    </w:lvl>
    <w:lvl w:ilvl="5" w:tentative="0">
      <w:start w:val="1"/>
      <w:numFmt w:val="lowerRoman"/>
      <w:lvlText w:val="%6."/>
      <w:lvlJc w:val="right"/>
      <w:pPr>
        <w:ind w:left="3958" w:hanging="180"/>
      </w:pPr>
    </w:lvl>
    <w:lvl w:ilvl="6" w:tentative="0">
      <w:start w:val="1"/>
      <w:numFmt w:val="decimal"/>
      <w:lvlText w:val="%7."/>
      <w:lvlJc w:val="left"/>
      <w:pPr>
        <w:ind w:left="4678" w:hanging="360"/>
      </w:pPr>
    </w:lvl>
    <w:lvl w:ilvl="7" w:tentative="0">
      <w:start w:val="1"/>
      <w:numFmt w:val="lowerLetter"/>
      <w:lvlText w:val="%8."/>
      <w:lvlJc w:val="left"/>
      <w:pPr>
        <w:ind w:left="5398" w:hanging="360"/>
      </w:pPr>
    </w:lvl>
    <w:lvl w:ilvl="8" w:tentative="0">
      <w:start w:val="1"/>
      <w:numFmt w:val="lowerRoman"/>
      <w:lvlText w:val="%9."/>
      <w:lvlJc w:val="right"/>
      <w:pPr>
        <w:ind w:left="6118" w:hanging="180"/>
      </w:pPr>
    </w:lvl>
  </w:abstractNum>
  <w:abstractNum w:abstractNumId="8">
    <w:nsid w:val="72463A12"/>
    <w:multiLevelType w:val="multilevel"/>
    <w:tmpl w:val="72463A12"/>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6"/>
  </w:num>
  <w:num w:numId="2">
    <w:abstractNumId w:val="8"/>
  </w:num>
  <w:num w:numId="3">
    <w:abstractNumId w:val="0"/>
  </w:num>
  <w:num w:numId="4">
    <w:abstractNumId w:val="5"/>
  </w:num>
  <w:num w:numId="5">
    <w:abstractNumId w:val="7"/>
  </w:num>
  <w:num w:numId="6">
    <w:abstractNumId w:val="3"/>
  </w:num>
  <w:num w:numId="7">
    <w:abstractNumId w:val="1"/>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dit="trackedChanges" w:enforcement="0"/>
  <w:defaultTabStop w:val="420"/>
  <w:drawingGridHorizontalSpacing w:val="0"/>
  <w:drawingGridVerticalSpacing w:val="0"/>
  <w:noPunctuationKerning w:val="1"/>
  <w:characterSpacingControl w:val="doNotCompress"/>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c2NzgzNTQ3YjE0ZWMyZmZiODIyZWQ2YTc3NzhhNGIifQ=="/>
  </w:docVars>
  <w:rsids>
    <w:rsidRoot w:val="00172A27"/>
    <w:rsid w:val="000006C6"/>
    <w:rsid w:val="00001DC5"/>
    <w:rsid w:val="00001F37"/>
    <w:rsid w:val="00003EA4"/>
    <w:rsid w:val="00005611"/>
    <w:rsid w:val="00005AAC"/>
    <w:rsid w:val="00007813"/>
    <w:rsid w:val="00007E67"/>
    <w:rsid w:val="00010675"/>
    <w:rsid w:val="000126B2"/>
    <w:rsid w:val="00012DB3"/>
    <w:rsid w:val="0001372D"/>
    <w:rsid w:val="00013F5B"/>
    <w:rsid w:val="000147D6"/>
    <w:rsid w:val="00014B73"/>
    <w:rsid w:val="0001549F"/>
    <w:rsid w:val="000160B3"/>
    <w:rsid w:val="000205B3"/>
    <w:rsid w:val="00020AB8"/>
    <w:rsid w:val="000212AE"/>
    <w:rsid w:val="00021FBC"/>
    <w:rsid w:val="00022383"/>
    <w:rsid w:val="00023770"/>
    <w:rsid w:val="0002390F"/>
    <w:rsid w:val="0002493B"/>
    <w:rsid w:val="00025F4F"/>
    <w:rsid w:val="0002679A"/>
    <w:rsid w:val="00027D07"/>
    <w:rsid w:val="00032181"/>
    <w:rsid w:val="00032E11"/>
    <w:rsid w:val="00034184"/>
    <w:rsid w:val="0003593E"/>
    <w:rsid w:val="00035D4E"/>
    <w:rsid w:val="00036164"/>
    <w:rsid w:val="000363A0"/>
    <w:rsid w:val="00036A9C"/>
    <w:rsid w:val="00037270"/>
    <w:rsid w:val="00037C31"/>
    <w:rsid w:val="00041092"/>
    <w:rsid w:val="00041EA7"/>
    <w:rsid w:val="000426F9"/>
    <w:rsid w:val="000432B2"/>
    <w:rsid w:val="00043AA8"/>
    <w:rsid w:val="00044D26"/>
    <w:rsid w:val="00045B58"/>
    <w:rsid w:val="00046C52"/>
    <w:rsid w:val="00046D16"/>
    <w:rsid w:val="00047F09"/>
    <w:rsid w:val="000509D8"/>
    <w:rsid w:val="00051D6A"/>
    <w:rsid w:val="00053031"/>
    <w:rsid w:val="000548A7"/>
    <w:rsid w:val="00055799"/>
    <w:rsid w:val="00055B2C"/>
    <w:rsid w:val="00057627"/>
    <w:rsid w:val="00057AF1"/>
    <w:rsid w:val="00060175"/>
    <w:rsid w:val="00060380"/>
    <w:rsid w:val="0006039E"/>
    <w:rsid w:val="00060C45"/>
    <w:rsid w:val="00060CF8"/>
    <w:rsid w:val="000627EE"/>
    <w:rsid w:val="00062C0F"/>
    <w:rsid w:val="00063F74"/>
    <w:rsid w:val="000642FF"/>
    <w:rsid w:val="00064EC6"/>
    <w:rsid w:val="000656EC"/>
    <w:rsid w:val="00070B5F"/>
    <w:rsid w:val="00071B6D"/>
    <w:rsid w:val="0007222D"/>
    <w:rsid w:val="000728B5"/>
    <w:rsid w:val="0007322A"/>
    <w:rsid w:val="000737DF"/>
    <w:rsid w:val="0007491E"/>
    <w:rsid w:val="00074951"/>
    <w:rsid w:val="000757CB"/>
    <w:rsid w:val="000810BD"/>
    <w:rsid w:val="00083705"/>
    <w:rsid w:val="0008387A"/>
    <w:rsid w:val="00084A58"/>
    <w:rsid w:val="00084DE7"/>
    <w:rsid w:val="00085A4A"/>
    <w:rsid w:val="00085E70"/>
    <w:rsid w:val="0008615C"/>
    <w:rsid w:val="0008737E"/>
    <w:rsid w:val="00090367"/>
    <w:rsid w:val="00090A15"/>
    <w:rsid w:val="00090A7C"/>
    <w:rsid w:val="00090B6A"/>
    <w:rsid w:val="000912BC"/>
    <w:rsid w:val="00091490"/>
    <w:rsid w:val="0009250D"/>
    <w:rsid w:val="00093A85"/>
    <w:rsid w:val="00093E3E"/>
    <w:rsid w:val="00094744"/>
    <w:rsid w:val="00096806"/>
    <w:rsid w:val="000A044F"/>
    <w:rsid w:val="000A09D8"/>
    <w:rsid w:val="000A0BFB"/>
    <w:rsid w:val="000A0C47"/>
    <w:rsid w:val="000A5437"/>
    <w:rsid w:val="000A544A"/>
    <w:rsid w:val="000A5B13"/>
    <w:rsid w:val="000A5C95"/>
    <w:rsid w:val="000A5E90"/>
    <w:rsid w:val="000B0124"/>
    <w:rsid w:val="000B0A2B"/>
    <w:rsid w:val="000B1394"/>
    <w:rsid w:val="000B5D44"/>
    <w:rsid w:val="000B6427"/>
    <w:rsid w:val="000B7A00"/>
    <w:rsid w:val="000C04B7"/>
    <w:rsid w:val="000C0E92"/>
    <w:rsid w:val="000C19F3"/>
    <w:rsid w:val="000C2361"/>
    <w:rsid w:val="000C2603"/>
    <w:rsid w:val="000C283C"/>
    <w:rsid w:val="000C3099"/>
    <w:rsid w:val="000C32BE"/>
    <w:rsid w:val="000C33FA"/>
    <w:rsid w:val="000C3AF8"/>
    <w:rsid w:val="000C3D71"/>
    <w:rsid w:val="000C4C04"/>
    <w:rsid w:val="000D0148"/>
    <w:rsid w:val="000D0828"/>
    <w:rsid w:val="000D0FBD"/>
    <w:rsid w:val="000D3A95"/>
    <w:rsid w:val="000D3D90"/>
    <w:rsid w:val="000D4953"/>
    <w:rsid w:val="000D4C7B"/>
    <w:rsid w:val="000D56E3"/>
    <w:rsid w:val="000D672E"/>
    <w:rsid w:val="000D7E38"/>
    <w:rsid w:val="000E0E9C"/>
    <w:rsid w:val="000E10B6"/>
    <w:rsid w:val="000E1AC2"/>
    <w:rsid w:val="000E3008"/>
    <w:rsid w:val="000E4FA1"/>
    <w:rsid w:val="000E51AE"/>
    <w:rsid w:val="000E6792"/>
    <w:rsid w:val="000E6FAB"/>
    <w:rsid w:val="000E7674"/>
    <w:rsid w:val="000F26F4"/>
    <w:rsid w:val="000F32C6"/>
    <w:rsid w:val="000F3ADF"/>
    <w:rsid w:val="000F3D2A"/>
    <w:rsid w:val="000F599D"/>
    <w:rsid w:val="000F798A"/>
    <w:rsid w:val="001010C4"/>
    <w:rsid w:val="0010147F"/>
    <w:rsid w:val="00103F63"/>
    <w:rsid w:val="0010611B"/>
    <w:rsid w:val="0010787D"/>
    <w:rsid w:val="00110BCF"/>
    <w:rsid w:val="001110CC"/>
    <w:rsid w:val="00111E93"/>
    <w:rsid w:val="00115683"/>
    <w:rsid w:val="00115D73"/>
    <w:rsid w:val="00116099"/>
    <w:rsid w:val="0011687B"/>
    <w:rsid w:val="00116B6A"/>
    <w:rsid w:val="001201C9"/>
    <w:rsid w:val="0012037B"/>
    <w:rsid w:val="001204B0"/>
    <w:rsid w:val="00121AA3"/>
    <w:rsid w:val="0012222E"/>
    <w:rsid w:val="0012362E"/>
    <w:rsid w:val="00123C90"/>
    <w:rsid w:val="001247D4"/>
    <w:rsid w:val="00124FBD"/>
    <w:rsid w:val="001260B9"/>
    <w:rsid w:val="00126352"/>
    <w:rsid w:val="001266EA"/>
    <w:rsid w:val="00126DB3"/>
    <w:rsid w:val="00127F0D"/>
    <w:rsid w:val="00130901"/>
    <w:rsid w:val="0013218D"/>
    <w:rsid w:val="00132E82"/>
    <w:rsid w:val="00132F12"/>
    <w:rsid w:val="0013467D"/>
    <w:rsid w:val="00134F4C"/>
    <w:rsid w:val="00135255"/>
    <w:rsid w:val="001353DA"/>
    <w:rsid w:val="00135621"/>
    <w:rsid w:val="00135B6F"/>
    <w:rsid w:val="00136105"/>
    <w:rsid w:val="001370DF"/>
    <w:rsid w:val="0014090C"/>
    <w:rsid w:val="00141A88"/>
    <w:rsid w:val="00141F8B"/>
    <w:rsid w:val="00142811"/>
    <w:rsid w:val="00142826"/>
    <w:rsid w:val="00143200"/>
    <w:rsid w:val="00143DF2"/>
    <w:rsid w:val="001452EC"/>
    <w:rsid w:val="00150914"/>
    <w:rsid w:val="00151D12"/>
    <w:rsid w:val="001521EB"/>
    <w:rsid w:val="00153F81"/>
    <w:rsid w:val="001549C8"/>
    <w:rsid w:val="00155560"/>
    <w:rsid w:val="00157BEF"/>
    <w:rsid w:val="0016135B"/>
    <w:rsid w:val="001615E1"/>
    <w:rsid w:val="00161B84"/>
    <w:rsid w:val="00163B22"/>
    <w:rsid w:val="001641D5"/>
    <w:rsid w:val="00164277"/>
    <w:rsid w:val="00164305"/>
    <w:rsid w:val="00164713"/>
    <w:rsid w:val="001649F3"/>
    <w:rsid w:val="00164B28"/>
    <w:rsid w:val="001652F0"/>
    <w:rsid w:val="001654B6"/>
    <w:rsid w:val="00171231"/>
    <w:rsid w:val="001726CF"/>
    <w:rsid w:val="00172A27"/>
    <w:rsid w:val="001769A8"/>
    <w:rsid w:val="001803F8"/>
    <w:rsid w:val="0018075C"/>
    <w:rsid w:val="0018086A"/>
    <w:rsid w:val="00180F21"/>
    <w:rsid w:val="00181072"/>
    <w:rsid w:val="00182FBF"/>
    <w:rsid w:val="0018374A"/>
    <w:rsid w:val="00184D24"/>
    <w:rsid w:val="001858BE"/>
    <w:rsid w:val="00190A62"/>
    <w:rsid w:val="00190E64"/>
    <w:rsid w:val="00191496"/>
    <w:rsid w:val="001914DE"/>
    <w:rsid w:val="00191D0B"/>
    <w:rsid w:val="001930F7"/>
    <w:rsid w:val="00193302"/>
    <w:rsid w:val="00194DE7"/>
    <w:rsid w:val="0019567E"/>
    <w:rsid w:val="001963EE"/>
    <w:rsid w:val="00196F2E"/>
    <w:rsid w:val="00197081"/>
    <w:rsid w:val="00197D4A"/>
    <w:rsid w:val="001A0F33"/>
    <w:rsid w:val="001A0FD7"/>
    <w:rsid w:val="001A19CD"/>
    <w:rsid w:val="001A1EF1"/>
    <w:rsid w:val="001A218A"/>
    <w:rsid w:val="001A2FFC"/>
    <w:rsid w:val="001A30BE"/>
    <w:rsid w:val="001A345F"/>
    <w:rsid w:val="001A3B81"/>
    <w:rsid w:val="001A45DD"/>
    <w:rsid w:val="001A5BD9"/>
    <w:rsid w:val="001A720A"/>
    <w:rsid w:val="001A7B69"/>
    <w:rsid w:val="001A7BE3"/>
    <w:rsid w:val="001B01FF"/>
    <w:rsid w:val="001B046B"/>
    <w:rsid w:val="001B3184"/>
    <w:rsid w:val="001B35C0"/>
    <w:rsid w:val="001B4ACF"/>
    <w:rsid w:val="001B6460"/>
    <w:rsid w:val="001B6719"/>
    <w:rsid w:val="001B785F"/>
    <w:rsid w:val="001C0F22"/>
    <w:rsid w:val="001C19C0"/>
    <w:rsid w:val="001C2A78"/>
    <w:rsid w:val="001C3D71"/>
    <w:rsid w:val="001C4A13"/>
    <w:rsid w:val="001C4A22"/>
    <w:rsid w:val="001C4BC2"/>
    <w:rsid w:val="001C4FAF"/>
    <w:rsid w:val="001C5015"/>
    <w:rsid w:val="001C5131"/>
    <w:rsid w:val="001C5D78"/>
    <w:rsid w:val="001C72BC"/>
    <w:rsid w:val="001C7B49"/>
    <w:rsid w:val="001C7B7E"/>
    <w:rsid w:val="001C7BB1"/>
    <w:rsid w:val="001D0705"/>
    <w:rsid w:val="001D2684"/>
    <w:rsid w:val="001D4C4E"/>
    <w:rsid w:val="001D4C72"/>
    <w:rsid w:val="001D69CD"/>
    <w:rsid w:val="001D6A97"/>
    <w:rsid w:val="001D7587"/>
    <w:rsid w:val="001D77C8"/>
    <w:rsid w:val="001E133A"/>
    <w:rsid w:val="001E1C60"/>
    <w:rsid w:val="001E1F10"/>
    <w:rsid w:val="001E54F3"/>
    <w:rsid w:val="001E62E2"/>
    <w:rsid w:val="001E6503"/>
    <w:rsid w:val="001E79BB"/>
    <w:rsid w:val="001F19C7"/>
    <w:rsid w:val="001F1C65"/>
    <w:rsid w:val="001F6640"/>
    <w:rsid w:val="001F6AE8"/>
    <w:rsid w:val="001F746B"/>
    <w:rsid w:val="001F7597"/>
    <w:rsid w:val="001F7E97"/>
    <w:rsid w:val="0020078B"/>
    <w:rsid w:val="00201B50"/>
    <w:rsid w:val="00202368"/>
    <w:rsid w:val="00202745"/>
    <w:rsid w:val="0020290B"/>
    <w:rsid w:val="00203755"/>
    <w:rsid w:val="00203983"/>
    <w:rsid w:val="00203EAD"/>
    <w:rsid w:val="0020493D"/>
    <w:rsid w:val="00204B9B"/>
    <w:rsid w:val="00204BEC"/>
    <w:rsid w:val="002068C1"/>
    <w:rsid w:val="00206FC4"/>
    <w:rsid w:val="00210890"/>
    <w:rsid w:val="00211F58"/>
    <w:rsid w:val="0021444C"/>
    <w:rsid w:val="002156E9"/>
    <w:rsid w:val="00216B6D"/>
    <w:rsid w:val="00217786"/>
    <w:rsid w:val="00217805"/>
    <w:rsid w:val="0021788B"/>
    <w:rsid w:val="00217F67"/>
    <w:rsid w:val="0022225E"/>
    <w:rsid w:val="002238C9"/>
    <w:rsid w:val="00223C84"/>
    <w:rsid w:val="00224526"/>
    <w:rsid w:val="002255EE"/>
    <w:rsid w:val="00225C4A"/>
    <w:rsid w:val="002263A2"/>
    <w:rsid w:val="00226CD2"/>
    <w:rsid w:val="00226ED1"/>
    <w:rsid w:val="002270F3"/>
    <w:rsid w:val="00227275"/>
    <w:rsid w:val="00227B02"/>
    <w:rsid w:val="00231806"/>
    <w:rsid w:val="00233296"/>
    <w:rsid w:val="0023366D"/>
    <w:rsid w:val="00233A76"/>
    <w:rsid w:val="00233AC8"/>
    <w:rsid w:val="002353DC"/>
    <w:rsid w:val="00236616"/>
    <w:rsid w:val="00236C74"/>
    <w:rsid w:val="002370EE"/>
    <w:rsid w:val="00237C09"/>
    <w:rsid w:val="00241375"/>
    <w:rsid w:val="00241C9E"/>
    <w:rsid w:val="002420E3"/>
    <w:rsid w:val="00244056"/>
    <w:rsid w:val="0024436C"/>
    <w:rsid w:val="00245331"/>
    <w:rsid w:val="002456FB"/>
    <w:rsid w:val="002465F7"/>
    <w:rsid w:val="00247153"/>
    <w:rsid w:val="00251071"/>
    <w:rsid w:val="002510CF"/>
    <w:rsid w:val="002513B5"/>
    <w:rsid w:val="002523B9"/>
    <w:rsid w:val="00252623"/>
    <w:rsid w:val="00252C23"/>
    <w:rsid w:val="00253360"/>
    <w:rsid w:val="0025354B"/>
    <w:rsid w:val="0025455E"/>
    <w:rsid w:val="00254AA0"/>
    <w:rsid w:val="002555C0"/>
    <w:rsid w:val="00255F6F"/>
    <w:rsid w:val="00260981"/>
    <w:rsid w:val="00261E5A"/>
    <w:rsid w:val="00263626"/>
    <w:rsid w:val="00263AB2"/>
    <w:rsid w:val="00266F6D"/>
    <w:rsid w:val="00271618"/>
    <w:rsid w:val="00271B56"/>
    <w:rsid w:val="00272FFA"/>
    <w:rsid w:val="002730E6"/>
    <w:rsid w:val="00274DDE"/>
    <w:rsid w:val="002752F4"/>
    <w:rsid w:val="002754B9"/>
    <w:rsid w:val="0027618C"/>
    <w:rsid w:val="002761EB"/>
    <w:rsid w:val="00276815"/>
    <w:rsid w:val="00276B2E"/>
    <w:rsid w:val="00277A1B"/>
    <w:rsid w:val="002808D0"/>
    <w:rsid w:val="0028095D"/>
    <w:rsid w:val="00282D2E"/>
    <w:rsid w:val="00283C2A"/>
    <w:rsid w:val="00284F06"/>
    <w:rsid w:val="00286291"/>
    <w:rsid w:val="00287256"/>
    <w:rsid w:val="00290ECD"/>
    <w:rsid w:val="002911B6"/>
    <w:rsid w:val="00291320"/>
    <w:rsid w:val="00291DBD"/>
    <w:rsid w:val="00292667"/>
    <w:rsid w:val="00292C00"/>
    <w:rsid w:val="002947A4"/>
    <w:rsid w:val="00294941"/>
    <w:rsid w:val="00295A54"/>
    <w:rsid w:val="00296760"/>
    <w:rsid w:val="00296927"/>
    <w:rsid w:val="002A0B7C"/>
    <w:rsid w:val="002A101B"/>
    <w:rsid w:val="002A118E"/>
    <w:rsid w:val="002A1446"/>
    <w:rsid w:val="002A1BEB"/>
    <w:rsid w:val="002A284E"/>
    <w:rsid w:val="002A37AD"/>
    <w:rsid w:val="002A3B24"/>
    <w:rsid w:val="002A4085"/>
    <w:rsid w:val="002A448B"/>
    <w:rsid w:val="002A4556"/>
    <w:rsid w:val="002A5D84"/>
    <w:rsid w:val="002A5E24"/>
    <w:rsid w:val="002A6FFD"/>
    <w:rsid w:val="002B09FE"/>
    <w:rsid w:val="002B17C0"/>
    <w:rsid w:val="002B195C"/>
    <w:rsid w:val="002B29BC"/>
    <w:rsid w:val="002B313A"/>
    <w:rsid w:val="002B3B17"/>
    <w:rsid w:val="002B3B55"/>
    <w:rsid w:val="002B53E3"/>
    <w:rsid w:val="002B5834"/>
    <w:rsid w:val="002B5FA9"/>
    <w:rsid w:val="002B68A0"/>
    <w:rsid w:val="002B7859"/>
    <w:rsid w:val="002B7874"/>
    <w:rsid w:val="002B7A91"/>
    <w:rsid w:val="002B7D86"/>
    <w:rsid w:val="002C0457"/>
    <w:rsid w:val="002C07C8"/>
    <w:rsid w:val="002C26F5"/>
    <w:rsid w:val="002C48EE"/>
    <w:rsid w:val="002C5AC6"/>
    <w:rsid w:val="002C5D60"/>
    <w:rsid w:val="002C7E8A"/>
    <w:rsid w:val="002D1482"/>
    <w:rsid w:val="002D35B7"/>
    <w:rsid w:val="002D3636"/>
    <w:rsid w:val="002D38B7"/>
    <w:rsid w:val="002D5C78"/>
    <w:rsid w:val="002D6DF8"/>
    <w:rsid w:val="002D6E0E"/>
    <w:rsid w:val="002D7249"/>
    <w:rsid w:val="002E03CA"/>
    <w:rsid w:val="002E04B5"/>
    <w:rsid w:val="002E12AB"/>
    <w:rsid w:val="002E2882"/>
    <w:rsid w:val="002E4189"/>
    <w:rsid w:val="002E45B5"/>
    <w:rsid w:val="002E4E91"/>
    <w:rsid w:val="002E4E9E"/>
    <w:rsid w:val="002E53AD"/>
    <w:rsid w:val="002E5746"/>
    <w:rsid w:val="002E6205"/>
    <w:rsid w:val="002E6374"/>
    <w:rsid w:val="002E64C4"/>
    <w:rsid w:val="002E7E65"/>
    <w:rsid w:val="002F036E"/>
    <w:rsid w:val="002F05EE"/>
    <w:rsid w:val="002F0ABF"/>
    <w:rsid w:val="002F0E3A"/>
    <w:rsid w:val="002F0F28"/>
    <w:rsid w:val="002F14A9"/>
    <w:rsid w:val="002F265B"/>
    <w:rsid w:val="002F37E4"/>
    <w:rsid w:val="002F388D"/>
    <w:rsid w:val="002F3A2B"/>
    <w:rsid w:val="002F5A6A"/>
    <w:rsid w:val="002F6310"/>
    <w:rsid w:val="002F66D9"/>
    <w:rsid w:val="002F7612"/>
    <w:rsid w:val="003001C7"/>
    <w:rsid w:val="0030071A"/>
    <w:rsid w:val="0030261C"/>
    <w:rsid w:val="003044B1"/>
    <w:rsid w:val="00306F28"/>
    <w:rsid w:val="0030752F"/>
    <w:rsid w:val="00310EC2"/>
    <w:rsid w:val="0031174F"/>
    <w:rsid w:val="00311784"/>
    <w:rsid w:val="0031190E"/>
    <w:rsid w:val="00311D04"/>
    <w:rsid w:val="0031212B"/>
    <w:rsid w:val="00312710"/>
    <w:rsid w:val="00312A2B"/>
    <w:rsid w:val="00313278"/>
    <w:rsid w:val="003133C9"/>
    <w:rsid w:val="003151FF"/>
    <w:rsid w:val="0031563D"/>
    <w:rsid w:val="0031689B"/>
    <w:rsid w:val="00316DEC"/>
    <w:rsid w:val="003175C8"/>
    <w:rsid w:val="00321CAD"/>
    <w:rsid w:val="00322984"/>
    <w:rsid w:val="00322E21"/>
    <w:rsid w:val="003230ED"/>
    <w:rsid w:val="00323E03"/>
    <w:rsid w:val="0032545F"/>
    <w:rsid w:val="0032639F"/>
    <w:rsid w:val="00326CE4"/>
    <w:rsid w:val="0032743B"/>
    <w:rsid w:val="003313E2"/>
    <w:rsid w:val="00332093"/>
    <w:rsid w:val="0033218E"/>
    <w:rsid w:val="003328F9"/>
    <w:rsid w:val="00332EB9"/>
    <w:rsid w:val="00333439"/>
    <w:rsid w:val="003349E7"/>
    <w:rsid w:val="003354AE"/>
    <w:rsid w:val="003356EC"/>
    <w:rsid w:val="0033582E"/>
    <w:rsid w:val="00335B1F"/>
    <w:rsid w:val="00335FE3"/>
    <w:rsid w:val="003361AE"/>
    <w:rsid w:val="00340E3C"/>
    <w:rsid w:val="003413CC"/>
    <w:rsid w:val="0034169C"/>
    <w:rsid w:val="003419F9"/>
    <w:rsid w:val="003429BB"/>
    <w:rsid w:val="00342C5C"/>
    <w:rsid w:val="00343953"/>
    <w:rsid w:val="00344DEE"/>
    <w:rsid w:val="003452C4"/>
    <w:rsid w:val="00345530"/>
    <w:rsid w:val="00346433"/>
    <w:rsid w:val="00350BE3"/>
    <w:rsid w:val="00350FE6"/>
    <w:rsid w:val="00353137"/>
    <w:rsid w:val="003576A4"/>
    <w:rsid w:val="003576A9"/>
    <w:rsid w:val="00357EF2"/>
    <w:rsid w:val="003600CB"/>
    <w:rsid w:val="003618F4"/>
    <w:rsid w:val="00362735"/>
    <w:rsid w:val="00362933"/>
    <w:rsid w:val="003633B2"/>
    <w:rsid w:val="003652A5"/>
    <w:rsid w:val="0036563E"/>
    <w:rsid w:val="0036565F"/>
    <w:rsid w:val="00365828"/>
    <w:rsid w:val="00366351"/>
    <w:rsid w:val="00366963"/>
    <w:rsid w:val="00366D41"/>
    <w:rsid w:val="0037020E"/>
    <w:rsid w:val="00370A06"/>
    <w:rsid w:val="00370AD9"/>
    <w:rsid w:val="00370BE5"/>
    <w:rsid w:val="00371667"/>
    <w:rsid w:val="003722EF"/>
    <w:rsid w:val="003725AC"/>
    <w:rsid w:val="00372863"/>
    <w:rsid w:val="00373013"/>
    <w:rsid w:val="00377004"/>
    <w:rsid w:val="0037708C"/>
    <w:rsid w:val="00377271"/>
    <w:rsid w:val="00380170"/>
    <w:rsid w:val="00380548"/>
    <w:rsid w:val="00381BBC"/>
    <w:rsid w:val="00382F22"/>
    <w:rsid w:val="0038563B"/>
    <w:rsid w:val="00385A31"/>
    <w:rsid w:val="00386985"/>
    <w:rsid w:val="003903BF"/>
    <w:rsid w:val="0039091A"/>
    <w:rsid w:val="00390CFD"/>
    <w:rsid w:val="00390FE7"/>
    <w:rsid w:val="00392188"/>
    <w:rsid w:val="0039371E"/>
    <w:rsid w:val="00394D2F"/>
    <w:rsid w:val="0039559D"/>
    <w:rsid w:val="0039566D"/>
    <w:rsid w:val="00395A7C"/>
    <w:rsid w:val="0039692E"/>
    <w:rsid w:val="003971DB"/>
    <w:rsid w:val="00397A1C"/>
    <w:rsid w:val="00397E61"/>
    <w:rsid w:val="00397F8D"/>
    <w:rsid w:val="003A0843"/>
    <w:rsid w:val="003A1A30"/>
    <w:rsid w:val="003A1BD8"/>
    <w:rsid w:val="003A44D1"/>
    <w:rsid w:val="003A4B48"/>
    <w:rsid w:val="003A4FA1"/>
    <w:rsid w:val="003A712C"/>
    <w:rsid w:val="003B0A33"/>
    <w:rsid w:val="003B0D78"/>
    <w:rsid w:val="003B1732"/>
    <w:rsid w:val="003B3842"/>
    <w:rsid w:val="003B4073"/>
    <w:rsid w:val="003B4081"/>
    <w:rsid w:val="003B4574"/>
    <w:rsid w:val="003B4719"/>
    <w:rsid w:val="003B4DB7"/>
    <w:rsid w:val="003B683D"/>
    <w:rsid w:val="003B756C"/>
    <w:rsid w:val="003B7CAE"/>
    <w:rsid w:val="003C1648"/>
    <w:rsid w:val="003C2960"/>
    <w:rsid w:val="003C61BE"/>
    <w:rsid w:val="003C6339"/>
    <w:rsid w:val="003C727B"/>
    <w:rsid w:val="003C74E8"/>
    <w:rsid w:val="003C7574"/>
    <w:rsid w:val="003C77EF"/>
    <w:rsid w:val="003C7AEF"/>
    <w:rsid w:val="003C7EA4"/>
    <w:rsid w:val="003D0CD1"/>
    <w:rsid w:val="003D1B3B"/>
    <w:rsid w:val="003D222B"/>
    <w:rsid w:val="003D2E25"/>
    <w:rsid w:val="003D3910"/>
    <w:rsid w:val="003D400B"/>
    <w:rsid w:val="003D47E4"/>
    <w:rsid w:val="003D526D"/>
    <w:rsid w:val="003D5980"/>
    <w:rsid w:val="003D6E7F"/>
    <w:rsid w:val="003E231B"/>
    <w:rsid w:val="003E2901"/>
    <w:rsid w:val="003E2E0B"/>
    <w:rsid w:val="003E3345"/>
    <w:rsid w:val="003E4A15"/>
    <w:rsid w:val="003E53B4"/>
    <w:rsid w:val="003E547A"/>
    <w:rsid w:val="003E6901"/>
    <w:rsid w:val="003E7C03"/>
    <w:rsid w:val="003F2084"/>
    <w:rsid w:val="003F22E4"/>
    <w:rsid w:val="003F3C37"/>
    <w:rsid w:val="003F5A11"/>
    <w:rsid w:val="003F5CC9"/>
    <w:rsid w:val="003F7807"/>
    <w:rsid w:val="003F7F7C"/>
    <w:rsid w:val="004038ED"/>
    <w:rsid w:val="0040426A"/>
    <w:rsid w:val="00404732"/>
    <w:rsid w:val="004047D1"/>
    <w:rsid w:val="004057B9"/>
    <w:rsid w:val="0040695D"/>
    <w:rsid w:val="004074C2"/>
    <w:rsid w:val="00410409"/>
    <w:rsid w:val="00411C10"/>
    <w:rsid w:val="0041223C"/>
    <w:rsid w:val="0041226A"/>
    <w:rsid w:val="00412371"/>
    <w:rsid w:val="00413B11"/>
    <w:rsid w:val="0041446D"/>
    <w:rsid w:val="0041523E"/>
    <w:rsid w:val="00415393"/>
    <w:rsid w:val="00415D0E"/>
    <w:rsid w:val="00415DFF"/>
    <w:rsid w:val="00416DEA"/>
    <w:rsid w:val="00420285"/>
    <w:rsid w:val="004202B4"/>
    <w:rsid w:val="004205C0"/>
    <w:rsid w:val="004210C6"/>
    <w:rsid w:val="00421C63"/>
    <w:rsid w:val="00423C5A"/>
    <w:rsid w:val="004243EB"/>
    <w:rsid w:val="00425BD5"/>
    <w:rsid w:val="00425BD9"/>
    <w:rsid w:val="00426C15"/>
    <w:rsid w:val="00426ED5"/>
    <w:rsid w:val="00426FE7"/>
    <w:rsid w:val="00432646"/>
    <w:rsid w:val="00433028"/>
    <w:rsid w:val="00435F2C"/>
    <w:rsid w:val="00436006"/>
    <w:rsid w:val="00436EE0"/>
    <w:rsid w:val="00441E3A"/>
    <w:rsid w:val="00442B27"/>
    <w:rsid w:val="0044420E"/>
    <w:rsid w:val="004468BE"/>
    <w:rsid w:val="00447345"/>
    <w:rsid w:val="00447A92"/>
    <w:rsid w:val="0045068F"/>
    <w:rsid w:val="00450A36"/>
    <w:rsid w:val="004517BC"/>
    <w:rsid w:val="00454324"/>
    <w:rsid w:val="0045444C"/>
    <w:rsid w:val="00454708"/>
    <w:rsid w:val="00454977"/>
    <w:rsid w:val="0045695C"/>
    <w:rsid w:val="004600AE"/>
    <w:rsid w:val="00463F1F"/>
    <w:rsid w:val="00464C78"/>
    <w:rsid w:val="00465DE6"/>
    <w:rsid w:val="00466412"/>
    <w:rsid w:val="0046759B"/>
    <w:rsid w:val="0047057B"/>
    <w:rsid w:val="00470F18"/>
    <w:rsid w:val="00470FB6"/>
    <w:rsid w:val="0047117F"/>
    <w:rsid w:val="0047199F"/>
    <w:rsid w:val="00473091"/>
    <w:rsid w:val="0047482C"/>
    <w:rsid w:val="00474BF6"/>
    <w:rsid w:val="004755EA"/>
    <w:rsid w:val="00475662"/>
    <w:rsid w:val="00475C7B"/>
    <w:rsid w:val="004761A7"/>
    <w:rsid w:val="0047648C"/>
    <w:rsid w:val="004801D7"/>
    <w:rsid w:val="00480C2E"/>
    <w:rsid w:val="00480DD5"/>
    <w:rsid w:val="00480E84"/>
    <w:rsid w:val="0048246F"/>
    <w:rsid w:val="00483BC1"/>
    <w:rsid w:val="00484A29"/>
    <w:rsid w:val="004860D6"/>
    <w:rsid w:val="00487810"/>
    <w:rsid w:val="004919C6"/>
    <w:rsid w:val="00491CAE"/>
    <w:rsid w:val="004920AA"/>
    <w:rsid w:val="00492260"/>
    <w:rsid w:val="00492847"/>
    <w:rsid w:val="004933E0"/>
    <w:rsid w:val="00493FBA"/>
    <w:rsid w:val="00494AB2"/>
    <w:rsid w:val="0049560E"/>
    <w:rsid w:val="00495B31"/>
    <w:rsid w:val="00495FB0"/>
    <w:rsid w:val="004963E8"/>
    <w:rsid w:val="0049652D"/>
    <w:rsid w:val="0049690F"/>
    <w:rsid w:val="004973D1"/>
    <w:rsid w:val="00497A0F"/>
    <w:rsid w:val="004A0105"/>
    <w:rsid w:val="004A2E25"/>
    <w:rsid w:val="004A583D"/>
    <w:rsid w:val="004A6349"/>
    <w:rsid w:val="004A7220"/>
    <w:rsid w:val="004A73A9"/>
    <w:rsid w:val="004A7708"/>
    <w:rsid w:val="004A7C82"/>
    <w:rsid w:val="004B0F38"/>
    <w:rsid w:val="004B3E7F"/>
    <w:rsid w:val="004B4881"/>
    <w:rsid w:val="004B4E0C"/>
    <w:rsid w:val="004B6C35"/>
    <w:rsid w:val="004B757A"/>
    <w:rsid w:val="004B7645"/>
    <w:rsid w:val="004B77ED"/>
    <w:rsid w:val="004B7AB4"/>
    <w:rsid w:val="004C0143"/>
    <w:rsid w:val="004C2F4B"/>
    <w:rsid w:val="004C3474"/>
    <w:rsid w:val="004C351D"/>
    <w:rsid w:val="004C46A4"/>
    <w:rsid w:val="004C49DC"/>
    <w:rsid w:val="004C64B5"/>
    <w:rsid w:val="004D1573"/>
    <w:rsid w:val="004D1B31"/>
    <w:rsid w:val="004D2BBA"/>
    <w:rsid w:val="004D3168"/>
    <w:rsid w:val="004D3982"/>
    <w:rsid w:val="004D3994"/>
    <w:rsid w:val="004D440D"/>
    <w:rsid w:val="004D4C24"/>
    <w:rsid w:val="004D4DE6"/>
    <w:rsid w:val="004D51DA"/>
    <w:rsid w:val="004D6204"/>
    <w:rsid w:val="004E0A90"/>
    <w:rsid w:val="004E0E7C"/>
    <w:rsid w:val="004E2000"/>
    <w:rsid w:val="004E2B94"/>
    <w:rsid w:val="004E2BD5"/>
    <w:rsid w:val="004E3690"/>
    <w:rsid w:val="004E3FA9"/>
    <w:rsid w:val="004E462F"/>
    <w:rsid w:val="004E4B7E"/>
    <w:rsid w:val="004E5085"/>
    <w:rsid w:val="004E7622"/>
    <w:rsid w:val="004E7B20"/>
    <w:rsid w:val="004E7E59"/>
    <w:rsid w:val="004F1681"/>
    <w:rsid w:val="004F1A24"/>
    <w:rsid w:val="004F2DFE"/>
    <w:rsid w:val="004F3D62"/>
    <w:rsid w:val="004F4242"/>
    <w:rsid w:val="004F47CE"/>
    <w:rsid w:val="004F4FA9"/>
    <w:rsid w:val="004F5845"/>
    <w:rsid w:val="004F6A80"/>
    <w:rsid w:val="00500AAB"/>
    <w:rsid w:val="005050A5"/>
    <w:rsid w:val="005058C5"/>
    <w:rsid w:val="0050603A"/>
    <w:rsid w:val="0050607E"/>
    <w:rsid w:val="00506276"/>
    <w:rsid w:val="005069E4"/>
    <w:rsid w:val="00510B6F"/>
    <w:rsid w:val="005127D4"/>
    <w:rsid w:val="00514CB7"/>
    <w:rsid w:val="00517930"/>
    <w:rsid w:val="0052031D"/>
    <w:rsid w:val="005204CE"/>
    <w:rsid w:val="00520C02"/>
    <w:rsid w:val="005221AA"/>
    <w:rsid w:val="005237D3"/>
    <w:rsid w:val="005251A7"/>
    <w:rsid w:val="00525CB4"/>
    <w:rsid w:val="00527BAE"/>
    <w:rsid w:val="005300C9"/>
    <w:rsid w:val="005308F4"/>
    <w:rsid w:val="00532FFB"/>
    <w:rsid w:val="0053467A"/>
    <w:rsid w:val="005349F7"/>
    <w:rsid w:val="0053769F"/>
    <w:rsid w:val="005377C4"/>
    <w:rsid w:val="0054002A"/>
    <w:rsid w:val="005411D5"/>
    <w:rsid w:val="00542AFB"/>
    <w:rsid w:val="00542BD1"/>
    <w:rsid w:val="0054435B"/>
    <w:rsid w:val="0054504E"/>
    <w:rsid w:val="00545208"/>
    <w:rsid w:val="0054528F"/>
    <w:rsid w:val="00546441"/>
    <w:rsid w:val="00546BB0"/>
    <w:rsid w:val="0055027C"/>
    <w:rsid w:val="00552E84"/>
    <w:rsid w:val="00556322"/>
    <w:rsid w:val="00556B8C"/>
    <w:rsid w:val="00557038"/>
    <w:rsid w:val="00557981"/>
    <w:rsid w:val="00562B52"/>
    <w:rsid w:val="00562B8F"/>
    <w:rsid w:val="00564357"/>
    <w:rsid w:val="005645C5"/>
    <w:rsid w:val="00565255"/>
    <w:rsid w:val="00566105"/>
    <w:rsid w:val="00566897"/>
    <w:rsid w:val="0056753D"/>
    <w:rsid w:val="00567B10"/>
    <w:rsid w:val="005728B6"/>
    <w:rsid w:val="005743F9"/>
    <w:rsid w:val="005744F2"/>
    <w:rsid w:val="005755E0"/>
    <w:rsid w:val="005769C1"/>
    <w:rsid w:val="00580CAC"/>
    <w:rsid w:val="00582D53"/>
    <w:rsid w:val="00583F36"/>
    <w:rsid w:val="005844AB"/>
    <w:rsid w:val="005865C3"/>
    <w:rsid w:val="00587E1F"/>
    <w:rsid w:val="00592F42"/>
    <w:rsid w:val="0059646B"/>
    <w:rsid w:val="0059788F"/>
    <w:rsid w:val="00597DBA"/>
    <w:rsid w:val="005A099D"/>
    <w:rsid w:val="005A10DB"/>
    <w:rsid w:val="005A1668"/>
    <w:rsid w:val="005A20DA"/>
    <w:rsid w:val="005A356F"/>
    <w:rsid w:val="005A3C8F"/>
    <w:rsid w:val="005A5733"/>
    <w:rsid w:val="005A5EC0"/>
    <w:rsid w:val="005A5F0F"/>
    <w:rsid w:val="005B0BE3"/>
    <w:rsid w:val="005B26C0"/>
    <w:rsid w:val="005B2BD9"/>
    <w:rsid w:val="005B2FCA"/>
    <w:rsid w:val="005B3731"/>
    <w:rsid w:val="005B4B89"/>
    <w:rsid w:val="005B4D6F"/>
    <w:rsid w:val="005C1012"/>
    <w:rsid w:val="005C21E6"/>
    <w:rsid w:val="005C26A1"/>
    <w:rsid w:val="005C2BE9"/>
    <w:rsid w:val="005C2F1B"/>
    <w:rsid w:val="005C739D"/>
    <w:rsid w:val="005C758E"/>
    <w:rsid w:val="005C7C39"/>
    <w:rsid w:val="005D2357"/>
    <w:rsid w:val="005D25FF"/>
    <w:rsid w:val="005D267F"/>
    <w:rsid w:val="005D2920"/>
    <w:rsid w:val="005D45A1"/>
    <w:rsid w:val="005D58BE"/>
    <w:rsid w:val="005D795D"/>
    <w:rsid w:val="005D7B9B"/>
    <w:rsid w:val="005E01B3"/>
    <w:rsid w:val="005E08D0"/>
    <w:rsid w:val="005E0A11"/>
    <w:rsid w:val="005E1765"/>
    <w:rsid w:val="005E1B40"/>
    <w:rsid w:val="005E4210"/>
    <w:rsid w:val="005E4D56"/>
    <w:rsid w:val="005E528C"/>
    <w:rsid w:val="005E6010"/>
    <w:rsid w:val="005F076E"/>
    <w:rsid w:val="005F16A2"/>
    <w:rsid w:val="005F24E9"/>
    <w:rsid w:val="005F3283"/>
    <w:rsid w:val="005F369A"/>
    <w:rsid w:val="005F443D"/>
    <w:rsid w:val="005F5A10"/>
    <w:rsid w:val="005F5CFB"/>
    <w:rsid w:val="005F5F1C"/>
    <w:rsid w:val="005F5F85"/>
    <w:rsid w:val="00606F08"/>
    <w:rsid w:val="00607679"/>
    <w:rsid w:val="006105B2"/>
    <w:rsid w:val="00611B92"/>
    <w:rsid w:val="00611DB4"/>
    <w:rsid w:val="00612981"/>
    <w:rsid w:val="00613023"/>
    <w:rsid w:val="0061310D"/>
    <w:rsid w:val="0061324D"/>
    <w:rsid w:val="00613B01"/>
    <w:rsid w:val="00613B4A"/>
    <w:rsid w:val="00614825"/>
    <w:rsid w:val="0061792E"/>
    <w:rsid w:val="006223DC"/>
    <w:rsid w:val="006229A2"/>
    <w:rsid w:val="00622B39"/>
    <w:rsid w:val="0062630B"/>
    <w:rsid w:val="00626BED"/>
    <w:rsid w:val="006316F8"/>
    <w:rsid w:val="006320C1"/>
    <w:rsid w:val="0063231F"/>
    <w:rsid w:val="006329FC"/>
    <w:rsid w:val="00634DA2"/>
    <w:rsid w:val="00635DC5"/>
    <w:rsid w:val="006368D3"/>
    <w:rsid w:val="00637451"/>
    <w:rsid w:val="00637A0A"/>
    <w:rsid w:val="00640235"/>
    <w:rsid w:val="006402C3"/>
    <w:rsid w:val="00641240"/>
    <w:rsid w:val="00641566"/>
    <w:rsid w:val="00643B4D"/>
    <w:rsid w:val="00645222"/>
    <w:rsid w:val="00647C44"/>
    <w:rsid w:val="00647F44"/>
    <w:rsid w:val="006509E5"/>
    <w:rsid w:val="00650A3F"/>
    <w:rsid w:val="00651DB2"/>
    <w:rsid w:val="00653654"/>
    <w:rsid w:val="00653916"/>
    <w:rsid w:val="00654190"/>
    <w:rsid w:val="0065475E"/>
    <w:rsid w:val="0065533B"/>
    <w:rsid w:val="0065544C"/>
    <w:rsid w:val="00656A56"/>
    <w:rsid w:val="0065724F"/>
    <w:rsid w:val="0066017F"/>
    <w:rsid w:val="00660236"/>
    <w:rsid w:val="00661CF7"/>
    <w:rsid w:val="006627C0"/>
    <w:rsid w:val="0066536D"/>
    <w:rsid w:val="00665606"/>
    <w:rsid w:val="00666C5E"/>
    <w:rsid w:val="0067241F"/>
    <w:rsid w:val="006745BC"/>
    <w:rsid w:val="00676EB5"/>
    <w:rsid w:val="0067780B"/>
    <w:rsid w:val="00680248"/>
    <w:rsid w:val="006804CB"/>
    <w:rsid w:val="00680BF4"/>
    <w:rsid w:val="00680E28"/>
    <w:rsid w:val="006815CC"/>
    <w:rsid w:val="00682617"/>
    <w:rsid w:val="00682858"/>
    <w:rsid w:val="0068393D"/>
    <w:rsid w:val="00683ADB"/>
    <w:rsid w:val="00683B14"/>
    <w:rsid w:val="00683B23"/>
    <w:rsid w:val="00684BB5"/>
    <w:rsid w:val="00684C0B"/>
    <w:rsid w:val="00686834"/>
    <w:rsid w:val="006872CC"/>
    <w:rsid w:val="00687EA8"/>
    <w:rsid w:val="0069072F"/>
    <w:rsid w:val="006908EE"/>
    <w:rsid w:val="00690A73"/>
    <w:rsid w:val="0069257C"/>
    <w:rsid w:val="00692C48"/>
    <w:rsid w:val="00693746"/>
    <w:rsid w:val="006937C2"/>
    <w:rsid w:val="00693E49"/>
    <w:rsid w:val="00694D2F"/>
    <w:rsid w:val="006967C7"/>
    <w:rsid w:val="0069708B"/>
    <w:rsid w:val="006975BC"/>
    <w:rsid w:val="006976C9"/>
    <w:rsid w:val="006A041A"/>
    <w:rsid w:val="006A0C97"/>
    <w:rsid w:val="006A19F9"/>
    <w:rsid w:val="006A1BF2"/>
    <w:rsid w:val="006A3FF4"/>
    <w:rsid w:val="006A4091"/>
    <w:rsid w:val="006A5164"/>
    <w:rsid w:val="006A599F"/>
    <w:rsid w:val="006A5B67"/>
    <w:rsid w:val="006A7B62"/>
    <w:rsid w:val="006B0816"/>
    <w:rsid w:val="006B66BC"/>
    <w:rsid w:val="006B73C5"/>
    <w:rsid w:val="006B7B00"/>
    <w:rsid w:val="006C0090"/>
    <w:rsid w:val="006C093B"/>
    <w:rsid w:val="006C284C"/>
    <w:rsid w:val="006C4FBC"/>
    <w:rsid w:val="006C5D6D"/>
    <w:rsid w:val="006C601F"/>
    <w:rsid w:val="006D0C5F"/>
    <w:rsid w:val="006D0DEA"/>
    <w:rsid w:val="006D0F16"/>
    <w:rsid w:val="006D2C12"/>
    <w:rsid w:val="006D2C7C"/>
    <w:rsid w:val="006D380D"/>
    <w:rsid w:val="006D4480"/>
    <w:rsid w:val="006D621E"/>
    <w:rsid w:val="006D6DF1"/>
    <w:rsid w:val="006D6E33"/>
    <w:rsid w:val="006D7DF5"/>
    <w:rsid w:val="006E0460"/>
    <w:rsid w:val="006E0C09"/>
    <w:rsid w:val="006E0F1E"/>
    <w:rsid w:val="006E10CF"/>
    <w:rsid w:val="006E15D2"/>
    <w:rsid w:val="006E1BEF"/>
    <w:rsid w:val="006E308C"/>
    <w:rsid w:val="006E30F2"/>
    <w:rsid w:val="006E3116"/>
    <w:rsid w:val="006E4D63"/>
    <w:rsid w:val="006E4D8B"/>
    <w:rsid w:val="006F0103"/>
    <w:rsid w:val="006F04C3"/>
    <w:rsid w:val="006F166D"/>
    <w:rsid w:val="006F176C"/>
    <w:rsid w:val="006F6203"/>
    <w:rsid w:val="006F7210"/>
    <w:rsid w:val="007006E7"/>
    <w:rsid w:val="00701C15"/>
    <w:rsid w:val="0070208D"/>
    <w:rsid w:val="0070245B"/>
    <w:rsid w:val="00702766"/>
    <w:rsid w:val="0070415D"/>
    <w:rsid w:val="007072E0"/>
    <w:rsid w:val="00707AF3"/>
    <w:rsid w:val="007104B0"/>
    <w:rsid w:val="007104E4"/>
    <w:rsid w:val="00712F22"/>
    <w:rsid w:val="0071377E"/>
    <w:rsid w:val="00714057"/>
    <w:rsid w:val="007146CC"/>
    <w:rsid w:val="007160F3"/>
    <w:rsid w:val="00716F0D"/>
    <w:rsid w:val="00720264"/>
    <w:rsid w:val="00720525"/>
    <w:rsid w:val="00721C29"/>
    <w:rsid w:val="0072328E"/>
    <w:rsid w:val="00724409"/>
    <w:rsid w:val="007244B9"/>
    <w:rsid w:val="0072458B"/>
    <w:rsid w:val="00725E51"/>
    <w:rsid w:val="00726156"/>
    <w:rsid w:val="0072721F"/>
    <w:rsid w:val="007277A7"/>
    <w:rsid w:val="0073120A"/>
    <w:rsid w:val="00733214"/>
    <w:rsid w:val="00733CAE"/>
    <w:rsid w:val="007341D7"/>
    <w:rsid w:val="00736325"/>
    <w:rsid w:val="00736790"/>
    <w:rsid w:val="00742D4B"/>
    <w:rsid w:val="007431A2"/>
    <w:rsid w:val="007439E8"/>
    <w:rsid w:val="00744840"/>
    <w:rsid w:val="00745A82"/>
    <w:rsid w:val="00745BB0"/>
    <w:rsid w:val="00746115"/>
    <w:rsid w:val="00750011"/>
    <w:rsid w:val="007500A6"/>
    <w:rsid w:val="00753114"/>
    <w:rsid w:val="007535A2"/>
    <w:rsid w:val="007546F6"/>
    <w:rsid w:val="00755AF4"/>
    <w:rsid w:val="00755E0B"/>
    <w:rsid w:val="007567CA"/>
    <w:rsid w:val="0075710D"/>
    <w:rsid w:val="00760E7D"/>
    <w:rsid w:val="007621EB"/>
    <w:rsid w:val="00762C33"/>
    <w:rsid w:val="00762E9A"/>
    <w:rsid w:val="00762FB1"/>
    <w:rsid w:val="007634F9"/>
    <w:rsid w:val="00763D31"/>
    <w:rsid w:val="00764613"/>
    <w:rsid w:val="0076492D"/>
    <w:rsid w:val="00766ABF"/>
    <w:rsid w:val="007670BE"/>
    <w:rsid w:val="00767749"/>
    <w:rsid w:val="007708FA"/>
    <w:rsid w:val="0077104A"/>
    <w:rsid w:val="0077131D"/>
    <w:rsid w:val="0077204B"/>
    <w:rsid w:val="00772F06"/>
    <w:rsid w:val="007734A1"/>
    <w:rsid w:val="00773EF6"/>
    <w:rsid w:val="00774455"/>
    <w:rsid w:val="00774627"/>
    <w:rsid w:val="00775A2D"/>
    <w:rsid w:val="00775F17"/>
    <w:rsid w:val="007767C3"/>
    <w:rsid w:val="00777068"/>
    <w:rsid w:val="00777DB7"/>
    <w:rsid w:val="007808F5"/>
    <w:rsid w:val="00781EEE"/>
    <w:rsid w:val="00782961"/>
    <w:rsid w:val="00783654"/>
    <w:rsid w:val="0078380F"/>
    <w:rsid w:val="00785CB6"/>
    <w:rsid w:val="00785D7F"/>
    <w:rsid w:val="00790EDE"/>
    <w:rsid w:val="0079118B"/>
    <w:rsid w:val="0079138E"/>
    <w:rsid w:val="007925C7"/>
    <w:rsid w:val="007929F7"/>
    <w:rsid w:val="00794E71"/>
    <w:rsid w:val="00795C0A"/>
    <w:rsid w:val="00796795"/>
    <w:rsid w:val="007A064E"/>
    <w:rsid w:val="007A0C5D"/>
    <w:rsid w:val="007A1863"/>
    <w:rsid w:val="007A23D9"/>
    <w:rsid w:val="007A2971"/>
    <w:rsid w:val="007A325B"/>
    <w:rsid w:val="007A3AB7"/>
    <w:rsid w:val="007A4008"/>
    <w:rsid w:val="007A45C2"/>
    <w:rsid w:val="007A4EE1"/>
    <w:rsid w:val="007A6DBE"/>
    <w:rsid w:val="007A7B2D"/>
    <w:rsid w:val="007B0FB2"/>
    <w:rsid w:val="007B110E"/>
    <w:rsid w:val="007B16F7"/>
    <w:rsid w:val="007B3F5E"/>
    <w:rsid w:val="007B508C"/>
    <w:rsid w:val="007B60D4"/>
    <w:rsid w:val="007B682C"/>
    <w:rsid w:val="007B7903"/>
    <w:rsid w:val="007B7D9D"/>
    <w:rsid w:val="007C1FD4"/>
    <w:rsid w:val="007C2C0B"/>
    <w:rsid w:val="007C2FC3"/>
    <w:rsid w:val="007C3B98"/>
    <w:rsid w:val="007C55A0"/>
    <w:rsid w:val="007C638C"/>
    <w:rsid w:val="007C6783"/>
    <w:rsid w:val="007C6E05"/>
    <w:rsid w:val="007C710A"/>
    <w:rsid w:val="007C7112"/>
    <w:rsid w:val="007C778E"/>
    <w:rsid w:val="007C78E3"/>
    <w:rsid w:val="007D0D21"/>
    <w:rsid w:val="007D1602"/>
    <w:rsid w:val="007D2424"/>
    <w:rsid w:val="007D2AF2"/>
    <w:rsid w:val="007D3041"/>
    <w:rsid w:val="007D40F8"/>
    <w:rsid w:val="007D50D2"/>
    <w:rsid w:val="007D7593"/>
    <w:rsid w:val="007E0655"/>
    <w:rsid w:val="007E0A7C"/>
    <w:rsid w:val="007E0CA6"/>
    <w:rsid w:val="007E1CAA"/>
    <w:rsid w:val="007E250D"/>
    <w:rsid w:val="007E2CC2"/>
    <w:rsid w:val="007E2E71"/>
    <w:rsid w:val="007E2ED5"/>
    <w:rsid w:val="007E55DD"/>
    <w:rsid w:val="007E6917"/>
    <w:rsid w:val="007F08EA"/>
    <w:rsid w:val="007F1871"/>
    <w:rsid w:val="007F52AA"/>
    <w:rsid w:val="007F5A6B"/>
    <w:rsid w:val="007F649C"/>
    <w:rsid w:val="007F6BA1"/>
    <w:rsid w:val="0080173E"/>
    <w:rsid w:val="00801AA5"/>
    <w:rsid w:val="00802BF9"/>
    <w:rsid w:val="00803588"/>
    <w:rsid w:val="00803B53"/>
    <w:rsid w:val="00805756"/>
    <w:rsid w:val="008069CD"/>
    <w:rsid w:val="00807588"/>
    <w:rsid w:val="00807F30"/>
    <w:rsid w:val="00810BD4"/>
    <w:rsid w:val="00814CA0"/>
    <w:rsid w:val="00815762"/>
    <w:rsid w:val="00815CD7"/>
    <w:rsid w:val="0081647F"/>
    <w:rsid w:val="00816DF3"/>
    <w:rsid w:val="00821110"/>
    <w:rsid w:val="00821859"/>
    <w:rsid w:val="00821D3B"/>
    <w:rsid w:val="00822EB0"/>
    <w:rsid w:val="0082485C"/>
    <w:rsid w:val="008273FB"/>
    <w:rsid w:val="008276D5"/>
    <w:rsid w:val="00827EBC"/>
    <w:rsid w:val="0083053C"/>
    <w:rsid w:val="0083405F"/>
    <w:rsid w:val="008342FE"/>
    <w:rsid w:val="0083530F"/>
    <w:rsid w:val="008357D1"/>
    <w:rsid w:val="00836406"/>
    <w:rsid w:val="00836425"/>
    <w:rsid w:val="00836DE1"/>
    <w:rsid w:val="00840829"/>
    <w:rsid w:val="008421D1"/>
    <w:rsid w:val="00842263"/>
    <w:rsid w:val="008423FA"/>
    <w:rsid w:val="00842495"/>
    <w:rsid w:val="00845006"/>
    <w:rsid w:val="008477EE"/>
    <w:rsid w:val="00850703"/>
    <w:rsid w:val="00851AFB"/>
    <w:rsid w:val="008522DC"/>
    <w:rsid w:val="0085303E"/>
    <w:rsid w:val="0085365F"/>
    <w:rsid w:val="00854172"/>
    <w:rsid w:val="008548FE"/>
    <w:rsid w:val="00855B10"/>
    <w:rsid w:val="00855DD2"/>
    <w:rsid w:val="00860EDD"/>
    <w:rsid w:val="008619AD"/>
    <w:rsid w:val="00863ADD"/>
    <w:rsid w:val="0086454D"/>
    <w:rsid w:val="008651E5"/>
    <w:rsid w:val="0086720D"/>
    <w:rsid w:val="0087016A"/>
    <w:rsid w:val="008726B7"/>
    <w:rsid w:val="008734E7"/>
    <w:rsid w:val="00874D95"/>
    <w:rsid w:val="008759EF"/>
    <w:rsid w:val="008806B4"/>
    <w:rsid w:val="008809C9"/>
    <w:rsid w:val="00880F64"/>
    <w:rsid w:val="008820BE"/>
    <w:rsid w:val="008826E6"/>
    <w:rsid w:val="00882FCC"/>
    <w:rsid w:val="008831B8"/>
    <w:rsid w:val="008846FD"/>
    <w:rsid w:val="00885404"/>
    <w:rsid w:val="0088574C"/>
    <w:rsid w:val="008859E1"/>
    <w:rsid w:val="008859E3"/>
    <w:rsid w:val="00887A5D"/>
    <w:rsid w:val="00890816"/>
    <w:rsid w:val="00890895"/>
    <w:rsid w:val="0089154C"/>
    <w:rsid w:val="0089174F"/>
    <w:rsid w:val="00892C70"/>
    <w:rsid w:val="0089426E"/>
    <w:rsid w:val="00896E61"/>
    <w:rsid w:val="008973D6"/>
    <w:rsid w:val="008A106B"/>
    <w:rsid w:val="008A4116"/>
    <w:rsid w:val="008A411C"/>
    <w:rsid w:val="008A69A3"/>
    <w:rsid w:val="008B1E5A"/>
    <w:rsid w:val="008B2747"/>
    <w:rsid w:val="008B2B80"/>
    <w:rsid w:val="008B4408"/>
    <w:rsid w:val="008B4870"/>
    <w:rsid w:val="008B48FE"/>
    <w:rsid w:val="008B51BB"/>
    <w:rsid w:val="008B52FB"/>
    <w:rsid w:val="008B7EAB"/>
    <w:rsid w:val="008C007D"/>
    <w:rsid w:val="008C0E98"/>
    <w:rsid w:val="008C2BE9"/>
    <w:rsid w:val="008C6EB3"/>
    <w:rsid w:val="008D0FFD"/>
    <w:rsid w:val="008D1147"/>
    <w:rsid w:val="008D13DB"/>
    <w:rsid w:val="008D290E"/>
    <w:rsid w:val="008D5B9D"/>
    <w:rsid w:val="008D64AC"/>
    <w:rsid w:val="008E01EC"/>
    <w:rsid w:val="008E1515"/>
    <w:rsid w:val="008E1722"/>
    <w:rsid w:val="008E2351"/>
    <w:rsid w:val="008E2C2D"/>
    <w:rsid w:val="008E472F"/>
    <w:rsid w:val="008E5DEE"/>
    <w:rsid w:val="008E5E61"/>
    <w:rsid w:val="008E6DF1"/>
    <w:rsid w:val="008F0BD8"/>
    <w:rsid w:val="008F1D1A"/>
    <w:rsid w:val="008F1E60"/>
    <w:rsid w:val="008F20AB"/>
    <w:rsid w:val="008F4070"/>
    <w:rsid w:val="008F5554"/>
    <w:rsid w:val="008F6227"/>
    <w:rsid w:val="008F656A"/>
    <w:rsid w:val="008F79C3"/>
    <w:rsid w:val="00902206"/>
    <w:rsid w:val="009037F1"/>
    <w:rsid w:val="00903D64"/>
    <w:rsid w:val="0090431C"/>
    <w:rsid w:val="00904891"/>
    <w:rsid w:val="009105DF"/>
    <w:rsid w:val="00911283"/>
    <w:rsid w:val="009112DC"/>
    <w:rsid w:val="0091145B"/>
    <w:rsid w:val="00913225"/>
    <w:rsid w:val="009132EA"/>
    <w:rsid w:val="00915BA0"/>
    <w:rsid w:val="009166FF"/>
    <w:rsid w:val="00916769"/>
    <w:rsid w:val="00917B57"/>
    <w:rsid w:val="00920794"/>
    <w:rsid w:val="0092123E"/>
    <w:rsid w:val="00921DDC"/>
    <w:rsid w:val="009238E1"/>
    <w:rsid w:val="009241E2"/>
    <w:rsid w:val="00924BD9"/>
    <w:rsid w:val="00925A45"/>
    <w:rsid w:val="00925ABF"/>
    <w:rsid w:val="00933451"/>
    <w:rsid w:val="00933E62"/>
    <w:rsid w:val="00934481"/>
    <w:rsid w:val="00934714"/>
    <w:rsid w:val="00934D2E"/>
    <w:rsid w:val="00936726"/>
    <w:rsid w:val="00940B4D"/>
    <w:rsid w:val="00942078"/>
    <w:rsid w:val="009421CA"/>
    <w:rsid w:val="00943306"/>
    <w:rsid w:val="009437CB"/>
    <w:rsid w:val="00945072"/>
    <w:rsid w:val="0094593C"/>
    <w:rsid w:val="0094612F"/>
    <w:rsid w:val="0094794A"/>
    <w:rsid w:val="009503E5"/>
    <w:rsid w:val="00951827"/>
    <w:rsid w:val="009522C8"/>
    <w:rsid w:val="00954565"/>
    <w:rsid w:val="009561B3"/>
    <w:rsid w:val="009614F6"/>
    <w:rsid w:val="00961CF0"/>
    <w:rsid w:val="009623EA"/>
    <w:rsid w:val="00962D06"/>
    <w:rsid w:val="009647FC"/>
    <w:rsid w:val="00964D87"/>
    <w:rsid w:val="0096557E"/>
    <w:rsid w:val="0096558D"/>
    <w:rsid w:val="0096574A"/>
    <w:rsid w:val="009659A9"/>
    <w:rsid w:val="00966295"/>
    <w:rsid w:val="0096682F"/>
    <w:rsid w:val="009669C7"/>
    <w:rsid w:val="00966A09"/>
    <w:rsid w:val="0097118F"/>
    <w:rsid w:val="00971962"/>
    <w:rsid w:val="00973756"/>
    <w:rsid w:val="00974963"/>
    <w:rsid w:val="009756ED"/>
    <w:rsid w:val="00976AFC"/>
    <w:rsid w:val="00977FB9"/>
    <w:rsid w:val="0098430C"/>
    <w:rsid w:val="00985402"/>
    <w:rsid w:val="0098571A"/>
    <w:rsid w:val="00986603"/>
    <w:rsid w:val="00986EBC"/>
    <w:rsid w:val="00986EC6"/>
    <w:rsid w:val="00990A77"/>
    <w:rsid w:val="009911E0"/>
    <w:rsid w:val="00991685"/>
    <w:rsid w:val="0099172E"/>
    <w:rsid w:val="009935B3"/>
    <w:rsid w:val="00993BB4"/>
    <w:rsid w:val="00994FCB"/>
    <w:rsid w:val="009A18DB"/>
    <w:rsid w:val="009A303C"/>
    <w:rsid w:val="009A50D8"/>
    <w:rsid w:val="009A7E29"/>
    <w:rsid w:val="009B12F4"/>
    <w:rsid w:val="009B14F2"/>
    <w:rsid w:val="009B1DE1"/>
    <w:rsid w:val="009B32DD"/>
    <w:rsid w:val="009B5271"/>
    <w:rsid w:val="009B56EF"/>
    <w:rsid w:val="009B58EC"/>
    <w:rsid w:val="009B6D89"/>
    <w:rsid w:val="009B7209"/>
    <w:rsid w:val="009B7656"/>
    <w:rsid w:val="009C0C53"/>
    <w:rsid w:val="009C1DC1"/>
    <w:rsid w:val="009C2F37"/>
    <w:rsid w:val="009C3F9B"/>
    <w:rsid w:val="009C4150"/>
    <w:rsid w:val="009C61F2"/>
    <w:rsid w:val="009C699A"/>
    <w:rsid w:val="009C6E8C"/>
    <w:rsid w:val="009C7A67"/>
    <w:rsid w:val="009D0F3C"/>
    <w:rsid w:val="009D153E"/>
    <w:rsid w:val="009D1DDE"/>
    <w:rsid w:val="009D3197"/>
    <w:rsid w:val="009D3650"/>
    <w:rsid w:val="009D6E3C"/>
    <w:rsid w:val="009D7593"/>
    <w:rsid w:val="009E1AB1"/>
    <w:rsid w:val="009E2368"/>
    <w:rsid w:val="009E415F"/>
    <w:rsid w:val="009E423D"/>
    <w:rsid w:val="009E4BEB"/>
    <w:rsid w:val="009E5854"/>
    <w:rsid w:val="009E6C2C"/>
    <w:rsid w:val="009E6F2E"/>
    <w:rsid w:val="009F01A6"/>
    <w:rsid w:val="009F0233"/>
    <w:rsid w:val="009F04F7"/>
    <w:rsid w:val="009F327D"/>
    <w:rsid w:val="009F3797"/>
    <w:rsid w:val="009F5D29"/>
    <w:rsid w:val="009F640A"/>
    <w:rsid w:val="009F7D23"/>
    <w:rsid w:val="009F7E21"/>
    <w:rsid w:val="00A006F2"/>
    <w:rsid w:val="00A00B65"/>
    <w:rsid w:val="00A04383"/>
    <w:rsid w:val="00A05548"/>
    <w:rsid w:val="00A06DA3"/>
    <w:rsid w:val="00A071F0"/>
    <w:rsid w:val="00A074C5"/>
    <w:rsid w:val="00A109AE"/>
    <w:rsid w:val="00A11464"/>
    <w:rsid w:val="00A118DE"/>
    <w:rsid w:val="00A123E3"/>
    <w:rsid w:val="00A13F92"/>
    <w:rsid w:val="00A141BA"/>
    <w:rsid w:val="00A14A9A"/>
    <w:rsid w:val="00A14C36"/>
    <w:rsid w:val="00A1651C"/>
    <w:rsid w:val="00A16A1E"/>
    <w:rsid w:val="00A16C79"/>
    <w:rsid w:val="00A175D3"/>
    <w:rsid w:val="00A21691"/>
    <w:rsid w:val="00A216CD"/>
    <w:rsid w:val="00A21D3A"/>
    <w:rsid w:val="00A22514"/>
    <w:rsid w:val="00A251B5"/>
    <w:rsid w:val="00A25672"/>
    <w:rsid w:val="00A2672F"/>
    <w:rsid w:val="00A26EBE"/>
    <w:rsid w:val="00A33821"/>
    <w:rsid w:val="00A33A98"/>
    <w:rsid w:val="00A34E6B"/>
    <w:rsid w:val="00A350B9"/>
    <w:rsid w:val="00A3557B"/>
    <w:rsid w:val="00A36DA2"/>
    <w:rsid w:val="00A407CC"/>
    <w:rsid w:val="00A408EB"/>
    <w:rsid w:val="00A40F80"/>
    <w:rsid w:val="00A4272A"/>
    <w:rsid w:val="00A442D5"/>
    <w:rsid w:val="00A45B60"/>
    <w:rsid w:val="00A46540"/>
    <w:rsid w:val="00A47071"/>
    <w:rsid w:val="00A5071B"/>
    <w:rsid w:val="00A511F1"/>
    <w:rsid w:val="00A51E5D"/>
    <w:rsid w:val="00A52506"/>
    <w:rsid w:val="00A53B68"/>
    <w:rsid w:val="00A54399"/>
    <w:rsid w:val="00A55630"/>
    <w:rsid w:val="00A563B4"/>
    <w:rsid w:val="00A56C74"/>
    <w:rsid w:val="00A56EAD"/>
    <w:rsid w:val="00A603DC"/>
    <w:rsid w:val="00A60DE6"/>
    <w:rsid w:val="00A61C27"/>
    <w:rsid w:val="00A6237E"/>
    <w:rsid w:val="00A62F85"/>
    <w:rsid w:val="00A632C2"/>
    <w:rsid w:val="00A6362A"/>
    <w:rsid w:val="00A63934"/>
    <w:rsid w:val="00A63964"/>
    <w:rsid w:val="00A63BB6"/>
    <w:rsid w:val="00A64B37"/>
    <w:rsid w:val="00A678CD"/>
    <w:rsid w:val="00A7040A"/>
    <w:rsid w:val="00A71613"/>
    <w:rsid w:val="00A72DD3"/>
    <w:rsid w:val="00A74E45"/>
    <w:rsid w:val="00A7596B"/>
    <w:rsid w:val="00A7690D"/>
    <w:rsid w:val="00A7741A"/>
    <w:rsid w:val="00A779F4"/>
    <w:rsid w:val="00A77DDA"/>
    <w:rsid w:val="00A837D4"/>
    <w:rsid w:val="00A84324"/>
    <w:rsid w:val="00A84707"/>
    <w:rsid w:val="00A84AFC"/>
    <w:rsid w:val="00A8593D"/>
    <w:rsid w:val="00A85FB7"/>
    <w:rsid w:val="00A90F6A"/>
    <w:rsid w:val="00A9276D"/>
    <w:rsid w:val="00A939E8"/>
    <w:rsid w:val="00A93BF6"/>
    <w:rsid w:val="00A94983"/>
    <w:rsid w:val="00AA1C4C"/>
    <w:rsid w:val="00AA2414"/>
    <w:rsid w:val="00AA2E32"/>
    <w:rsid w:val="00AA3BFD"/>
    <w:rsid w:val="00AA4FA5"/>
    <w:rsid w:val="00AA5CB2"/>
    <w:rsid w:val="00AA6493"/>
    <w:rsid w:val="00AA6522"/>
    <w:rsid w:val="00AB38EF"/>
    <w:rsid w:val="00AB3DDE"/>
    <w:rsid w:val="00AB4C0B"/>
    <w:rsid w:val="00AB6207"/>
    <w:rsid w:val="00AC2BE4"/>
    <w:rsid w:val="00AC6333"/>
    <w:rsid w:val="00AC6572"/>
    <w:rsid w:val="00AD1E28"/>
    <w:rsid w:val="00AD1E95"/>
    <w:rsid w:val="00AD4AC8"/>
    <w:rsid w:val="00AD5099"/>
    <w:rsid w:val="00AD5527"/>
    <w:rsid w:val="00AD5938"/>
    <w:rsid w:val="00AD61FF"/>
    <w:rsid w:val="00AD6650"/>
    <w:rsid w:val="00AE0486"/>
    <w:rsid w:val="00AE158D"/>
    <w:rsid w:val="00AE161C"/>
    <w:rsid w:val="00AE1A21"/>
    <w:rsid w:val="00AE22BA"/>
    <w:rsid w:val="00AE3747"/>
    <w:rsid w:val="00AE47AD"/>
    <w:rsid w:val="00AE4B2E"/>
    <w:rsid w:val="00AE4D55"/>
    <w:rsid w:val="00AE5205"/>
    <w:rsid w:val="00AE52E8"/>
    <w:rsid w:val="00AE6352"/>
    <w:rsid w:val="00AE6808"/>
    <w:rsid w:val="00AE79D6"/>
    <w:rsid w:val="00AF07A6"/>
    <w:rsid w:val="00AF0C5C"/>
    <w:rsid w:val="00AF15D6"/>
    <w:rsid w:val="00AF2C00"/>
    <w:rsid w:val="00AF3ABD"/>
    <w:rsid w:val="00AF602A"/>
    <w:rsid w:val="00AF7872"/>
    <w:rsid w:val="00AF7B29"/>
    <w:rsid w:val="00B00D7F"/>
    <w:rsid w:val="00B01CB0"/>
    <w:rsid w:val="00B020D7"/>
    <w:rsid w:val="00B04910"/>
    <w:rsid w:val="00B04D83"/>
    <w:rsid w:val="00B068D6"/>
    <w:rsid w:val="00B06D90"/>
    <w:rsid w:val="00B07607"/>
    <w:rsid w:val="00B07DE9"/>
    <w:rsid w:val="00B105F7"/>
    <w:rsid w:val="00B13E82"/>
    <w:rsid w:val="00B177A2"/>
    <w:rsid w:val="00B17FC5"/>
    <w:rsid w:val="00B20218"/>
    <w:rsid w:val="00B21B9E"/>
    <w:rsid w:val="00B223F7"/>
    <w:rsid w:val="00B230BA"/>
    <w:rsid w:val="00B23F4C"/>
    <w:rsid w:val="00B2420E"/>
    <w:rsid w:val="00B245CE"/>
    <w:rsid w:val="00B2555E"/>
    <w:rsid w:val="00B260D1"/>
    <w:rsid w:val="00B3283C"/>
    <w:rsid w:val="00B3313B"/>
    <w:rsid w:val="00B331C0"/>
    <w:rsid w:val="00B33CEF"/>
    <w:rsid w:val="00B3407C"/>
    <w:rsid w:val="00B3472C"/>
    <w:rsid w:val="00B34A65"/>
    <w:rsid w:val="00B35851"/>
    <w:rsid w:val="00B35CED"/>
    <w:rsid w:val="00B37591"/>
    <w:rsid w:val="00B37B06"/>
    <w:rsid w:val="00B37F4F"/>
    <w:rsid w:val="00B40725"/>
    <w:rsid w:val="00B41274"/>
    <w:rsid w:val="00B41994"/>
    <w:rsid w:val="00B41B36"/>
    <w:rsid w:val="00B41D1A"/>
    <w:rsid w:val="00B43DDD"/>
    <w:rsid w:val="00B445DA"/>
    <w:rsid w:val="00B45671"/>
    <w:rsid w:val="00B457B0"/>
    <w:rsid w:val="00B457F6"/>
    <w:rsid w:val="00B4600D"/>
    <w:rsid w:val="00B50114"/>
    <w:rsid w:val="00B507C3"/>
    <w:rsid w:val="00B50B99"/>
    <w:rsid w:val="00B50E30"/>
    <w:rsid w:val="00B50FE2"/>
    <w:rsid w:val="00B51166"/>
    <w:rsid w:val="00B51D8B"/>
    <w:rsid w:val="00B53179"/>
    <w:rsid w:val="00B556AE"/>
    <w:rsid w:val="00B55E40"/>
    <w:rsid w:val="00B6170E"/>
    <w:rsid w:val="00B63D23"/>
    <w:rsid w:val="00B6406E"/>
    <w:rsid w:val="00B7025F"/>
    <w:rsid w:val="00B72C4F"/>
    <w:rsid w:val="00B73C76"/>
    <w:rsid w:val="00B76268"/>
    <w:rsid w:val="00B76899"/>
    <w:rsid w:val="00B77E4F"/>
    <w:rsid w:val="00B80717"/>
    <w:rsid w:val="00B83072"/>
    <w:rsid w:val="00B83367"/>
    <w:rsid w:val="00B840E3"/>
    <w:rsid w:val="00B8483F"/>
    <w:rsid w:val="00B90F39"/>
    <w:rsid w:val="00B91B53"/>
    <w:rsid w:val="00B9379E"/>
    <w:rsid w:val="00B95A27"/>
    <w:rsid w:val="00B971F0"/>
    <w:rsid w:val="00B972AD"/>
    <w:rsid w:val="00B975E8"/>
    <w:rsid w:val="00BA031B"/>
    <w:rsid w:val="00BA03A6"/>
    <w:rsid w:val="00BA0872"/>
    <w:rsid w:val="00BA09A9"/>
    <w:rsid w:val="00BA3E66"/>
    <w:rsid w:val="00BA445B"/>
    <w:rsid w:val="00BA4FDA"/>
    <w:rsid w:val="00BA707B"/>
    <w:rsid w:val="00BA75ED"/>
    <w:rsid w:val="00BB0C5E"/>
    <w:rsid w:val="00BB2459"/>
    <w:rsid w:val="00BB3171"/>
    <w:rsid w:val="00BB31C6"/>
    <w:rsid w:val="00BB3AC1"/>
    <w:rsid w:val="00BB7026"/>
    <w:rsid w:val="00BB78FE"/>
    <w:rsid w:val="00BC0FAC"/>
    <w:rsid w:val="00BC1B6A"/>
    <w:rsid w:val="00BC29BE"/>
    <w:rsid w:val="00BC2E76"/>
    <w:rsid w:val="00BC3197"/>
    <w:rsid w:val="00BC3524"/>
    <w:rsid w:val="00BC4F45"/>
    <w:rsid w:val="00BC641A"/>
    <w:rsid w:val="00BC6AD9"/>
    <w:rsid w:val="00BC7731"/>
    <w:rsid w:val="00BD0151"/>
    <w:rsid w:val="00BD07CD"/>
    <w:rsid w:val="00BD1B90"/>
    <w:rsid w:val="00BD1EF1"/>
    <w:rsid w:val="00BD2CF8"/>
    <w:rsid w:val="00BD60FE"/>
    <w:rsid w:val="00BD707C"/>
    <w:rsid w:val="00BD79B7"/>
    <w:rsid w:val="00BE0C23"/>
    <w:rsid w:val="00BE3245"/>
    <w:rsid w:val="00BE51CC"/>
    <w:rsid w:val="00BE66C7"/>
    <w:rsid w:val="00BE7582"/>
    <w:rsid w:val="00BF1BF1"/>
    <w:rsid w:val="00BF23C0"/>
    <w:rsid w:val="00BF26BF"/>
    <w:rsid w:val="00BF2FC4"/>
    <w:rsid w:val="00BF3B9B"/>
    <w:rsid w:val="00BF4A93"/>
    <w:rsid w:val="00BF560D"/>
    <w:rsid w:val="00BF7E48"/>
    <w:rsid w:val="00C0010B"/>
    <w:rsid w:val="00C005A4"/>
    <w:rsid w:val="00C02A0B"/>
    <w:rsid w:val="00C03CF5"/>
    <w:rsid w:val="00C04640"/>
    <w:rsid w:val="00C04919"/>
    <w:rsid w:val="00C04EEC"/>
    <w:rsid w:val="00C05C2D"/>
    <w:rsid w:val="00C06FE1"/>
    <w:rsid w:val="00C10448"/>
    <w:rsid w:val="00C10AA1"/>
    <w:rsid w:val="00C10C7B"/>
    <w:rsid w:val="00C12694"/>
    <w:rsid w:val="00C12AF8"/>
    <w:rsid w:val="00C136D5"/>
    <w:rsid w:val="00C143B6"/>
    <w:rsid w:val="00C145A4"/>
    <w:rsid w:val="00C14A77"/>
    <w:rsid w:val="00C1507A"/>
    <w:rsid w:val="00C162E3"/>
    <w:rsid w:val="00C169CF"/>
    <w:rsid w:val="00C20864"/>
    <w:rsid w:val="00C21093"/>
    <w:rsid w:val="00C232B8"/>
    <w:rsid w:val="00C2349F"/>
    <w:rsid w:val="00C247ED"/>
    <w:rsid w:val="00C24BE4"/>
    <w:rsid w:val="00C24C46"/>
    <w:rsid w:val="00C250C7"/>
    <w:rsid w:val="00C25E2C"/>
    <w:rsid w:val="00C25E4B"/>
    <w:rsid w:val="00C25FB5"/>
    <w:rsid w:val="00C26F36"/>
    <w:rsid w:val="00C27CD0"/>
    <w:rsid w:val="00C31AA6"/>
    <w:rsid w:val="00C3280F"/>
    <w:rsid w:val="00C34AE5"/>
    <w:rsid w:val="00C3596A"/>
    <w:rsid w:val="00C359DF"/>
    <w:rsid w:val="00C42069"/>
    <w:rsid w:val="00C4253D"/>
    <w:rsid w:val="00C43848"/>
    <w:rsid w:val="00C43E89"/>
    <w:rsid w:val="00C4504B"/>
    <w:rsid w:val="00C4736D"/>
    <w:rsid w:val="00C476AD"/>
    <w:rsid w:val="00C53262"/>
    <w:rsid w:val="00C54066"/>
    <w:rsid w:val="00C54629"/>
    <w:rsid w:val="00C55421"/>
    <w:rsid w:val="00C56BBE"/>
    <w:rsid w:val="00C63B71"/>
    <w:rsid w:val="00C65322"/>
    <w:rsid w:val="00C65C3A"/>
    <w:rsid w:val="00C66210"/>
    <w:rsid w:val="00C67C43"/>
    <w:rsid w:val="00C67E4E"/>
    <w:rsid w:val="00C710C7"/>
    <w:rsid w:val="00C72E49"/>
    <w:rsid w:val="00C74ACD"/>
    <w:rsid w:val="00C74F30"/>
    <w:rsid w:val="00C76FCE"/>
    <w:rsid w:val="00C81458"/>
    <w:rsid w:val="00C81682"/>
    <w:rsid w:val="00C82C08"/>
    <w:rsid w:val="00C8316E"/>
    <w:rsid w:val="00C8466B"/>
    <w:rsid w:val="00C912EE"/>
    <w:rsid w:val="00C92B5D"/>
    <w:rsid w:val="00C92F79"/>
    <w:rsid w:val="00C93B24"/>
    <w:rsid w:val="00C93CF2"/>
    <w:rsid w:val="00C94B77"/>
    <w:rsid w:val="00C94EA8"/>
    <w:rsid w:val="00C96CFD"/>
    <w:rsid w:val="00C9716B"/>
    <w:rsid w:val="00CA0DF5"/>
    <w:rsid w:val="00CA189C"/>
    <w:rsid w:val="00CA18E6"/>
    <w:rsid w:val="00CA1A94"/>
    <w:rsid w:val="00CA2217"/>
    <w:rsid w:val="00CA320F"/>
    <w:rsid w:val="00CA34E2"/>
    <w:rsid w:val="00CA3DA5"/>
    <w:rsid w:val="00CA57A1"/>
    <w:rsid w:val="00CA5E6A"/>
    <w:rsid w:val="00CA660F"/>
    <w:rsid w:val="00CA6FFE"/>
    <w:rsid w:val="00CB0E27"/>
    <w:rsid w:val="00CB1955"/>
    <w:rsid w:val="00CB3E45"/>
    <w:rsid w:val="00CB4E16"/>
    <w:rsid w:val="00CB71A8"/>
    <w:rsid w:val="00CC0210"/>
    <w:rsid w:val="00CC0614"/>
    <w:rsid w:val="00CC2D86"/>
    <w:rsid w:val="00CC317B"/>
    <w:rsid w:val="00CC39D9"/>
    <w:rsid w:val="00CC3A96"/>
    <w:rsid w:val="00CC544F"/>
    <w:rsid w:val="00CC5941"/>
    <w:rsid w:val="00CC5FA0"/>
    <w:rsid w:val="00CD02BF"/>
    <w:rsid w:val="00CD15DD"/>
    <w:rsid w:val="00CD2E7A"/>
    <w:rsid w:val="00CD2F87"/>
    <w:rsid w:val="00CD3E47"/>
    <w:rsid w:val="00CD523A"/>
    <w:rsid w:val="00CD538D"/>
    <w:rsid w:val="00CD5E5A"/>
    <w:rsid w:val="00CD6F7F"/>
    <w:rsid w:val="00CD76B5"/>
    <w:rsid w:val="00CE1412"/>
    <w:rsid w:val="00CE1F49"/>
    <w:rsid w:val="00CE32C8"/>
    <w:rsid w:val="00CE3DC3"/>
    <w:rsid w:val="00CE4AAE"/>
    <w:rsid w:val="00CE52D2"/>
    <w:rsid w:val="00CE7DD2"/>
    <w:rsid w:val="00CE7E75"/>
    <w:rsid w:val="00CF06B0"/>
    <w:rsid w:val="00CF0A7F"/>
    <w:rsid w:val="00CF3B5D"/>
    <w:rsid w:val="00CF473D"/>
    <w:rsid w:val="00CF5583"/>
    <w:rsid w:val="00CF55D2"/>
    <w:rsid w:val="00CF77C4"/>
    <w:rsid w:val="00D00728"/>
    <w:rsid w:val="00D014F6"/>
    <w:rsid w:val="00D01C4E"/>
    <w:rsid w:val="00D03ADC"/>
    <w:rsid w:val="00D0459C"/>
    <w:rsid w:val="00D04BE9"/>
    <w:rsid w:val="00D05335"/>
    <w:rsid w:val="00D05811"/>
    <w:rsid w:val="00D06466"/>
    <w:rsid w:val="00D072CD"/>
    <w:rsid w:val="00D07CBB"/>
    <w:rsid w:val="00D14158"/>
    <w:rsid w:val="00D14E11"/>
    <w:rsid w:val="00D15DF6"/>
    <w:rsid w:val="00D16BA4"/>
    <w:rsid w:val="00D17DC8"/>
    <w:rsid w:val="00D200C6"/>
    <w:rsid w:val="00D20828"/>
    <w:rsid w:val="00D20CEC"/>
    <w:rsid w:val="00D20E53"/>
    <w:rsid w:val="00D2169E"/>
    <w:rsid w:val="00D2219A"/>
    <w:rsid w:val="00D22770"/>
    <w:rsid w:val="00D2351A"/>
    <w:rsid w:val="00D24464"/>
    <w:rsid w:val="00D26585"/>
    <w:rsid w:val="00D27FAD"/>
    <w:rsid w:val="00D30A2E"/>
    <w:rsid w:val="00D30B0D"/>
    <w:rsid w:val="00D31DCA"/>
    <w:rsid w:val="00D32EB7"/>
    <w:rsid w:val="00D33F1A"/>
    <w:rsid w:val="00D364A4"/>
    <w:rsid w:val="00D3668B"/>
    <w:rsid w:val="00D37112"/>
    <w:rsid w:val="00D371A7"/>
    <w:rsid w:val="00D374F7"/>
    <w:rsid w:val="00D40829"/>
    <w:rsid w:val="00D421FE"/>
    <w:rsid w:val="00D42DAB"/>
    <w:rsid w:val="00D4437D"/>
    <w:rsid w:val="00D44465"/>
    <w:rsid w:val="00D4487C"/>
    <w:rsid w:val="00D45014"/>
    <w:rsid w:val="00D45050"/>
    <w:rsid w:val="00D465AF"/>
    <w:rsid w:val="00D505D6"/>
    <w:rsid w:val="00D50A1F"/>
    <w:rsid w:val="00D51402"/>
    <w:rsid w:val="00D52357"/>
    <w:rsid w:val="00D5357C"/>
    <w:rsid w:val="00D54FA9"/>
    <w:rsid w:val="00D5587A"/>
    <w:rsid w:val="00D55B00"/>
    <w:rsid w:val="00D55D57"/>
    <w:rsid w:val="00D56ECD"/>
    <w:rsid w:val="00D604D3"/>
    <w:rsid w:val="00D6110E"/>
    <w:rsid w:val="00D6141C"/>
    <w:rsid w:val="00D61F02"/>
    <w:rsid w:val="00D63339"/>
    <w:rsid w:val="00D647AC"/>
    <w:rsid w:val="00D671C9"/>
    <w:rsid w:val="00D6722E"/>
    <w:rsid w:val="00D70920"/>
    <w:rsid w:val="00D71335"/>
    <w:rsid w:val="00D7136F"/>
    <w:rsid w:val="00D73B6B"/>
    <w:rsid w:val="00D74ACC"/>
    <w:rsid w:val="00D75B7E"/>
    <w:rsid w:val="00D762AE"/>
    <w:rsid w:val="00D76389"/>
    <w:rsid w:val="00D76AF3"/>
    <w:rsid w:val="00D807F8"/>
    <w:rsid w:val="00D8091D"/>
    <w:rsid w:val="00D80951"/>
    <w:rsid w:val="00D80F92"/>
    <w:rsid w:val="00D80F93"/>
    <w:rsid w:val="00D815F7"/>
    <w:rsid w:val="00D82D25"/>
    <w:rsid w:val="00D83A67"/>
    <w:rsid w:val="00D83CBE"/>
    <w:rsid w:val="00D84403"/>
    <w:rsid w:val="00D844A0"/>
    <w:rsid w:val="00D851C5"/>
    <w:rsid w:val="00D854DF"/>
    <w:rsid w:val="00D859A0"/>
    <w:rsid w:val="00D90431"/>
    <w:rsid w:val="00D904BD"/>
    <w:rsid w:val="00D91398"/>
    <w:rsid w:val="00D91595"/>
    <w:rsid w:val="00D92B29"/>
    <w:rsid w:val="00D935A1"/>
    <w:rsid w:val="00D9391A"/>
    <w:rsid w:val="00D94E7D"/>
    <w:rsid w:val="00D95999"/>
    <w:rsid w:val="00D96E6B"/>
    <w:rsid w:val="00D97D81"/>
    <w:rsid w:val="00DA008D"/>
    <w:rsid w:val="00DA04DC"/>
    <w:rsid w:val="00DA1D20"/>
    <w:rsid w:val="00DA2A7E"/>
    <w:rsid w:val="00DA428A"/>
    <w:rsid w:val="00DA51D0"/>
    <w:rsid w:val="00DA525D"/>
    <w:rsid w:val="00DA5E1A"/>
    <w:rsid w:val="00DA6080"/>
    <w:rsid w:val="00DA7BC2"/>
    <w:rsid w:val="00DA7EED"/>
    <w:rsid w:val="00DB0756"/>
    <w:rsid w:val="00DB108A"/>
    <w:rsid w:val="00DB2EB5"/>
    <w:rsid w:val="00DB3870"/>
    <w:rsid w:val="00DB4736"/>
    <w:rsid w:val="00DB47F8"/>
    <w:rsid w:val="00DC12DB"/>
    <w:rsid w:val="00DC1A06"/>
    <w:rsid w:val="00DC1D1B"/>
    <w:rsid w:val="00DC2073"/>
    <w:rsid w:val="00DC3342"/>
    <w:rsid w:val="00DC5646"/>
    <w:rsid w:val="00DC61EB"/>
    <w:rsid w:val="00DC7038"/>
    <w:rsid w:val="00DC7217"/>
    <w:rsid w:val="00DC75DB"/>
    <w:rsid w:val="00DC7A70"/>
    <w:rsid w:val="00DD12F9"/>
    <w:rsid w:val="00DD3433"/>
    <w:rsid w:val="00DD351D"/>
    <w:rsid w:val="00DD36EA"/>
    <w:rsid w:val="00DE0389"/>
    <w:rsid w:val="00DE0C9A"/>
    <w:rsid w:val="00DE15FB"/>
    <w:rsid w:val="00DE16EF"/>
    <w:rsid w:val="00DE1CED"/>
    <w:rsid w:val="00DE30E5"/>
    <w:rsid w:val="00DE3D64"/>
    <w:rsid w:val="00DE6648"/>
    <w:rsid w:val="00DE6A2E"/>
    <w:rsid w:val="00DE7071"/>
    <w:rsid w:val="00DE70A7"/>
    <w:rsid w:val="00DE72AB"/>
    <w:rsid w:val="00DE72C5"/>
    <w:rsid w:val="00DF37E6"/>
    <w:rsid w:val="00DF4228"/>
    <w:rsid w:val="00DF48A4"/>
    <w:rsid w:val="00DF52D2"/>
    <w:rsid w:val="00DF617F"/>
    <w:rsid w:val="00DF7764"/>
    <w:rsid w:val="00E00C46"/>
    <w:rsid w:val="00E00E4D"/>
    <w:rsid w:val="00E0607A"/>
    <w:rsid w:val="00E068CF"/>
    <w:rsid w:val="00E07958"/>
    <w:rsid w:val="00E07F89"/>
    <w:rsid w:val="00E104EA"/>
    <w:rsid w:val="00E12EF0"/>
    <w:rsid w:val="00E15FCF"/>
    <w:rsid w:val="00E16EF9"/>
    <w:rsid w:val="00E20339"/>
    <w:rsid w:val="00E20EB1"/>
    <w:rsid w:val="00E21EC7"/>
    <w:rsid w:val="00E223DA"/>
    <w:rsid w:val="00E227B8"/>
    <w:rsid w:val="00E23D71"/>
    <w:rsid w:val="00E25FD5"/>
    <w:rsid w:val="00E30099"/>
    <w:rsid w:val="00E3031A"/>
    <w:rsid w:val="00E310B1"/>
    <w:rsid w:val="00E31AB8"/>
    <w:rsid w:val="00E33422"/>
    <w:rsid w:val="00E3372C"/>
    <w:rsid w:val="00E34C24"/>
    <w:rsid w:val="00E35975"/>
    <w:rsid w:val="00E3618F"/>
    <w:rsid w:val="00E37FD7"/>
    <w:rsid w:val="00E37FE5"/>
    <w:rsid w:val="00E400BB"/>
    <w:rsid w:val="00E40AC8"/>
    <w:rsid w:val="00E412D5"/>
    <w:rsid w:val="00E41642"/>
    <w:rsid w:val="00E42897"/>
    <w:rsid w:val="00E4339B"/>
    <w:rsid w:val="00E4351A"/>
    <w:rsid w:val="00E44F25"/>
    <w:rsid w:val="00E45500"/>
    <w:rsid w:val="00E46498"/>
    <w:rsid w:val="00E46DCE"/>
    <w:rsid w:val="00E47DD0"/>
    <w:rsid w:val="00E508C0"/>
    <w:rsid w:val="00E51271"/>
    <w:rsid w:val="00E5289E"/>
    <w:rsid w:val="00E529DA"/>
    <w:rsid w:val="00E54BD2"/>
    <w:rsid w:val="00E54C68"/>
    <w:rsid w:val="00E55B1D"/>
    <w:rsid w:val="00E5614E"/>
    <w:rsid w:val="00E56E41"/>
    <w:rsid w:val="00E61337"/>
    <w:rsid w:val="00E619B8"/>
    <w:rsid w:val="00E62002"/>
    <w:rsid w:val="00E6237A"/>
    <w:rsid w:val="00E64324"/>
    <w:rsid w:val="00E6557D"/>
    <w:rsid w:val="00E656F1"/>
    <w:rsid w:val="00E662C5"/>
    <w:rsid w:val="00E672F6"/>
    <w:rsid w:val="00E678C3"/>
    <w:rsid w:val="00E7002C"/>
    <w:rsid w:val="00E72B0E"/>
    <w:rsid w:val="00E76532"/>
    <w:rsid w:val="00E76EB6"/>
    <w:rsid w:val="00E7780E"/>
    <w:rsid w:val="00E8014D"/>
    <w:rsid w:val="00E81189"/>
    <w:rsid w:val="00E81EAE"/>
    <w:rsid w:val="00E81F4B"/>
    <w:rsid w:val="00E84389"/>
    <w:rsid w:val="00E84C7E"/>
    <w:rsid w:val="00E862C6"/>
    <w:rsid w:val="00E86889"/>
    <w:rsid w:val="00E86BE5"/>
    <w:rsid w:val="00E87647"/>
    <w:rsid w:val="00E91774"/>
    <w:rsid w:val="00E91E6F"/>
    <w:rsid w:val="00E92364"/>
    <w:rsid w:val="00E924A1"/>
    <w:rsid w:val="00E9272C"/>
    <w:rsid w:val="00E92830"/>
    <w:rsid w:val="00E92BFD"/>
    <w:rsid w:val="00E933AB"/>
    <w:rsid w:val="00E9579F"/>
    <w:rsid w:val="00E9785B"/>
    <w:rsid w:val="00E97E88"/>
    <w:rsid w:val="00EA08F7"/>
    <w:rsid w:val="00EA0F35"/>
    <w:rsid w:val="00EA11D5"/>
    <w:rsid w:val="00EA3989"/>
    <w:rsid w:val="00EA4793"/>
    <w:rsid w:val="00EA47D9"/>
    <w:rsid w:val="00EA4A90"/>
    <w:rsid w:val="00EA63D7"/>
    <w:rsid w:val="00EA7408"/>
    <w:rsid w:val="00EB2069"/>
    <w:rsid w:val="00EB3280"/>
    <w:rsid w:val="00EB38A1"/>
    <w:rsid w:val="00EB4524"/>
    <w:rsid w:val="00EB6FB8"/>
    <w:rsid w:val="00EB7989"/>
    <w:rsid w:val="00EC1664"/>
    <w:rsid w:val="00EC3345"/>
    <w:rsid w:val="00EC45CE"/>
    <w:rsid w:val="00EC7B98"/>
    <w:rsid w:val="00ED13CF"/>
    <w:rsid w:val="00ED15AD"/>
    <w:rsid w:val="00ED297F"/>
    <w:rsid w:val="00ED3902"/>
    <w:rsid w:val="00ED43F2"/>
    <w:rsid w:val="00ED494B"/>
    <w:rsid w:val="00ED4D85"/>
    <w:rsid w:val="00ED526A"/>
    <w:rsid w:val="00ED5A10"/>
    <w:rsid w:val="00ED6E9A"/>
    <w:rsid w:val="00EE0668"/>
    <w:rsid w:val="00EE22A3"/>
    <w:rsid w:val="00EE271B"/>
    <w:rsid w:val="00EE2D68"/>
    <w:rsid w:val="00EE308F"/>
    <w:rsid w:val="00EE4039"/>
    <w:rsid w:val="00EE4391"/>
    <w:rsid w:val="00EE44BF"/>
    <w:rsid w:val="00EE52BD"/>
    <w:rsid w:val="00EE6E63"/>
    <w:rsid w:val="00EF0B75"/>
    <w:rsid w:val="00EF1E5F"/>
    <w:rsid w:val="00EF1E83"/>
    <w:rsid w:val="00EF2E96"/>
    <w:rsid w:val="00EF35B6"/>
    <w:rsid w:val="00EF3E36"/>
    <w:rsid w:val="00EF410B"/>
    <w:rsid w:val="00EF446D"/>
    <w:rsid w:val="00EF4EEA"/>
    <w:rsid w:val="00EF6332"/>
    <w:rsid w:val="00EF6729"/>
    <w:rsid w:val="00F05863"/>
    <w:rsid w:val="00F05E33"/>
    <w:rsid w:val="00F062AA"/>
    <w:rsid w:val="00F070D0"/>
    <w:rsid w:val="00F074B1"/>
    <w:rsid w:val="00F07BCD"/>
    <w:rsid w:val="00F104BD"/>
    <w:rsid w:val="00F1082E"/>
    <w:rsid w:val="00F10AA0"/>
    <w:rsid w:val="00F13747"/>
    <w:rsid w:val="00F137D6"/>
    <w:rsid w:val="00F140EB"/>
    <w:rsid w:val="00F1439C"/>
    <w:rsid w:val="00F156B8"/>
    <w:rsid w:val="00F172CB"/>
    <w:rsid w:val="00F17933"/>
    <w:rsid w:val="00F17B00"/>
    <w:rsid w:val="00F20B6B"/>
    <w:rsid w:val="00F21E43"/>
    <w:rsid w:val="00F21EAE"/>
    <w:rsid w:val="00F23937"/>
    <w:rsid w:val="00F27A08"/>
    <w:rsid w:val="00F31019"/>
    <w:rsid w:val="00F31BB4"/>
    <w:rsid w:val="00F31BC7"/>
    <w:rsid w:val="00F32AF8"/>
    <w:rsid w:val="00F330C5"/>
    <w:rsid w:val="00F330D4"/>
    <w:rsid w:val="00F34075"/>
    <w:rsid w:val="00F34E02"/>
    <w:rsid w:val="00F363C6"/>
    <w:rsid w:val="00F3679B"/>
    <w:rsid w:val="00F41E02"/>
    <w:rsid w:val="00F4437C"/>
    <w:rsid w:val="00F451FD"/>
    <w:rsid w:val="00F50C08"/>
    <w:rsid w:val="00F50C99"/>
    <w:rsid w:val="00F53675"/>
    <w:rsid w:val="00F538E7"/>
    <w:rsid w:val="00F544B7"/>
    <w:rsid w:val="00F54E85"/>
    <w:rsid w:val="00F5568E"/>
    <w:rsid w:val="00F5753A"/>
    <w:rsid w:val="00F57DCD"/>
    <w:rsid w:val="00F604CB"/>
    <w:rsid w:val="00F62318"/>
    <w:rsid w:val="00F62474"/>
    <w:rsid w:val="00F63043"/>
    <w:rsid w:val="00F636DC"/>
    <w:rsid w:val="00F639F3"/>
    <w:rsid w:val="00F65DC9"/>
    <w:rsid w:val="00F6687A"/>
    <w:rsid w:val="00F66A5A"/>
    <w:rsid w:val="00F6798E"/>
    <w:rsid w:val="00F7016A"/>
    <w:rsid w:val="00F70DB2"/>
    <w:rsid w:val="00F71528"/>
    <w:rsid w:val="00F71D41"/>
    <w:rsid w:val="00F72E9B"/>
    <w:rsid w:val="00F74FC8"/>
    <w:rsid w:val="00F8147B"/>
    <w:rsid w:val="00F81E91"/>
    <w:rsid w:val="00F82496"/>
    <w:rsid w:val="00F8346C"/>
    <w:rsid w:val="00F87C2B"/>
    <w:rsid w:val="00F87E6E"/>
    <w:rsid w:val="00F932A7"/>
    <w:rsid w:val="00F937E3"/>
    <w:rsid w:val="00F94060"/>
    <w:rsid w:val="00F9417B"/>
    <w:rsid w:val="00F942CD"/>
    <w:rsid w:val="00F94CEA"/>
    <w:rsid w:val="00F94DE4"/>
    <w:rsid w:val="00F94EF1"/>
    <w:rsid w:val="00F94F7E"/>
    <w:rsid w:val="00F95194"/>
    <w:rsid w:val="00F95F72"/>
    <w:rsid w:val="00FA1753"/>
    <w:rsid w:val="00FA1E22"/>
    <w:rsid w:val="00FA2588"/>
    <w:rsid w:val="00FA2890"/>
    <w:rsid w:val="00FA28B3"/>
    <w:rsid w:val="00FA4047"/>
    <w:rsid w:val="00FA55C8"/>
    <w:rsid w:val="00FA6113"/>
    <w:rsid w:val="00FA753E"/>
    <w:rsid w:val="00FB1065"/>
    <w:rsid w:val="00FB24CE"/>
    <w:rsid w:val="00FB3F45"/>
    <w:rsid w:val="00FB4508"/>
    <w:rsid w:val="00FB5887"/>
    <w:rsid w:val="00FB6C93"/>
    <w:rsid w:val="00FB73A8"/>
    <w:rsid w:val="00FC25C0"/>
    <w:rsid w:val="00FC2613"/>
    <w:rsid w:val="00FC3BA6"/>
    <w:rsid w:val="00FC44AA"/>
    <w:rsid w:val="00FC5DE9"/>
    <w:rsid w:val="00FD04D0"/>
    <w:rsid w:val="00FD08BA"/>
    <w:rsid w:val="00FD11D6"/>
    <w:rsid w:val="00FD1FC1"/>
    <w:rsid w:val="00FD26E4"/>
    <w:rsid w:val="00FD38AD"/>
    <w:rsid w:val="00FD44F7"/>
    <w:rsid w:val="00FD5555"/>
    <w:rsid w:val="00FD5F00"/>
    <w:rsid w:val="00FD72FC"/>
    <w:rsid w:val="00FD77AD"/>
    <w:rsid w:val="00FE0755"/>
    <w:rsid w:val="00FE0E02"/>
    <w:rsid w:val="00FE1144"/>
    <w:rsid w:val="00FE260C"/>
    <w:rsid w:val="00FE26CF"/>
    <w:rsid w:val="00FE3291"/>
    <w:rsid w:val="00FE5129"/>
    <w:rsid w:val="00FE6EA8"/>
    <w:rsid w:val="00FE7414"/>
    <w:rsid w:val="00FE7AAB"/>
    <w:rsid w:val="00FE7D1A"/>
    <w:rsid w:val="00FF0B48"/>
    <w:rsid w:val="00FF44A3"/>
    <w:rsid w:val="00FF4F3F"/>
    <w:rsid w:val="00FF5072"/>
    <w:rsid w:val="00FF5563"/>
    <w:rsid w:val="00FF5D42"/>
    <w:rsid w:val="00FF5D51"/>
    <w:rsid w:val="00FF7808"/>
    <w:rsid w:val="00FF793C"/>
    <w:rsid w:val="02F70DD8"/>
    <w:rsid w:val="03407DDD"/>
    <w:rsid w:val="03970A41"/>
    <w:rsid w:val="03DE7B24"/>
    <w:rsid w:val="057F2E95"/>
    <w:rsid w:val="0800382C"/>
    <w:rsid w:val="09210786"/>
    <w:rsid w:val="09562B71"/>
    <w:rsid w:val="09F150BA"/>
    <w:rsid w:val="0BB53545"/>
    <w:rsid w:val="0CDA0CC2"/>
    <w:rsid w:val="0D1F4D64"/>
    <w:rsid w:val="0E9D4E90"/>
    <w:rsid w:val="0F2F8C68"/>
    <w:rsid w:val="0F5A70EC"/>
    <w:rsid w:val="10C552AD"/>
    <w:rsid w:val="139F52BA"/>
    <w:rsid w:val="13A459AD"/>
    <w:rsid w:val="13B2264B"/>
    <w:rsid w:val="13D122D9"/>
    <w:rsid w:val="146D79C6"/>
    <w:rsid w:val="16766474"/>
    <w:rsid w:val="17BD77EF"/>
    <w:rsid w:val="1D9732FF"/>
    <w:rsid w:val="1D9B00A7"/>
    <w:rsid w:val="1DD80D8F"/>
    <w:rsid w:val="1EFE0158"/>
    <w:rsid w:val="1F3F8CBE"/>
    <w:rsid w:val="20827A42"/>
    <w:rsid w:val="225C0DB0"/>
    <w:rsid w:val="23B852A8"/>
    <w:rsid w:val="23DA541E"/>
    <w:rsid w:val="240A6D6E"/>
    <w:rsid w:val="241271C7"/>
    <w:rsid w:val="242E740A"/>
    <w:rsid w:val="25C7594C"/>
    <w:rsid w:val="271C3B70"/>
    <w:rsid w:val="27785B58"/>
    <w:rsid w:val="27DB7970"/>
    <w:rsid w:val="28BA18FC"/>
    <w:rsid w:val="29424BB8"/>
    <w:rsid w:val="29582BD3"/>
    <w:rsid w:val="2B8E7BE2"/>
    <w:rsid w:val="2C1429EF"/>
    <w:rsid w:val="2CA62F2E"/>
    <w:rsid w:val="2D7D73BC"/>
    <w:rsid w:val="2DB57BEF"/>
    <w:rsid w:val="2F9F3A70"/>
    <w:rsid w:val="2FFD2986"/>
    <w:rsid w:val="31527EED"/>
    <w:rsid w:val="31B428BC"/>
    <w:rsid w:val="329D0F8A"/>
    <w:rsid w:val="3555547B"/>
    <w:rsid w:val="35B015A3"/>
    <w:rsid w:val="36200A61"/>
    <w:rsid w:val="363153F1"/>
    <w:rsid w:val="36C344B8"/>
    <w:rsid w:val="37085D5E"/>
    <w:rsid w:val="375E0BAF"/>
    <w:rsid w:val="37BD6F93"/>
    <w:rsid w:val="38AA320E"/>
    <w:rsid w:val="39AB2A00"/>
    <w:rsid w:val="39DE2873"/>
    <w:rsid w:val="3AD774B7"/>
    <w:rsid w:val="3B5A0EDF"/>
    <w:rsid w:val="3BEA5079"/>
    <w:rsid w:val="3D294949"/>
    <w:rsid w:val="3D523C14"/>
    <w:rsid w:val="3ED41958"/>
    <w:rsid w:val="43792402"/>
    <w:rsid w:val="43BF748C"/>
    <w:rsid w:val="44193E1A"/>
    <w:rsid w:val="4594511B"/>
    <w:rsid w:val="45E434D5"/>
    <w:rsid w:val="46557A22"/>
    <w:rsid w:val="46896EAF"/>
    <w:rsid w:val="47364347"/>
    <w:rsid w:val="477E1AE8"/>
    <w:rsid w:val="497E10E4"/>
    <w:rsid w:val="49C70C1A"/>
    <w:rsid w:val="49D560C0"/>
    <w:rsid w:val="49EC085B"/>
    <w:rsid w:val="4A097F8F"/>
    <w:rsid w:val="4A1155D3"/>
    <w:rsid w:val="4B7F0E9E"/>
    <w:rsid w:val="4BB46501"/>
    <w:rsid w:val="4D884FC4"/>
    <w:rsid w:val="4DED180A"/>
    <w:rsid w:val="50A5550E"/>
    <w:rsid w:val="53534A5A"/>
    <w:rsid w:val="53F24FF2"/>
    <w:rsid w:val="543DADDC"/>
    <w:rsid w:val="54F974BE"/>
    <w:rsid w:val="557C7820"/>
    <w:rsid w:val="56E964CB"/>
    <w:rsid w:val="57ED7804"/>
    <w:rsid w:val="57EFD92C"/>
    <w:rsid w:val="587641EB"/>
    <w:rsid w:val="58BF193A"/>
    <w:rsid w:val="598A78EB"/>
    <w:rsid w:val="5A032C9A"/>
    <w:rsid w:val="5A380F0B"/>
    <w:rsid w:val="5B866FEB"/>
    <w:rsid w:val="5E0363C8"/>
    <w:rsid w:val="5E1824AD"/>
    <w:rsid w:val="5FE40CB2"/>
    <w:rsid w:val="5FF5EC4B"/>
    <w:rsid w:val="60884B3D"/>
    <w:rsid w:val="60932620"/>
    <w:rsid w:val="60977546"/>
    <w:rsid w:val="60CA1441"/>
    <w:rsid w:val="62DB2A67"/>
    <w:rsid w:val="63F924D6"/>
    <w:rsid w:val="647D2693"/>
    <w:rsid w:val="6499029E"/>
    <w:rsid w:val="650B63FE"/>
    <w:rsid w:val="657E6870"/>
    <w:rsid w:val="65E43670"/>
    <w:rsid w:val="667BEE59"/>
    <w:rsid w:val="66AC290C"/>
    <w:rsid w:val="66CB221C"/>
    <w:rsid w:val="66E34901"/>
    <w:rsid w:val="693D0753"/>
    <w:rsid w:val="69491DB5"/>
    <w:rsid w:val="69B2727C"/>
    <w:rsid w:val="69CB1261"/>
    <w:rsid w:val="6B1E43C2"/>
    <w:rsid w:val="6B6F1AEA"/>
    <w:rsid w:val="6CF756E5"/>
    <w:rsid w:val="6DD74B9D"/>
    <w:rsid w:val="6DFBCD08"/>
    <w:rsid w:val="6EEE2A32"/>
    <w:rsid w:val="6F59C798"/>
    <w:rsid w:val="6F671600"/>
    <w:rsid w:val="6FB7206C"/>
    <w:rsid w:val="6FDD7827"/>
    <w:rsid w:val="70EC01C8"/>
    <w:rsid w:val="71D4D2A0"/>
    <w:rsid w:val="720A1363"/>
    <w:rsid w:val="737C49F3"/>
    <w:rsid w:val="744F00B6"/>
    <w:rsid w:val="745F0EB0"/>
    <w:rsid w:val="74BA691F"/>
    <w:rsid w:val="74D8B0F8"/>
    <w:rsid w:val="750438D4"/>
    <w:rsid w:val="753938CD"/>
    <w:rsid w:val="75FDA540"/>
    <w:rsid w:val="75FF2F86"/>
    <w:rsid w:val="767D438B"/>
    <w:rsid w:val="77044F88"/>
    <w:rsid w:val="794859DE"/>
    <w:rsid w:val="79B43E67"/>
    <w:rsid w:val="7A010931"/>
    <w:rsid w:val="7BD427A0"/>
    <w:rsid w:val="7C804BBD"/>
    <w:rsid w:val="7D79C22C"/>
    <w:rsid w:val="7DEC16BB"/>
    <w:rsid w:val="7E041AB0"/>
    <w:rsid w:val="7F3F3E67"/>
    <w:rsid w:val="7F593B80"/>
    <w:rsid w:val="7F6D1472"/>
    <w:rsid w:val="7F7E0C4C"/>
    <w:rsid w:val="7F843575"/>
    <w:rsid w:val="7FAF10F5"/>
    <w:rsid w:val="7FBBF40B"/>
    <w:rsid w:val="7FD19487"/>
    <w:rsid w:val="7FDE1177"/>
    <w:rsid w:val="BB679970"/>
    <w:rsid w:val="BBEB791C"/>
    <w:rsid w:val="BE5B4453"/>
    <w:rsid w:val="BFDBDDC5"/>
    <w:rsid w:val="C9BAD826"/>
    <w:rsid w:val="CDDF9FBE"/>
    <w:rsid w:val="CDF33EF7"/>
    <w:rsid w:val="D7F158F3"/>
    <w:rsid w:val="DBDF0DDE"/>
    <w:rsid w:val="DDFFF139"/>
    <w:rsid w:val="E33D528A"/>
    <w:rsid w:val="E3A39137"/>
    <w:rsid w:val="ECF74C8D"/>
    <w:rsid w:val="EF7D5941"/>
    <w:rsid w:val="F43BF78F"/>
    <w:rsid w:val="F677018C"/>
    <w:rsid w:val="FBBFF20A"/>
    <w:rsid w:val="FBF7BC10"/>
    <w:rsid w:val="FC3BE988"/>
    <w:rsid w:val="FDA376F8"/>
    <w:rsid w:val="FDDD1930"/>
    <w:rsid w:val="FDF7C689"/>
    <w:rsid w:val="FDFFAFE4"/>
    <w:rsid w:val="FEBB3FF0"/>
    <w:rsid w:val="FEF61A32"/>
    <w:rsid w:val="FEFF1C33"/>
    <w:rsid w:val="FF7F289D"/>
    <w:rsid w:val="FF7F6D39"/>
    <w:rsid w:val="FFF69954"/>
    <w:rsid w:val="FFFC6546"/>
    <w:rsid w:val="FFFFF1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unhideWhenUsed/>
    <w:qFormat/>
    <w:uiPriority w:val="99"/>
  </w:style>
  <w:style w:type="paragraph" w:styleId="3">
    <w:name w:val="Balloon Text"/>
    <w:basedOn w:val="1"/>
    <w:link w:val="15"/>
    <w:qFormat/>
    <w:uiPriority w:val="0"/>
    <w:rPr>
      <w:sz w:val="18"/>
      <w:szCs w:val="18"/>
    </w:rPr>
  </w:style>
  <w:style w:type="paragraph" w:styleId="4">
    <w:name w:val="footer"/>
    <w:basedOn w:val="1"/>
    <w:link w:val="14"/>
    <w:qFormat/>
    <w:uiPriority w:val="99"/>
    <w:pPr>
      <w:tabs>
        <w:tab w:val="center" w:pos="4153"/>
        <w:tab w:val="right" w:pos="8306"/>
      </w:tabs>
      <w:snapToGrid w:val="0"/>
    </w:pPr>
    <w:rPr>
      <w:sz w:val="18"/>
      <w:szCs w:val="18"/>
    </w:rPr>
  </w:style>
  <w:style w:type="paragraph" w:styleId="5">
    <w:name w:val="header"/>
    <w:basedOn w:val="1"/>
    <w:link w:val="13"/>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0"/>
    <w:pPr>
      <w:spacing w:beforeAutospacing="1" w:afterAutospacing="1"/>
    </w:pPr>
    <w:rPr>
      <w:rFonts w:cs="Times New Roman"/>
    </w:rPr>
  </w:style>
  <w:style w:type="paragraph" w:styleId="7">
    <w:name w:val="annotation subject"/>
    <w:basedOn w:val="2"/>
    <w:next w:val="2"/>
    <w:link w:val="18"/>
    <w:semiHidden/>
    <w:unhideWhenUsed/>
    <w:qFormat/>
    <w:uiPriority w:val="0"/>
    <w:rPr>
      <w:b/>
      <w:bCs/>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Hyperlink"/>
    <w:basedOn w:val="10"/>
    <w:unhideWhenUsed/>
    <w:qFormat/>
    <w:uiPriority w:val="0"/>
    <w:rPr>
      <w:color w:val="0000FF" w:themeColor="hyperlink"/>
      <w:u w:val="single"/>
      <w14:textFill>
        <w14:solidFill>
          <w14:schemeClr w14:val="hlink"/>
        </w14:solidFill>
      </w14:textFill>
    </w:rPr>
  </w:style>
  <w:style w:type="character" w:styleId="12">
    <w:name w:val="annotation reference"/>
    <w:basedOn w:val="10"/>
    <w:semiHidden/>
    <w:unhideWhenUsed/>
    <w:qFormat/>
    <w:uiPriority w:val="0"/>
    <w:rPr>
      <w:sz w:val="21"/>
      <w:szCs w:val="21"/>
    </w:rPr>
  </w:style>
  <w:style w:type="character" w:customStyle="1" w:styleId="13">
    <w:name w:val="页眉 Char"/>
    <w:link w:val="5"/>
    <w:qFormat/>
    <w:uiPriority w:val="99"/>
    <w:rPr>
      <w:rFonts w:ascii="宋体" w:hAnsi="宋体" w:eastAsia="宋体" w:cs="宋体"/>
      <w:sz w:val="18"/>
      <w:szCs w:val="18"/>
    </w:rPr>
  </w:style>
  <w:style w:type="character" w:customStyle="1" w:styleId="14">
    <w:name w:val="页脚 Char"/>
    <w:link w:val="4"/>
    <w:qFormat/>
    <w:uiPriority w:val="99"/>
    <w:rPr>
      <w:rFonts w:ascii="宋体" w:hAnsi="宋体" w:eastAsia="宋体" w:cs="宋体"/>
      <w:sz w:val="18"/>
      <w:szCs w:val="18"/>
    </w:rPr>
  </w:style>
  <w:style w:type="character" w:customStyle="1" w:styleId="15">
    <w:name w:val="批注框文本 Char"/>
    <w:link w:val="3"/>
    <w:qFormat/>
    <w:uiPriority w:val="0"/>
    <w:rPr>
      <w:rFonts w:ascii="宋体" w:hAnsi="宋体" w:eastAsia="宋体" w:cs="宋体"/>
      <w:sz w:val="18"/>
      <w:szCs w:val="18"/>
    </w:rPr>
  </w:style>
  <w:style w:type="paragraph" w:customStyle="1" w:styleId="16">
    <w:name w:val="普通(网站)1"/>
    <w:basedOn w:val="1"/>
    <w:qFormat/>
    <w:uiPriority w:val="0"/>
    <w:pPr>
      <w:spacing w:before="100" w:beforeAutospacing="1" w:after="100" w:afterAutospacing="1"/>
    </w:pPr>
  </w:style>
  <w:style w:type="character" w:customStyle="1" w:styleId="17">
    <w:name w:val="批注文字 Char"/>
    <w:basedOn w:val="10"/>
    <w:link w:val="2"/>
    <w:qFormat/>
    <w:uiPriority w:val="99"/>
    <w:rPr>
      <w:rFonts w:ascii="宋体" w:hAnsi="宋体" w:cs="宋体"/>
      <w:sz w:val="24"/>
      <w:szCs w:val="24"/>
    </w:rPr>
  </w:style>
  <w:style w:type="character" w:customStyle="1" w:styleId="18">
    <w:name w:val="批注主题 Char"/>
    <w:basedOn w:val="17"/>
    <w:link w:val="7"/>
    <w:semiHidden/>
    <w:qFormat/>
    <w:uiPriority w:val="0"/>
    <w:rPr>
      <w:rFonts w:ascii="宋体" w:hAnsi="宋体" w:cs="宋体"/>
      <w:b/>
      <w:bCs/>
      <w:sz w:val="24"/>
      <w:szCs w:val="24"/>
    </w:rPr>
  </w:style>
  <w:style w:type="paragraph" w:styleId="19">
    <w:name w:val="List Paragraph"/>
    <w:basedOn w:val="1"/>
    <w:qFormat/>
    <w:uiPriority w:val="34"/>
    <w:pPr>
      <w:ind w:firstLine="420" w:firstLineChars="200"/>
    </w:pPr>
  </w:style>
  <w:style w:type="paragraph" w:customStyle="1" w:styleId="20">
    <w:name w:val="修订1"/>
    <w:hidden/>
    <w:semiHidden/>
    <w:qFormat/>
    <w:uiPriority w:val="99"/>
    <w:rPr>
      <w:rFonts w:ascii="宋体" w:hAnsi="宋体" w:eastAsia="宋体" w:cs="宋体"/>
      <w:sz w:val="24"/>
      <w:szCs w:val="24"/>
      <w:lang w:val="en-US" w:eastAsia="zh-CN" w:bidi="ar-SA"/>
    </w:rPr>
  </w:style>
  <w:style w:type="paragraph" w:customStyle="1" w:styleId="21">
    <w:name w:val="修订2"/>
    <w:hidden/>
    <w:semiHidden/>
    <w:qFormat/>
    <w:uiPriority w:val="99"/>
    <w:rPr>
      <w:rFonts w:ascii="宋体" w:hAnsi="宋体" w:eastAsia="宋体" w:cs="宋体"/>
      <w:sz w:val="24"/>
      <w:szCs w:val="24"/>
      <w:lang w:val="en-US" w:eastAsia="zh-CN" w:bidi="ar-SA"/>
    </w:rPr>
  </w:style>
  <w:style w:type="paragraph" w:customStyle="1" w:styleId="22">
    <w:name w:val="Char Char"/>
    <w:basedOn w:val="1"/>
    <w:qFormat/>
    <w:uiPriority w:val="0"/>
    <w:pPr>
      <w:widowControl w:val="0"/>
      <w:jc w:val="both"/>
    </w:pPr>
    <w:rPr>
      <w:rFonts w:ascii="Times New Roman" w:hAnsi="Times New Roman" w:cs="Times New Roman"/>
      <w:kern w:val="2"/>
      <w:sz w:val="21"/>
      <w:szCs w:val="20"/>
    </w:rPr>
  </w:style>
  <w:style w:type="paragraph" w:customStyle="1" w:styleId="23">
    <w:name w:val="正文 New New New New New New New New New New New New New"/>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customStyle="1" w:styleId="24">
    <w:name w:val="正文 New New New New New New New New New New New"/>
    <w:qFormat/>
    <w:uiPriority w:val="0"/>
    <w:pPr>
      <w:autoSpaceDE w:val="0"/>
      <w:autoSpaceDN w:val="0"/>
      <w:adjustRightInd w:val="0"/>
    </w:pPr>
    <w:rPr>
      <w:rFonts w:ascii="宋体" w:hAnsi="Times New Roman" w:eastAsia="宋体" w:cs="Times New Roman"/>
      <w:lang w:val="en-US" w:eastAsia="zh-CN" w:bidi="ar-SA"/>
    </w:rPr>
  </w:style>
  <w:style w:type="paragraph" w:customStyle="1" w:styleId="25">
    <w:name w:val="修订3"/>
    <w:hidden/>
    <w:semiHidden/>
    <w:qFormat/>
    <w:uiPriority w:val="99"/>
    <w:rPr>
      <w:rFonts w:ascii="宋体" w:hAnsi="宋体" w:eastAsia="宋体" w:cs="宋体"/>
      <w:sz w:val="24"/>
      <w:szCs w:val="24"/>
      <w:lang w:val="en-US" w:eastAsia="zh-CN" w:bidi="ar-SA"/>
    </w:rPr>
  </w:style>
  <w:style w:type="character" w:customStyle="1" w:styleId="26">
    <w:name w:val="bjh-strong"/>
    <w:basedOn w:val="10"/>
    <w:qFormat/>
    <w:uiPriority w:val="0"/>
  </w:style>
  <w:style w:type="paragraph" w:customStyle="1" w:styleId="27">
    <w:name w:val="p0"/>
    <w:basedOn w:val="1"/>
    <w:qFormat/>
    <w:uiPriority w:val="99"/>
    <w:pPr>
      <w:widowControl/>
      <w:spacing w:before="100" w:beforeAutospacing="1" w:after="100" w:afterAutospacing="1"/>
      <w:jc w:val="left"/>
    </w:pPr>
    <w:rPr>
      <w:rFonts w:ascii="宋体" w:hAnsi="宋体" w:eastAsia="宋体" w:cs="宋体"/>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citicbank</Company>
  <Pages>70</Pages>
  <Words>69657</Words>
  <Characters>77714</Characters>
  <Lines>233</Lines>
  <Paragraphs>65</Paragraphs>
  <TotalTime>0</TotalTime>
  <ScaleCrop>false</ScaleCrop>
  <LinksUpToDate>false</LinksUpToDate>
  <CharactersWithSpaces>78141</CharactersWithSpaces>
  <Application>WPS Office_12.8.2.20793_F1E327BC-269C-435d-A152-05C5408002CA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2024-05-29T08:10:00Z</dcterms:created>
  <dc:creator>王晓明</dc:creator>
  <cp:lastModifiedBy>xc-chenxinyi</cp:lastModifiedBy>
  <cp:lastPrinted>2024-06-08T09:24:00Z</cp:lastPrinted>
  <dcterms:modified xsi:type="dcterms:W3CDTF">2026-10-15T10:00:34Z</dcterms:modified>
  <dc:title>产品说明书</dc:title>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2052-12.8.2.20793</vt:lpwstr>
  </property>
  <property fmtid="{D5CDD505-2E9C-101B-9397-08002B2CF9AE}" pid="3" name="ICV">
    <vt:lpwstr>8BF2B1701AE2498E5DCE0F67A2B84A9C_43</vt:lpwstr>
  </property>
</Properties>
</file>