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62" w:line="360" w:lineRule="auto"/>
        <w:jc w:val="center"/>
        <w:outlineLvl w:val="0"/>
        <w:rPr>
          <w:lang w:eastAsia="zh-CN"/>
        </w:rPr>
      </w:pPr>
      <w:bookmarkStart w:id="0" w:name="_GoBack"/>
      <w:bookmarkEnd w:id="0"/>
      <w:r>
        <w:rPr>
          <w:rFonts w:hint="eastAsia" w:ascii="宋体" w:hAnsi="宋体" w:eastAsia="宋体" w:cs="宋体"/>
          <w:b/>
          <w:bCs/>
          <w:spacing w:val="7"/>
          <w:sz w:val="31"/>
          <w:szCs w:val="31"/>
          <w:lang w:eastAsia="zh-CN"/>
        </w:rPr>
        <w:t>浙江诸暨农村商业银行</w:t>
      </w:r>
      <w:r>
        <w:rPr>
          <w:rFonts w:ascii="宋体" w:hAnsi="宋体" w:eastAsia="宋体" w:cs="宋体"/>
          <w:b/>
          <w:bCs/>
          <w:spacing w:val="7"/>
          <w:sz w:val="31"/>
          <w:szCs w:val="31"/>
          <w:lang w:eastAsia="zh-CN"/>
        </w:rPr>
        <w:t>理财产品代理销售协议书</w:t>
      </w:r>
    </w:p>
    <w:tbl>
      <w:tblPr>
        <w:tblStyle w:val="11"/>
        <w:tblW w:w="101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6191"/>
        <w:gridCol w:w="32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110" w:type="dxa"/>
            <w:gridSpan w:val="3"/>
          </w:tcPr>
          <w:p>
            <w:pPr>
              <w:pStyle w:val="12"/>
              <w:spacing w:before="168" w:line="360" w:lineRule="auto"/>
              <w:ind w:left="4313"/>
              <w:rPr>
                <w:sz w:val="30"/>
                <w:szCs w:val="30"/>
              </w:rPr>
            </w:pPr>
            <w:r>
              <w:rPr>
                <w:b/>
                <w:bCs/>
                <w:spacing w:val="-20"/>
                <w:sz w:val="30"/>
                <w:szCs w:val="30"/>
              </w:rPr>
              <w:t>银</w:t>
            </w:r>
            <w:r>
              <w:rPr>
                <w:spacing w:val="19"/>
                <w:sz w:val="30"/>
                <w:szCs w:val="30"/>
              </w:rPr>
              <w:t xml:space="preserve"> </w:t>
            </w:r>
            <w:r>
              <w:rPr>
                <w:b/>
                <w:bCs/>
                <w:spacing w:val="-20"/>
                <w:sz w:val="30"/>
                <w:szCs w:val="30"/>
              </w:rPr>
              <w:t>行</w:t>
            </w:r>
            <w:r>
              <w:rPr>
                <w:spacing w:val="16"/>
                <w:sz w:val="30"/>
                <w:szCs w:val="30"/>
              </w:rPr>
              <w:t xml:space="preserve"> </w:t>
            </w:r>
            <w:r>
              <w:rPr>
                <w:b/>
                <w:bCs/>
                <w:spacing w:val="-20"/>
                <w:sz w:val="30"/>
                <w:szCs w:val="30"/>
              </w:rPr>
              <w:t>打</w:t>
            </w:r>
            <w:r>
              <w:rPr>
                <w:spacing w:val="36"/>
                <w:sz w:val="30"/>
                <w:szCs w:val="30"/>
              </w:rPr>
              <w:t xml:space="preserve"> </w:t>
            </w:r>
            <w:r>
              <w:rPr>
                <w:b/>
                <w:bCs/>
                <w:spacing w:val="-20"/>
                <w:sz w:val="30"/>
                <w:szCs w:val="30"/>
              </w:rPr>
              <w:t>印</w:t>
            </w:r>
            <w:r>
              <w:rPr>
                <w:spacing w:val="13"/>
                <w:sz w:val="30"/>
                <w:szCs w:val="30"/>
              </w:rPr>
              <w:t xml:space="preserve"> </w:t>
            </w:r>
            <w:r>
              <w:rPr>
                <w:b/>
                <w:bCs/>
                <w:spacing w:val="-20"/>
                <w:sz w:val="30"/>
                <w:szCs w:val="30"/>
              </w:rPr>
              <w:t>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0" w:hRule="atLeast"/>
        </w:trPr>
        <w:tc>
          <w:tcPr>
            <w:tcW w:w="10110" w:type="dxa"/>
            <w:gridSpan w:val="3"/>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6" w:hRule="atLeast"/>
        </w:trPr>
        <w:tc>
          <w:tcPr>
            <w:tcW w:w="670" w:type="dxa"/>
            <w:textDirection w:val="tbRlV"/>
          </w:tcPr>
          <w:p>
            <w:pPr>
              <w:pStyle w:val="12"/>
              <w:spacing w:before="282" w:line="360" w:lineRule="auto"/>
              <w:ind w:left="284"/>
              <w:rPr>
                <w:sz w:val="28"/>
                <w:szCs w:val="28"/>
              </w:rPr>
            </w:pPr>
            <w:r>
              <w:rPr>
                <w:b/>
                <w:bCs/>
                <w:spacing w:val="-2"/>
                <w:sz w:val="28"/>
                <w:szCs w:val="28"/>
              </w:rPr>
              <w:t>投</w:t>
            </w:r>
            <w:r>
              <w:rPr>
                <w:spacing w:val="-2"/>
                <w:sz w:val="28"/>
                <w:szCs w:val="28"/>
              </w:rPr>
              <w:t xml:space="preserve"> </w:t>
            </w:r>
            <w:r>
              <w:rPr>
                <w:b/>
                <w:bCs/>
                <w:spacing w:val="-2"/>
                <w:sz w:val="28"/>
                <w:szCs w:val="28"/>
              </w:rPr>
              <w:t>资</w:t>
            </w:r>
            <w:r>
              <w:rPr>
                <w:spacing w:val="-2"/>
                <w:sz w:val="28"/>
                <w:szCs w:val="28"/>
              </w:rPr>
              <w:t xml:space="preserve"> </w:t>
            </w:r>
            <w:r>
              <w:rPr>
                <w:b/>
                <w:bCs/>
                <w:spacing w:val="-2"/>
                <w:sz w:val="28"/>
                <w:szCs w:val="28"/>
              </w:rPr>
              <w:t>者</w:t>
            </w:r>
            <w:r>
              <w:rPr>
                <w:spacing w:val="-2"/>
                <w:sz w:val="28"/>
                <w:szCs w:val="28"/>
              </w:rPr>
              <w:t xml:space="preserve"> </w:t>
            </w:r>
            <w:r>
              <w:rPr>
                <w:b/>
                <w:bCs/>
                <w:spacing w:val="-2"/>
                <w:sz w:val="28"/>
                <w:szCs w:val="28"/>
              </w:rPr>
              <w:t>确</w:t>
            </w:r>
            <w:r>
              <w:rPr>
                <w:spacing w:val="-2"/>
                <w:sz w:val="28"/>
                <w:szCs w:val="28"/>
              </w:rPr>
              <w:t xml:space="preserve"> </w:t>
            </w:r>
            <w:r>
              <w:rPr>
                <w:b/>
                <w:bCs/>
                <w:spacing w:val="-2"/>
                <w:sz w:val="28"/>
                <w:szCs w:val="28"/>
              </w:rPr>
              <w:t>认</w:t>
            </w:r>
            <w:r>
              <w:rPr>
                <w:spacing w:val="-2"/>
                <w:sz w:val="28"/>
                <w:szCs w:val="28"/>
              </w:rPr>
              <w:t xml:space="preserve"> </w:t>
            </w:r>
            <w:r>
              <w:rPr>
                <w:b/>
                <w:bCs/>
                <w:spacing w:val="-2"/>
                <w:sz w:val="28"/>
                <w:szCs w:val="28"/>
              </w:rPr>
              <w:t>栏</w:t>
            </w:r>
          </w:p>
        </w:tc>
        <w:tc>
          <w:tcPr>
            <w:tcW w:w="6191" w:type="dxa"/>
          </w:tcPr>
          <w:p>
            <w:pPr>
              <w:pStyle w:val="12"/>
              <w:spacing w:before="54" w:line="360" w:lineRule="auto"/>
              <w:ind w:left="110" w:right="83" w:firstLine="420"/>
              <w:jc w:val="both"/>
              <w:rPr>
                <w:sz w:val="20"/>
                <w:szCs w:val="20"/>
                <w:lang w:eastAsia="zh-CN"/>
              </w:rPr>
            </w:pPr>
            <w:r>
              <w:rPr>
                <w:b/>
                <w:bCs/>
                <w:spacing w:val="8"/>
                <w:sz w:val="20"/>
                <w:szCs w:val="20"/>
                <w:lang w:eastAsia="zh-CN"/>
              </w:rPr>
              <w:t>本机构/本人已</w:t>
            </w:r>
            <w:r>
              <w:rPr>
                <w:b/>
                <w:bCs/>
                <w:spacing w:val="7"/>
                <w:sz w:val="20"/>
                <w:szCs w:val="20"/>
                <w:lang w:eastAsia="zh-CN"/>
              </w:rPr>
              <w:t>仔细阅读本</w:t>
            </w:r>
            <w:r>
              <w:rPr>
                <w:b/>
                <w:bCs/>
                <w:spacing w:val="12"/>
                <w:sz w:val="20"/>
                <w:szCs w:val="20"/>
                <w:lang w:eastAsia="zh-CN"/>
              </w:rPr>
              <w:t>协议书背面的《</w:t>
            </w:r>
            <w:r>
              <w:rPr>
                <w:rFonts w:hint="eastAsia"/>
                <w:b/>
                <w:bCs/>
                <w:spacing w:val="12"/>
                <w:sz w:val="20"/>
                <w:szCs w:val="20"/>
                <w:lang w:eastAsia="zh-CN"/>
              </w:rPr>
              <w:t>浙江诸暨农村商业银行</w:t>
            </w:r>
            <w:r>
              <w:rPr>
                <w:b/>
                <w:bCs/>
                <w:spacing w:val="12"/>
                <w:sz w:val="20"/>
                <w:szCs w:val="20"/>
                <w:lang w:eastAsia="zh-CN"/>
              </w:rPr>
              <w:t>理财产品代理销售协议条款》</w:t>
            </w:r>
            <w:r>
              <w:rPr>
                <w:b/>
                <w:bCs/>
                <w:spacing w:val="11"/>
                <w:sz w:val="20"/>
                <w:szCs w:val="20"/>
                <w:lang w:eastAsia="zh-CN"/>
              </w:rPr>
              <w:t>和有关的</w:t>
            </w:r>
            <w:r>
              <w:rPr>
                <w:b/>
                <w:bCs/>
                <w:spacing w:val="8"/>
                <w:sz w:val="20"/>
                <w:szCs w:val="20"/>
                <w:lang w:eastAsia="zh-CN"/>
              </w:rPr>
              <w:t>产品销售文件，</w:t>
            </w:r>
            <w:r>
              <w:rPr>
                <w:rFonts w:hint="eastAsia"/>
                <w:b/>
                <w:bCs/>
                <w:spacing w:val="8"/>
                <w:sz w:val="20"/>
                <w:szCs w:val="20"/>
                <w:lang w:eastAsia="zh-CN"/>
              </w:rPr>
              <w:t>已</w:t>
            </w:r>
            <w:r>
              <w:rPr>
                <w:b/>
                <w:bCs/>
                <w:spacing w:val="8"/>
                <w:sz w:val="20"/>
                <w:szCs w:val="20"/>
                <w:lang w:eastAsia="zh-CN"/>
              </w:rPr>
              <w:t>充分了解并清楚知晓本产品的风险，本机构/</w:t>
            </w:r>
            <w:r>
              <w:rPr>
                <w:b/>
                <w:bCs/>
                <w:spacing w:val="7"/>
                <w:sz w:val="20"/>
                <w:szCs w:val="20"/>
                <w:lang w:eastAsia="zh-CN"/>
              </w:rPr>
              <w:t>本人愿意承担相关风险，</w:t>
            </w:r>
            <w:r>
              <w:rPr>
                <w:rFonts w:hint="eastAsia"/>
                <w:b/>
                <w:bCs/>
                <w:spacing w:val="7"/>
                <w:sz w:val="20"/>
                <w:szCs w:val="20"/>
                <w:lang w:eastAsia="zh-CN"/>
              </w:rPr>
              <w:t>自愿购买该理财产品，</w:t>
            </w:r>
            <w:r>
              <w:rPr>
                <w:b/>
                <w:bCs/>
                <w:spacing w:val="7"/>
                <w:sz w:val="20"/>
                <w:szCs w:val="20"/>
                <w:lang w:eastAsia="zh-CN"/>
              </w:rPr>
              <w:t>并遵守本协议项下的各项规定。</w:t>
            </w:r>
          </w:p>
          <w:p>
            <w:pPr>
              <w:pStyle w:val="12"/>
              <w:spacing w:line="360" w:lineRule="auto"/>
              <w:ind w:left="531"/>
              <w:rPr>
                <w:sz w:val="20"/>
                <w:szCs w:val="20"/>
                <w:lang w:eastAsia="zh-CN"/>
              </w:rPr>
            </w:pPr>
            <w:r>
              <w:rPr>
                <w:b/>
                <w:bCs/>
                <w:spacing w:val="7"/>
                <w:sz w:val="20"/>
                <w:szCs w:val="20"/>
                <w:lang w:eastAsia="zh-CN"/>
              </w:rPr>
              <w:t>本机构/本人确认以上银行打印栏内容正确无误。</w:t>
            </w:r>
          </w:p>
          <w:p>
            <w:pPr>
              <w:spacing w:line="360" w:lineRule="auto"/>
              <w:rPr>
                <w:lang w:eastAsia="zh-CN"/>
              </w:rPr>
            </w:pPr>
          </w:p>
          <w:p>
            <w:pPr>
              <w:pStyle w:val="12"/>
              <w:spacing w:before="62" w:line="360" w:lineRule="auto"/>
              <w:ind w:left="511"/>
              <w:rPr>
                <w:lang w:eastAsia="zh-CN"/>
              </w:rPr>
            </w:pPr>
            <w:r>
              <w:rPr>
                <w:spacing w:val="9"/>
                <w:lang w:eastAsia="zh-CN"/>
              </w:rPr>
              <w:t>法定代表人或授权代理人（机构</w:t>
            </w:r>
            <w:r>
              <w:rPr>
                <w:spacing w:val="1"/>
                <w:lang w:eastAsia="zh-CN"/>
              </w:rPr>
              <w:t>）：</w:t>
            </w:r>
          </w:p>
          <w:p>
            <w:pPr>
              <w:pStyle w:val="12"/>
              <w:spacing w:before="77" w:line="360" w:lineRule="auto"/>
              <w:ind w:left="513"/>
              <w:rPr>
                <w:lang w:eastAsia="zh-CN"/>
              </w:rPr>
            </w:pPr>
            <w:r>
              <w:rPr>
                <w:spacing w:val="8"/>
                <w:lang w:eastAsia="zh-CN"/>
              </w:rPr>
              <w:t>投资者签名（个人</w:t>
            </w:r>
            <w:r>
              <w:rPr>
                <w:spacing w:val="1"/>
                <w:lang w:eastAsia="zh-CN"/>
              </w:rPr>
              <w:t>）：</w:t>
            </w:r>
          </w:p>
          <w:p>
            <w:pPr>
              <w:pStyle w:val="12"/>
              <w:spacing w:before="76" w:line="360" w:lineRule="auto"/>
              <w:ind w:left="545"/>
              <w:rPr>
                <w:lang w:eastAsia="zh-CN"/>
              </w:rPr>
            </w:pPr>
            <w:r>
              <w:rPr>
                <w:spacing w:val="-5"/>
                <w:lang w:eastAsia="zh-CN"/>
              </w:rPr>
              <w:t>日期：</w:t>
            </w:r>
            <w:r>
              <w:rPr>
                <w:spacing w:val="9"/>
                <w:lang w:eastAsia="zh-CN"/>
              </w:rPr>
              <w:t xml:space="preserve">     </w:t>
            </w:r>
            <w:r>
              <w:rPr>
                <w:spacing w:val="-5"/>
                <w:lang w:eastAsia="zh-CN"/>
              </w:rPr>
              <w:t>年</w:t>
            </w:r>
            <w:r>
              <w:rPr>
                <w:spacing w:val="8"/>
                <w:lang w:eastAsia="zh-CN"/>
              </w:rPr>
              <w:t xml:space="preserve">    </w:t>
            </w:r>
            <w:r>
              <w:rPr>
                <w:spacing w:val="-5"/>
                <w:lang w:eastAsia="zh-CN"/>
              </w:rPr>
              <w:t>月</w:t>
            </w:r>
            <w:r>
              <w:rPr>
                <w:spacing w:val="14"/>
                <w:lang w:eastAsia="zh-CN"/>
              </w:rPr>
              <w:t xml:space="preserve">     </w:t>
            </w:r>
            <w:r>
              <w:rPr>
                <w:spacing w:val="-5"/>
                <w:lang w:eastAsia="zh-CN"/>
              </w:rPr>
              <w:t>日</w:t>
            </w:r>
          </w:p>
        </w:tc>
        <w:tc>
          <w:tcPr>
            <w:tcW w:w="3249" w:type="dxa"/>
          </w:tcPr>
          <w:p>
            <w:pPr>
              <w:pStyle w:val="12"/>
              <w:spacing w:before="140" w:line="360" w:lineRule="auto"/>
              <w:ind w:left="114"/>
              <w:rPr>
                <w:lang w:eastAsia="zh-CN"/>
              </w:rPr>
            </w:pPr>
            <w:r>
              <w:rPr>
                <w:spacing w:val="6"/>
                <w:lang w:eastAsia="zh-CN"/>
              </w:rPr>
              <w:t>银行签章：</w:t>
            </w: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2" w:line="360" w:lineRule="auto"/>
              <w:ind w:left="147"/>
              <w:rPr>
                <w:lang w:eastAsia="zh-CN"/>
              </w:rPr>
            </w:pPr>
            <w:r>
              <w:rPr>
                <w:spacing w:val="-5"/>
                <w:lang w:eastAsia="zh-CN"/>
              </w:rPr>
              <w:t>日期：</w:t>
            </w:r>
            <w:r>
              <w:rPr>
                <w:spacing w:val="9"/>
                <w:lang w:eastAsia="zh-CN"/>
              </w:rPr>
              <w:t xml:space="preserve">     </w:t>
            </w:r>
            <w:r>
              <w:rPr>
                <w:spacing w:val="-5"/>
                <w:lang w:eastAsia="zh-CN"/>
              </w:rPr>
              <w:t>年</w:t>
            </w:r>
            <w:r>
              <w:rPr>
                <w:spacing w:val="9"/>
                <w:lang w:eastAsia="zh-CN"/>
              </w:rPr>
              <w:t xml:space="preserve">    </w:t>
            </w:r>
            <w:r>
              <w:rPr>
                <w:spacing w:val="-5"/>
                <w:lang w:eastAsia="zh-CN"/>
              </w:rPr>
              <w:t>月</w:t>
            </w:r>
            <w:r>
              <w:rPr>
                <w:spacing w:val="13"/>
                <w:lang w:eastAsia="zh-CN"/>
              </w:rPr>
              <w:t xml:space="preserve">     </w:t>
            </w:r>
            <w:r>
              <w:rPr>
                <w:spacing w:val="-5"/>
                <w:lang w:eastAsia="zh-CN"/>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670" w:type="dxa"/>
          </w:tcPr>
          <w:p>
            <w:pPr>
              <w:pStyle w:val="12"/>
              <w:spacing w:before="61" w:line="360" w:lineRule="auto"/>
              <w:ind w:left="117"/>
            </w:pPr>
            <w:r>
              <w:t>大</w:t>
            </w:r>
            <w:r>
              <w:rPr>
                <w:spacing w:val="-37"/>
              </w:rPr>
              <w:t xml:space="preserve"> </w:t>
            </w:r>
            <w:r>
              <w:t>额</w:t>
            </w:r>
          </w:p>
          <w:p>
            <w:pPr>
              <w:pStyle w:val="12"/>
              <w:spacing w:before="76" w:line="360" w:lineRule="auto"/>
              <w:ind w:left="141"/>
            </w:pPr>
            <w:r>
              <w:rPr>
                <w:spacing w:val="-11"/>
              </w:rPr>
              <w:t>申</w:t>
            </w:r>
            <w:r>
              <w:rPr>
                <w:spacing w:val="-39"/>
              </w:rPr>
              <w:t xml:space="preserve"> </w:t>
            </w:r>
            <w:r>
              <w:rPr>
                <w:spacing w:val="-11"/>
              </w:rPr>
              <w:t>购</w:t>
            </w:r>
          </w:p>
          <w:p>
            <w:pPr>
              <w:pStyle w:val="12"/>
              <w:spacing w:before="76" w:line="360" w:lineRule="auto"/>
              <w:ind w:left="115" w:right="108" w:firstLine="6"/>
            </w:pPr>
            <w:r>
              <w:rPr>
                <w:spacing w:val="-4"/>
              </w:rPr>
              <w:t>审</w:t>
            </w:r>
            <w:r>
              <w:rPr>
                <w:spacing w:val="-34"/>
              </w:rPr>
              <w:t xml:space="preserve"> </w:t>
            </w:r>
            <w:r>
              <w:rPr>
                <w:spacing w:val="-4"/>
              </w:rPr>
              <w:t>核</w:t>
            </w:r>
            <w:r>
              <w:t xml:space="preserve"> </w:t>
            </w:r>
            <w:r>
              <w:rPr>
                <w:spacing w:val="1"/>
              </w:rPr>
              <w:t>栏</w:t>
            </w:r>
          </w:p>
        </w:tc>
        <w:tc>
          <w:tcPr>
            <w:tcW w:w="9440" w:type="dxa"/>
            <w:gridSpan w:val="2"/>
          </w:tcPr>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1" w:line="360" w:lineRule="auto"/>
              <w:ind w:left="3710"/>
              <w:rPr>
                <w:lang w:eastAsia="zh-CN"/>
              </w:rPr>
            </w:pPr>
            <w:r>
              <w:rPr>
                <w:lang w:eastAsia="zh-CN"/>
              </w:rPr>
              <w:t>签名（章</w:t>
            </w:r>
            <w:r>
              <w:rPr>
                <w:spacing w:val="8"/>
                <w:lang w:eastAsia="zh-CN"/>
              </w:rPr>
              <w:t>）：</w:t>
            </w:r>
            <w:r>
              <w:rPr>
                <w:spacing w:val="2"/>
                <w:lang w:eastAsia="zh-CN"/>
              </w:rPr>
              <w:t xml:space="preserve">                 </w:t>
            </w:r>
            <w:r>
              <w:rPr>
                <w:lang w:eastAsia="zh-CN"/>
              </w:rPr>
              <w:t>日期：</w:t>
            </w:r>
            <w:r>
              <w:rPr>
                <w:spacing w:val="9"/>
                <w:lang w:eastAsia="zh-CN"/>
              </w:rPr>
              <w:t xml:space="preserve">     </w:t>
            </w:r>
            <w:r>
              <w:rPr>
                <w:lang w:eastAsia="zh-CN"/>
              </w:rPr>
              <w:t>年</w:t>
            </w:r>
            <w:r>
              <w:rPr>
                <w:spacing w:val="8"/>
                <w:lang w:eastAsia="zh-CN"/>
              </w:rPr>
              <w:t xml:space="preserve">     </w:t>
            </w:r>
            <w:r>
              <w:rPr>
                <w:lang w:eastAsia="zh-CN"/>
              </w:rPr>
              <w:t>月</w:t>
            </w:r>
            <w:r>
              <w:rPr>
                <w:spacing w:val="13"/>
                <w:lang w:eastAsia="zh-CN"/>
              </w:rPr>
              <w:t xml:space="preserve">     </w:t>
            </w:r>
            <w:r>
              <w:rPr>
                <w:lang w:eastAsia="zh-CN"/>
              </w:rPr>
              <w:t>日</w:t>
            </w:r>
          </w:p>
        </w:tc>
      </w:tr>
    </w:tbl>
    <w:p>
      <w:pPr>
        <w:spacing w:line="360" w:lineRule="auto"/>
        <w:rPr>
          <w:lang w:eastAsia="zh-CN"/>
        </w:rPr>
      </w:pPr>
    </w:p>
    <w:p>
      <w:pPr>
        <w:spacing w:before="65" w:line="360" w:lineRule="auto"/>
        <w:ind w:left="1332"/>
        <w:rPr>
          <w:rFonts w:ascii="宋体" w:hAnsi="宋体" w:eastAsia="宋体" w:cs="宋体"/>
          <w:sz w:val="20"/>
          <w:szCs w:val="20"/>
          <w:lang w:eastAsia="zh-CN"/>
        </w:rPr>
      </w:pPr>
      <w:r>
        <w:rPr>
          <w:rFonts w:ascii="宋体" w:hAnsi="宋体" w:eastAsia="宋体" w:cs="宋体"/>
          <w:spacing w:val="5"/>
          <w:sz w:val="20"/>
          <w:szCs w:val="20"/>
          <w:lang w:eastAsia="zh-CN"/>
        </w:rPr>
        <w:t>操作人员：</w:t>
      </w:r>
      <w:r>
        <w:rPr>
          <w:rFonts w:ascii="宋体" w:hAnsi="宋体" w:eastAsia="宋体" w:cs="宋体"/>
          <w:spacing w:val="3"/>
          <w:sz w:val="20"/>
          <w:szCs w:val="20"/>
          <w:lang w:eastAsia="zh-CN"/>
        </w:rPr>
        <w:t xml:space="preserve">                                </w:t>
      </w:r>
      <w:r>
        <w:rPr>
          <w:rFonts w:ascii="宋体" w:hAnsi="宋体" w:eastAsia="宋体" w:cs="宋体"/>
          <w:spacing w:val="2"/>
          <w:sz w:val="20"/>
          <w:szCs w:val="20"/>
          <w:lang w:eastAsia="zh-CN"/>
        </w:rPr>
        <w:t xml:space="preserve">    </w:t>
      </w:r>
      <w:r>
        <w:rPr>
          <w:rFonts w:ascii="宋体" w:hAnsi="宋体" w:eastAsia="宋体" w:cs="宋体"/>
          <w:spacing w:val="5"/>
          <w:sz w:val="20"/>
          <w:szCs w:val="20"/>
          <w:lang w:eastAsia="zh-CN"/>
        </w:rPr>
        <w:t>销售人员：</w:t>
      </w:r>
    </w:p>
    <w:p>
      <w:pPr>
        <w:spacing w:line="360" w:lineRule="auto"/>
        <w:rPr>
          <w:rFonts w:ascii="宋体" w:hAnsi="宋体" w:eastAsia="宋体" w:cs="宋体"/>
          <w:sz w:val="20"/>
          <w:szCs w:val="20"/>
          <w:lang w:eastAsia="zh-CN"/>
        </w:rPr>
        <w:sectPr>
          <w:type w:val="continuous"/>
          <w:pgSz w:w="11906" w:h="16839"/>
          <w:pgMar w:top="862" w:right="895" w:bottom="567" w:left="895" w:header="0" w:footer="0" w:gutter="0"/>
          <w:cols w:space="0" w:num="1"/>
        </w:sectPr>
      </w:pPr>
    </w:p>
    <w:p>
      <w:pPr>
        <w:pStyle w:val="3"/>
        <w:spacing w:before="163" w:line="360" w:lineRule="auto"/>
        <w:jc w:val="center"/>
        <w:outlineLvl w:val="0"/>
        <w:rPr>
          <w:sz w:val="31"/>
          <w:szCs w:val="31"/>
          <w:lang w:eastAsia="zh-CN"/>
        </w:rPr>
      </w:pPr>
      <w:r>
        <w:rPr>
          <w:rFonts w:hint="eastAsia"/>
          <w:b/>
          <w:bCs/>
          <w:spacing w:val="7"/>
          <w:sz w:val="31"/>
          <w:szCs w:val="31"/>
          <w:lang w:eastAsia="zh-CN"/>
        </w:rPr>
        <w:t>浙江诸暨农村商业银行</w:t>
      </w:r>
      <w:r>
        <w:rPr>
          <w:b/>
          <w:bCs/>
          <w:spacing w:val="7"/>
          <w:sz w:val="31"/>
          <w:szCs w:val="31"/>
          <w:lang w:eastAsia="zh-CN"/>
        </w:rPr>
        <w:t>理财产品代理销售条款</w:t>
      </w:r>
    </w:p>
    <w:p>
      <w:pPr>
        <w:pStyle w:val="3"/>
        <w:spacing w:before="219" w:line="360" w:lineRule="auto"/>
        <w:ind w:firstLine="436" w:firstLineChars="200"/>
        <w:rPr>
          <w:lang w:eastAsia="zh-CN"/>
        </w:rPr>
      </w:pPr>
      <w:r>
        <w:rPr>
          <w:spacing w:val="9"/>
          <w:lang w:eastAsia="zh-CN"/>
        </w:rPr>
        <w:t>经甲方（投资者）与乙方（</w:t>
      </w:r>
      <w:r>
        <w:rPr>
          <w:rFonts w:hint="eastAsia"/>
          <w:spacing w:val="9"/>
          <w:lang w:eastAsia="zh-CN"/>
        </w:rPr>
        <w:t>浙江诸暨农村商业银行</w:t>
      </w:r>
      <w:r>
        <w:rPr>
          <w:spacing w:val="9"/>
          <w:lang w:eastAsia="zh-CN"/>
        </w:rPr>
        <w:t>股份有限公司）协商一致，</w:t>
      </w:r>
      <w:r>
        <w:rPr>
          <w:rFonts w:hint="eastAsia"/>
          <w:spacing w:val="9"/>
          <w:lang w:eastAsia="zh-CN"/>
        </w:rPr>
        <w:t>双方</w:t>
      </w:r>
      <w:r>
        <w:rPr>
          <w:spacing w:val="9"/>
          <w:lang w:eastAsia="zh-CN"/>
        </w:rPr>
        <w:t>签署</w:t>
      </w:r>
      <w:r>
        <w:rPr>
          <w:rFonts w:hint="eastAsia"/>
          <w:spacing w:val="9"/>
          <w:lang w:eastAsia="zh-CN"/>
        </w:rPr>
        <w:t>《浙江诸暨农村商业银行</w:t>
      </w:r>
      <w:r>
        <w:rPr>
          <w:spacing w:val="9"/>
          <w:lang w:eastAsia="zh-CN"/>
        </w:rPr>
        <w:t>理财产品代理销售协议书</w:t>
      </w:r>
      <w:r>
        <w:rPr>
          <w:rFonts w:hint="eastAsia"/>
          <w:spacing w:val="9"/>
          <w:lang w:eastAsia="zh-CN"/>
        </w:rPr>
        <w:t>》，认同并遵守以下</w:t>
      </w:r>
      <w:r>
        <w:rPr>
          <w:spacing w:val="9"/>
          <w:lang w:eastAsia="zh-CN"/>
        </w:rPr>
        <w:t>协议</w:t>
      </w:r>
      <w:r>
        <w:rPr>
          <w:rFonts w:hint="eastAsia"/>
          <w:spacing w:val="9"/>
          <w:lang w:eastAsia="zh-CN"/>
        </w:rPr>
        <w:t>条款</w:t>
      </w:r>
      <w:r>
        <w:rPr>
          <w:spacing w:val="9"/>
          <w:lang w:eastAsia="zh-CN"/>
        </w:rPr>
        <w:t>：</w:t>
      </w:r>
    </w:p>
    <w:p>
      <w:pPr>
        <w:pStyle w:val="3"/>
        <w:spacing w:before="160" w:line="360" w:lineRule="auto"/>
        <w:ind w:left="21" w:right="29" w:firstLine="420"/>
        <w:rPr>
          <w:b/>
          <w:bCs/>
          <w:spacing w:val="12"/>
          <w:lang w:eastAsia="zh-CN"/>
        </w:rPr>
      </w:pPr>
      <w:r>
        <w:rPr>
          <w:b/>
          <w:bCs/>
          <w:spacing w:val="12"/>
          <w:lang w:eastAsia="zh-CN"/>
        </w:rPr>
        <w:t>一、</w:t>
      </w:r>
      <w:r>
        <w:rPr>
          <w:rFonts w:hint="eastAsia"/>
          <w:b/>
          <w:bCs/>
          <w:spacing w:val="12"/>
          <w:lang w:eastAsia="zh-CN"/>
        </w:rPr>
        <w:t>乙方已提示甲方关注本理财产品代销业务规则和收费标准，代销产品的发行机构、产品属性、主要风险和风险评级情况，以及商业银行与合作机构各自的责任和义务等信息。</w:t>
      </w:r>
    </w:p>
    <w:p>
      <w:pPr>
        <w:pStyle w:val="3"/>
        <w:spacing w:before="165" w:line="360" w:lineRule="auto"/>
        <w:ind w:left="20" w:firstLine="441"/>
        <w:rPr>
          <w:spacing w:val="7"/>
          <w:lang w:eastAsia="zh-CN"/>
        </w:rPr>
      </w:pPr>
      <w:r>
        <w:rPr>
          <w:rFonts w:hint="eastAsia"/>
          <w:spacing w:val="7"/>
          <w:lang w:eastAsia="zh-CN"/>
        </w:rPr>
        <w:t>二、</w:t>
      </w:r>
      <w:r>
        <w:rPr>
          <w:spacing w:val="7"/>
          <w:lang w:eastAsia="zh-CN"/>
        </w:rPr>
        <w:t>本理财产品的具体交易规则</w:t>
      </w:r>
      <w:r>
        <w:rPr>
          <w:rFonts w:hint="eastAsia"/>
          <w:spacing w:val="7"/>
          <w:lang w:eastAsia="zh-CN"/>
        </w:rPr>
        <w:t>、收费标准</w:t>
      </w:r>
      <w:r>
        <w:rPr>
          <w:spacing w:val="7"/>
          <w:lang w:eastAsia="zh-CN"/>
        </w:rPr>
        <w:t>以</w:t>
      </w:r>
      <w:r>
        <w:rPr>
          <w:rFonts w:hint="eastAsia"/>
          <w:spacing w:val="7"/>
          <w:lang w:eastAsia="zh-CN"/>
        </w:rPr>
        <w:t>理财产品对应</w:t>
      </w:r>
      <w:r>
        <w:rPr>
          <w:spacing w:val="7"/>
          <w:lang w:eastAsia="zh-CN"/>
        </w:rPr>
        <w:t>《产品说明书》及相关公告为准。</w:t>
      </w:r>
    </w:p>
    <w:p>
      <w:pPr>
        <w:pStyle w:val="3"/>
        <w:spacing w:before="163" w:line="360" w:lineRule="auto"/>
        <w:ind w:left="25" w:right="25" w:firstLine="420"/>
        <w:rPr>
          <w:lang w:eastAsia="zh-CN"/>
        </w:rPr>
      </w:pPr>
      <w:r>
        <w:rPr>
          <w:rFonts w:hint="eastAsia"/>
          <w:b/>
          <w:bCs/>
          <w:spacing w:val="11"/>
          <w:lang w:eastAsia="zh-CN"/>
        </w:rPr>
        <w:t>三</w:t>
      </w:r>
      <w:r>
        <w:rPr>
          <w:b/>
          <w:bCs/>
          <w:spacing w:val="11"/>
          <w:lang w:eastAsia="zh-CN"/>
        </w:rPr>
        <w:t>、乙方非本</w:t>
      </w:r>
      <w:r>
        <w:rPr>
          <w:rFonts w:hint="eastAsia"/>
          <w:b/>
          <w:bCs/>
          <w:spacing w:val="11"/>
          <w:lang w:eastAsia="zh-CN"/>
        </w:rPr>
        <w:t>理财</w:t>
      </w:r>
      <w:r>
        <w:rPr>
          <w:b/>
          <w:bCs/>
          <w:spacing w:val="11"/>
          <w:lang w:eastAsia="zh-CN"/>
        </w:rPr>
        <w:t>产品的发行机构与管理机构，仅为本</w:t>
      </w:r>
      <w:r>
        <w:rPr>
          <w:rFonts w:hint="eastAsia"/>
          <w:b/>
          <w:bCs/>
          <w:spacing w:val="11"/>
          <w:lang w:eastAsia="zh-CN"/>
        </w:rPr>
        <w:t>理财</w:t>
      </w:r>
      <w:r>
        <w:rPr>
          <w:b/>
          <w:bCs/>
          <w:spacing w:val="11"/>
          <w:lang w:eastAsia="zh-CN"/>
        </w:rPr>
        <w:t>产品的代理销售机构，对</w:t>
      </w:r>
      <w:r>
        <w:rPr>
          <w:rFonts w:hint="eastAsia"/>
          <w:b/>
          <w:bCs/>
          <w:spacing w:val="11"/>
          <w:lang w:eastAsia="zh-CN"/>
        </w:rPr>
        <w:t>理财</w:t>
      </w:r>
      <w:r>
        <w:rPr>
          <w:b/>
          <w:bCs/>
          <w:spacing w:val="11"/>
          <w:lang w:eastAsia="zh-CN"/>
        </w:rPr>
        <w:t>产品的业绩不承担任何保证和其他经济责任，不承担</w:t>
      </w:r>
      <w:r>
        <w:rPr>
          <w:rFonts w:hint="eastAsia"/>
          <w:b/>
          <w:bCs/>
          <w:spacing w:val="11"/>
          <w:lang w:eastAsia="zh-CN"/>
        </w:rPr>
        <w:t>理财</w:t>
      </w:r>
      <w:r>
        <w:rPr>
          <w:b/>
          <w:bCs/>
          <w:spacing w:val="11"/>
          <w:lang w:eastAsia="zh-CN"/>
        </w:rPr>
        <w:t>产品</w:t>
      </w:r>
      <w:r>
        <w:rPr>
          <w:b/>
          <w:bCs/>
          <w:spacing w:val="10"/>
          <w:lang w:eastAsia="zh-CN"/>
        </w:rPr>
        <w:t>的投资</w:t>
      </w:r>
      <w:r>
        <w:rPr>
          <w:rFonts w:hint="eastAsia"/>
          <w:b/>
          <w:bCs/>
          <w:spacing w:val="10"/>
          <w:lang w:eastAsia="zh-CN"/>
        </w:rPr>
        <w:t>和兑付</w:t>
      </w:r>
      <w:r>
        <w:rPr>
          <w:b/>
          <w:bCs/>
          <w:spacing w:val="10"/>
          <w:lang w:eastAsia="zh-CN"/>
        </w:rPr>
        <w:t>责任。</w:t>
      </w:r>
    </w:p>
    <w:p>
      <w:pPr>
        <w:pStyle w:val="3"/>
        <w:spacing w:before="160" w:line="360" w:lineRule="auto"/>
        <w:ind w:left="21" w:right="29" w:firstLine="420"/>
        <w:rPr>
          <w:lang w:eastAsia="zh-CN"/>
        </w:rPr>
      </w:pPr>
      <w:r>
        <w:rPr>
          <w:rFonts w:hint="eastAsia"/>
          <w:b/>
          <w:bCs/>
          <w:spacing w:val="12"/>
          <w:lang w:eastAsia="zh-CN"/>
        </w:rPr>
        <w:t>四</w:t>
      </w:r>
      <w:r>
        <w:rPr>
          <w:b/>
          <w:bCs/>
          <w:spacing w:val="12"/>
          <w:lang w:eastAsia="zh-CN"/>
        </w:rPr>
        <w:t>、本</w:t>
      </w:r>
      <w:r>
        <w:rPr>
          <w:rFonts w:hint="eastAsia"/>
          <w:b/>
          <w:bCs/>
          <w:spacing w:val="12"/>
          <w:lang w:eastAsia="zh-CN"/>
        </w:rPr>
        <w:t>理财</w:t>
      </w:r>
      <w:r>
        <w:rPr>
          <w:b/>
          <w:bCs/>
          <w:spacing w:val="12"/>
          <w:lang w:eastAsia="zh-CN"/>
        </w:rPr>
        <w:t>产品可能面临信用风险、市场风险、流</w:t>
      </w:r>
      <w:r>
        <w:rPr>
          <w:b/>
          <w:bCs/>
          <w:spacing w:val="11"/>
          <w:lang w:eastAsia="zh-CN"/>
        </w:rPr>
        <w:t>动性风险等风险因素，具体详见《风险</w:t>
      </w:r>
      <w:r>
        <w:rPr>
          <w:b/>
          <w:bCs/>
          <w:spacing w:val="5"/>
          <w:lang w:eastAsia="zh-CN"/>
        </w:rPr>
        <w:t>揭示书》。该等风险管理责任由</w:t>
      </w:r>
      <w:r>
        <w:rPr>
          <w:rFonts w:hint="eastAsia"/>
          <w:b/>
          <w:bCs/>
          <w:spacing w:val="5"/>
          <w:lang w:eastAsia="zh-CN"/>
        </w:rPr>
        <w:t>理财</w:t>
      </w:r>
      <w:r>
        <w:rPr>
          <w:b/>
          <w:bCs/>
          <w:spacing w:val="5"/>
          <w:lang w:eastAsia="zh-CN"/>
        </w:rPr>
        <w:t>产品发行机构承担，乙方不承担风险管理责任。</w:t>
      </w:r>
    </w:p>
    <w:p>
      <w:pPr>
        <w:pStyle w:val="3"/>
        <w:spacing w:before="165" w:line="360" w:lineRule="auto"/>
        <w:ind w:left="20" w:firstLine="441"/>
        <w:rPr>
          <w:b/>
          <w:bCs/>
          <w:spacing w:val="5"/>
          <w:lang w:eastAsia="zh-CN"/>
        </w:rPr>
      </w:pPr>
      <w:r>
        <w:rPr>
          <w:rFonts w:hint="eastAsia"/>
          <w:spacing w:val="7"/>
          <w:lang w:eastAsia="zh-CN"/>
        </w:rPr>
        <w:t>五</w:t>
      </w:r>
      <w:r>
        <w:rPr>
          <w:spacing w:val="7"/>
          <w:lang w:eastAsia="zh-CN"/>
        </w:rPr>
        <w:t>、根据代理销售的理财产品的投资范围、投资资产比例、流动性</w:t>
      </w:r>
      <w:r>
        <w:rPr>
          <w:spacing w:val="6"/>
          <w:lang w:eastAsia="zh-CN"/>
        </w:rPr>
        <w:t>等，</w:t>
      </w:r>
      <w:r>
        <w:rPr>
          <w:rFonts w:hint="eastAsia"/>
          <w:spacing w:val="6"/>
          <w:lang w:eastAsia="zh-CN"/>
        </w:rPr>
        <w:t>乙方</w:t>
      </w:r>
      <w:r>
        <w:rPr>
          <w:spacing w:val="6"/>
          <w:lang w:eastAsia="zh-CN"/>
        </w:rPr>
        <w:t>代理销</w:t>
      </w:r>
      <w:r>
        <w:rPr>
          <w:spacing w:val="1"/>
          <w:lang w:eastAsia="zh-CN"/>
        </w:rPr>
        <w:t>售的理财产品风险等级为R1（低风险）、R2（中低风险）、R3（中风险）、R4（中高风险）、</w:t>
      </w:r>
      <w:r>
        <w:rPr>
          <w:spacing w:val="7"/>
          <w:lang w:eastAsia="zh-CN"/>
        </w:rPr>
        <w:t>R5（高风险）。</w:t>
      </w:r>
      <w:r>
        <w:rPr>
          <w:rFonts w:hint="eastAsia"/>
          <w:spacing w:val="7"/>
          <w:lang w:eastAsia="zh-CN"/>
        </w:rPr>
        <w:t>乙方</w:t>
      </w:r>
      <w:r>
        <w:rPr>
          <w:spacing w:val="7"/>
          <w:lang w:eastAsia="zh-CN"/>
        </w:rPr>
        <w:t>代理销售的理财产品风险等级与投资者在</w:t>
      </w:r>
      <w:r>
        <w:rPr>
          <w:rFonts w:hint="eastAsia"/>
          <w:spacing w:val="7"/>
          <w:lang w:eastAsia="zh-CN"/>
        </w:rPr>
        <w:t>乙方</w:t>
      </w:r>
      <w:r>
        <w:rPr>
          <w:spacing w:val="7"/>
          <w:lang w:eastAsia="zh-CN"/>
        </w:rPr>
        <w:t>的风险承受能力评估结果对应关系如下：R1（低风险）产品适合</w:t>
      </w:r>
      <w:r>
        <w:rPr>
          <w:rFonts w:hint="eastAsia"/>
          <w:spacing w:val="7"/>
          <w:lang w:eastAsia="zh-CN"/>
        </w:rPr>
        <w:t>乙方</w:t>
      </w:r>
      <w:r>
        <w:rPr>
          <w:spacing w:val="7"/>
          <w:lang w:eastAsia="zh-CN"/>
        </w:rPr>
        <w:t>风险承受能力评估评定为</w:t>
      </w:r>
      <w:r>
        <w:rPr>
          <w:rFonts w:hint="eastAsia"/>
          <w:spacing w:val="7"/>
          <w:lang w:eastAsia="zh-CN"/>
        </w:rPr>
        <w:t>C1（</w:t>
      </w:r>
      <w:r>
        <w:rPr>
          <w:spacing w:val="7"/>
          <w:lang w:eastAsia="zh-CN"/>
        </w:rPr>
        <w:t>保守型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，R2（中低风险）产品适合</w:t>
      </w:r>
      <w:r>
        <w:rPr>
          <w:rFonts w:hint="eastAsia"/>
          <w:spacing w:val="7"/>
          <w:lang w:eastAsia="zh-CN"/>
        </w:rPr>
        <w:t>乙方</w:t>
      </w:r>
      <w:r>
        <w:rPr>
          <w:spacing w:val="7"/>
          <w:lang w:eastAsia="zh-CN"/>
        </w:rPr>
        <w:t>风险承受能力评估评定为</w:t>
      </w:r>
      <w:r>
        <w:rPr>
          <w:rFonts w:hint="eastAsia"/>
          <w:spacing w:val="7"/>
          <w:lang w:eastAsia="zh-CN"/>
        </w:rPr>
        <w:t>C2（</w:t>
      </w:r>
      <w:r>
        <w:rPr>
          <w:spacing w:val="7"/>
          <w:lang w:eastAsia="zh-CN"/>
        </w:rPr>
        <w:t>稳健型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，R3（中风险）产品适合</w:t>
      </w:r>
      <w:r>
        <w:rPr>
          <w:rFonts w:hint="eastAsia"/>
          <w:spacing w:val="7"/>
          <w:lang w:eastAsia="zh-CN"/>
        </w:rPr>
        <w:t>乙方</w:t>
      </w:r>
      <w:r>
        <w:rPr>
          <w:spacing w:val="7"/>
          <w:lang w:eastAsia="zh-CN"/>
        </w:rPr>
        <w:t>风险承受能力评估评定为</w:t>
      </w:r>
      <w:r>
        <w:rPr>
          <w:rFonts w:hint="eastAsia"/>
          <w:spacing w:val="7"/>
          <w:lang w:eastAsia="zh-CN"/>
        </w:rPr>
        <w:t>C3（</w:t>
      </w:r>
      <w:r>
        <w:rPr>
          <w:spacing w:val="7"/>
          <w:lang w:eastAsia="zh-CN"/>
        </w:rPr>
        <w:t>平衡型</w:t>
      </w:r>
      <w:r>
        <w:rPr>
          <w:rFonts w:hint="eastAsia"/>
          <w:spacing w:val="7"/>
          <w:lang w:eastAsia="zh-CN"/>
        </w:rPr>
        <w:t>）</w:t>
      </w:r>
      <w:r>
        <w:rPr>
          <w:spacing w:val="7"/>
          <w:lang w:eastAsia="zh-CN"/>
        </w:rPr>
        <w:t>及以上的</w:t>
      </w:r>
      <w:r>
        <w:rPr>
          <w:rFonts w:hint="eastAsia"/>
          <w:spacing w:val="7"/>
          <w:lang w:eastAsia="zh-CN"/>
        </w:rPr>
        <w:t>投资者</w:t>
      </w:r>
      <w:r>
        <w:rPr>
          <w:spacing w:val="4"/>
          <w:lang w:eastAsia="zh-CN"/>
        </w:rPr>
        <w:t>，R4（中高风险）产品适合</w:t>
      </w:r>
      <w:r>
        <w:rPr>
          <w:rFonts w:hint="eastAsia"/>
          <w:spacing w:val="4"/>
          <w:lang w:eastAsia="zh-CN"/>
        </w:rPr>
        <w:t>乙方</w:t>
      </w:r>
      <w:r>
        <w:rPr>
          <w:spacing w:val="4"/>
          <w:lang w:eastAsia="zh-CN"/>
        </w:rPr>
        <w:t>风险承受能力评</w:t>
      </w:r>
      <w:r>
        <w:rPr>
          <w:spacing w:val="3"/>
          <w:lang w:eastAsia="zh-CN"/>
        </w:rPr>
        <w:t>估评定为</w:t>
      </w:r>
      <w:r>
        <w:rPr>
          <w:rFonts w:hint="eastAsia"/>
          <w:spacing w:val="3"/>
          <w:lang w:eastAsia="zh-CN"/>
        </w:rPr>
        <w:t>C4（</w:t>
      </w:r>
      <w:r>
        <w:rPr>
          <w:spacing w:val="3"/>
          <w:lang w:eastAsia="zh-CN"/>
        </w:rPr>
        <w:t>成长型</w:t>
      </w:r>
      <w:r>
        <w:rPr>
          <w:rFonts w:hint="eastAsia"/>
          <w:spacing w:val="3"/>
          <w:lang w:eastAsia="zh-CN"/>
        </w:rPr>
        <w:t>）</w:t>
      </w:r>
      <w:r>
        <w:rPr>
          <w:spacing w:val="3"/>
          <w:lang w:eastAsia="zh-CN"/>
        </w:rPr>
        <w:t>及以上的</w:t>
      </w:r>
      <w:r>
        <w:rPr>
          <w:rFonts w:hint="eastAsia"/>
          <w:spacing w:val="3"/>
          <w:lang w:eastAsia="zh-CN"/>
        </w:rPr>
        <w:t>投资者</w:t>
      </w:r>
      <w:r>
        <w:rPr>
          <w:spacing w:val="3"/>
          <w:lang w:eastAsia="zh-CN"/>
        </w:rPr>
        <w:t>，</w:t>
      </w:r>
      <w:r>
        <w:rPr>
          <w:spacing w:val="7"/>
          <w:lang w:eastAsia="zh-CN"/>
        </w:rPr>
        <w:t>R5（高风险）产品适合</w:t>
      </w:r>
      <w:r>
        <w:rPr>
          <w:rFonts w:hint="eastAsia"/>
          <w:spacing w:val="7"/>
          <w:lang w:eastAsia="zh-CN"/>
        </w:rPr>
        <w:t>乙方</w:t>
      </w:r>
      <w:r>
        <w:rPr>
          <w:spacing w:val="7"/>
          <w:lang w:eastAsia="zh-CN"/>
        </w:rPr>
        <w:t>风险承受能力评估评定为</w:t>
      </w:r>
      <w:r>
        <w:rPr>
          <w:rFonts w:hint="eastAsia"/>
          <w:spacing w:val="7"/>
          <w:lang w:eastAsia="zh-CN"/>
        </w:rPr>
        <w:t>C5（</w:t>
      </w:r>
      <w:r>
        <w:rPr>
          <w:spacing w:val="7"/>
          <w:lang w:eastAsia="zh-CN"/>
        </w:rPr>
        <w:t>进取型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w:t>
      </w:r>
      <w:r>
        <w:rPr>
          <w:rFonts w:hint="eastAsia"/>
          <w:b/>
          <w:bCs/>
          <w:spacing w:val="7"/>
          <w:lang w:eastAsia="zh-CN"/>
        </w:rPr>
        <w:t>甲方</w:t>
      </w:r>
      <w:r>
        <w:rPr>
          <w:b/>
          <w:bCs/>
          <w:spacing w:val="7"/>
          <w:lang w:eastAsia="zh-CN"/>
        </w:rPr>
        <w:t>购买</w:t>
      </w:r>
      <w:r>
        <w:rPr>
          <w:rFonts w:hint="eastAsia"/>
          <w:b/>
          <w:bCs/>
          <w:spacing w:val="7"/>
          <w:lang w:eastAsia="zh-CN"/>
        </w:rPr>
        <w:t>乙方</w:t>
      </w:r>
      <w:r>
        <w:rPr>
          <w:b/>
          <w:bCs/>
          <w:spacing w:val="7"/>
          <w:lang w:eastAsia="zh-CN"/>
        </w:rPr>
        <w:t>代理销售</w:t>
      </w:r>
      <w:r>
        <w:rPr>
          <w:rFonts w:hint="eastAsia"/>
          <w:b/>
          <w:bCs/>
          <w:spacing w:val="7"/>
          <w:lang w:eastAsia="zh-CN"/>
        </w:rPr>
        <w:t>的</w:t>
      </w:r>
      <w:r>
        <w:rPr>
          <w:b/>
          <w:bCs/>
          <w:spacing w:val="10"/>
          <w:lang w:eastAsia="zh-CN"/>
        </w:rPr>
        <w:t>风险等级R4（中高风险）以上的</w:t>
      </w:r>
      <w:r>
        <w:rPr>
          <w:rFonts w:hint="eastAsia"/>
          <w:b/>
          <w:bCs/>
          <w:spacing w:val="10"/>
          <w:lang w:eastAsia="zh-CN"/>
        </w:rPr>
        <w:t>理财</w:t>
      </w:r>
      <w:r>
        <w:rPr>
          <w:b/>
          <w:bCs/>
          <w:spacing w:val="10"/>
          <w:lang w:eastAsia="zh-CN"/>
        </w:rPr>
        <w:t>产品，除与</w:t>
      </w:r>
      <w:r>
        <w:rPr>
          <w:rFonts w:hint="eastAsia"/>
          <w:b/>
          <w:bCs/>
          <w:spacing w:val="10"/>
          <w:lang w:eastAsia="zh-CN"/>
        </w:rPr>
        <w:t>乙方当面</w:t>
      </w:r>
      <w:r>
        <w:rPr>
          <w:b/>
          <w:bCs/>
          <w:spacing w:val="10"/>
          <w:lang w:eastAsia="zh-CN"/>
        </w:rPr>
        <w:t>书面约定</w:t>
      </w:r>
      <w:r>
        <w:rPr>
          <w:rFonts w:hint="eastAsia"/>
          <w:b/>
          <w:bCs/>
          <w:spacing w:val="10"/>
          <w:lang w:eastAsia="zh-CN"/>
        </w:rPr>
        <w:t>外</w:t>
      </w:r>
      <w:r>
        <w:rPr>
          <w:b/>
          <w:bCs/>
          <w:spacing w:val="10"/>
          <w:lang w:eastAsia="zh-CN"/>
        </w:rPr>
        <w:t>，应当在</w:t>
      </w:r>
      <w:r>
        <w:rPr>
          <w:rFonts w:hint="eastAsia"/>
          <w:b/>
          <w:bCs/>
          <w:spacing w:val="9"/>
          <w:lang w:eastAsia="zh-CN"/>
        </w:rPr>
        <w:t>乙方</w:t>
      </w:r>
      <w:r>
        <w:rPr>
          <w:b/>
          <w:bCs/>
          <w:spacing w:val="5"/>
          <w:lang w:eastAsia="zh-CN"/>
        </w:rPr>
        <w:t>营业网点进行。</w:t>
      </w:r>
    </w:p>
    <w:p>
      <w:pPr>
        <w:pStyle w:val="3"/>
        <w:spacing w:before="165" w:line="360" w:lineRule="auto"/>
        <w:ind w:left="20" w:firstLine="441"/>
        <w:rPr>
          <w:spacing w:val="5"/>
          <w:highlight w:val="cyan"/>
          <w:lang w:eastAsia="zh-CN"/>
        </w:rPr>
      </w:pPr>
      <w:r>
        <w:rPr>
          <w:rFonts w:hint="eastAsia"/>
          <w:spacing w:val="5"/>
          <w:lang w:eastAsia="zh-CN"/>
        </w:rPr>
        <w:t>六、甲方购买乙方所代理销售的私募理财产品的，甲方承诺其为合格投资者。甲方购买乙方代理销售的私募理财产品后，享有24小时的投资冷静期。在投资冷静期内，如甲方改变投资决定，应立即通过乙方向产品发行机构提出解除相应理财产品销售文件申请。投资冷静期自理财产品销售文件签订后起算。</w:t>
      </w:r>
    </w:p>
    <w:p>
      <w:pPr>
        <w:pStyle w:val="3"/>
        <w:spacing w:before="160" w:line="360" w:lineRule="auto"/>
        <w:ind w:left="445"/>
        <w:rPr>
          <w:lang w:eastAsia="zh-CN"/>
        </w:rPr>
      </w:pPr>
      <w:r>
        <w:rPr>
          <w:rFonts w:hint="eastAsia"/>
          <w:spacing w:val="8"/>
          <w:lang w:eastAsia="zh-CN"/>
        </w:rPr>
        <w:t>七</w:t>
      </w:r>
      <w:r>
        <w:rPr>
          <w:spacing w:val="8"/>
          <w:lang w:eastAsia="zh-CN"/>
        </w:rPr>
        <w:t>、权利和义务</w:t>
      </w:r>
    </w:p>
    <w:p>
      <w:pPr>
        <w:pStyle w:val="3"/>
        <w:spacing w:before="160" w:line="360" w:lineRule="auto"/>
        <w:ind w:left="21" w:right="53" w:firstLine="436"/>
        <w:rPr>
          <w:lang w:eastAsia="zh-CN"/>
        </w:rPr>
      </w:pPr>
      <w:r>
        <w:rPr>
          <w:spacing w:val="7"/>
          <w:lang w:eastAsia="zh-CN"/>
        </w:rPr>
        <w:t>1.甲方购买乙方代销的理财产品前，需通过乙方的柜面、网</w:t>
      </w:r>
      <w:r>
        <w:rPr>
          <w:spacing w:val="6"/>
          <w:lang w:eastAsia="zh-CN"/>
        </w:rPr>
        <w:t>上银行、手机银行等销售渠</w:t>
      </w:r>
      <w:r>
        <w:rPr>
          <w:spacing w:val="7"/>
          <w:lang w:eastAsia="zh-CN"/>
        </w:rPr>
        <w:t>道进行有效风险承受能力的评估。</w:t>
      </w:r>
      <w:r>
        <w:rPr>
          <w:rFonts w:hint="eastAsia"/>
          <w:spacing w:val="7"/>
          <w:lang w:eastAsia="zh-CN"/>
        </w:rPr>
        <w:t>甲方</w:t>
      </w:r>
      <w:r>
        <w:rPr>
          <w:spacing w:val="7"/>
          <w:lang w:eastAsia="zh-CN"/>
        </w:rPr>
        <w:t>风险承受能力评估结果的有效期为一年，若甲方</w:t>
      </w:r>
      <w:r>
        <w:rPr>
          <w:spacing w:val="13"/>
          <w:lang w:eastAsia="zh-CN"/>
        </w:rPr>
        <w:t>的风险承受能力评估结果已超过有效期或在评级结果有效期内</w:t>
      </w:r>
      <w:r>
        <w:rPr>
          <w:spacing w:val="12"/>
          <w:lang w:eastAsia="zh-CN"/>
        </w:rPr>
        <w:t>发生了可能影响甲方自身风</w:t>
      </w:r>
      <w:r>
        <w:rPr>
          <w:spacing w:val="9"/>
          <w:lang w:eastAsia="zh-CN"/>
        </w:rPr>
        <w:t>险承受能力的情形，甲方</w:t>
      </w:r>
      <w:r>
        <w:rPr>
          <w:rFonts w:hint="eastAsia"/>
          <w:spacing w:val="9"/>
          <w:lang w:eastAsia="zh-CN"/>
        </w:rPr>
        <w:t>应</w:t>
      </w:r>
      <w:r>
        <w:rPr>
          <w:spacing w:val="9"/>
          <w:lang w:eastAsia="zh-CN"/>
        </w:rPr>
        <w:t>重新进行风险承受能力评估。</w:t>
      </w:r>
      <w:r>
        <w:rPr>
          <w:spacing w:val="12"/>
          <w:lang w:eastAsia="zh-CN"/>
        </w:rPr>
        <w:t>甲方</w:t>
      </w:r>
      <w:r>
        <w:rPr>
          <w:rFonts w:hint="eastAsia"/>
          <w:spacing w:val="12"/>
          <w:lang w:eastAsia="zh-CN"/>
        </w:rPr>
        <w:t>通过乙方渠道</w:t>
      </w:r>
      <w:r>
        <w:rPr>
          <w:spacing w:val="12"/>
          <w:lang w:eastAsia="zh-CN"/>
        </w:rPr>
        <w:t>进行风险承受能力评估</w:t>
      </w:r>
      <w:r>
        <w:rPr>
          <w:rFonts w:hint="eastAsia"/>
          <w:spacing w:val="12"/>
          <w:lang w:eastAsia="zh-CN"/>
        </w:rPr>
        <w:t>次数上限为：</w:t>
      </w:r>
      <w:r>
        <w:rPr>
          <w:spacing w:val="12"/>
          <w:lang w:eastAsia="zh-CN"/>
        </w:rPr>
        <w:t>单日不得超过两次，十二个月内累计不</w:t>
      </w:r>
      <w:r>
        <w:rPr>
          <w:rFonts w:hint="eastAsia"/>
          <w:spacing w:val="12"/>
          <w:lang w:eastAsia="zh-CN"/>
        </w:rPr>
        <w:t>得</w:t>
      </w:r>
      <w:r>
        <w:rPr>
          <w:spacing w:val="12"/>
          <w:lang w:eastAsia="zh-CN"/>
        </w:rPr>
        <w:t>超过八次</w:t>
      </w:r>
      <w:r>
        <w:rPr>
          <w:rFonts w:hint="eastAsia"/>
          <w:spacing w:val="12"/>
          <w:lang w:eastAsia="zh-CN"/>
        </w:rPr>
        <w:t>。</w:t>
      </w:r>
    </w:p>
    <w:p>
      <w:pPr>
        <w:pStyle w:val="3"/>
        <w:spacing w:before="161" w:line="360" w:lineRule="auto"/>
        <w:ind w:left="26" w:right="24" w:firstLine="418"/>
        <w:rPr>
          <w:lang w:eastAsia="zh-CN"/>
        </w:rPr>
      </w:pPr>
      <w:r>
        <w:rPr>
          <w:b/>
          <w:bCs/>
          <w:spacing w:val="11"/>
          <w:lang w:eastAsia="zh-CN"/>
        </w:rPr>
        <w:t>2.甲方通过</w:t>
      </w:r>
      <w:r>
        <w:rPr>
          <w:rFonts w:hint="eastAsia"/>
          <w:b/>
          <w:bCs/>
          <w:spacing w:val="11"/>
          <w:lang w:eastAsia="zh-CN"/>
        </w:rPr>
        <w:t>乙方</w:t>
      </w:r>
      <w:r>
        <w:rPr>
          <w:b/>
          <w:bCs/>
          <w:spacing w:val="11"/>
          <w:lang w:eastAsia="zh-CN"/>
        </w:rPr>
        <w:t>代理销售渠道</w:t>
      </w:r>
      <w:r>
        <w:rPr>
          <w:rFonts w:hint="eastAsia"/>
          <w:b/>
          <w:bCs/>
          <w:spacing w:val="11"/>
          <w:lang w:eastAsia="zh-CN"/>
        </w:rPr>
        <w:t>购买</w:t>
      </w:r>
      <w:r>
        <w:rPr>
          <w:b/>
          <w:bCs/>
          <w:spacing w:val="11"/>
          <w:lang w:eastAsia="zh-CN"/>
        </w:rPr>
        <w:t>的理财产品风险等级评级应当以</w:t>
      </w:r>
      <w:r>
        <w:rPr>
          <w:rFonts w:hint="eastAsia"/>
          <w:b/>
          <w:bCs/>
          <w:spacing w:val="11"/>
          <w:lang w:eastAsia="zh-CN"/>
        </w:rPr>
        <w:t>乙方</w:t>
      </w:r>
      <w:r>
        <w:rPr>
          <w:b/>
          <w:bCs/>
          <w:spacing w:val="7"/>
          <w:lang w:eastAsia="zh-CN"/>
        </w:rPr>
        <w:t>最终披露的评级结果为准。</w:t>
      </w:r>
    </w:p>
    <w:p>
      <w:pPr>
        <w:pStyle w:val="3"/>
        <w:spacing w:before="161" w:line="360" w:lineRule="auto"/>
        <w:ind w:left="24" w:right="25" w:firstLine="421"/>
        <w:rPr>
          <w:lang w:eastAsia="zh-CN"/>
        </w:rPr>
      </w:pPr>
      <w:r>
        <w:rPr>
          <w:b/>
          <w:bCs/>
          <w:spacing w:val="11"/>
          <w:lang w:eastAsia="zh-CN"/>
        </w:rPr>
        <w:t>3.甲方自愿购买本理财产品，保证理财本金是其自有或其有权处分的合法资金，不得使用贷款、发行债券等</w:t>
      </w:r>
      <w:r>
        <w:rPr>
          <w:rFonts w:hint="eastAsia"/>
          <w:b/>
          <w:bCs/>
          <w:spacing w:val="11"/>
          <w:lang w:eastAsia="zh-CN"/>
        </w:rPr>
        <w:t>方式</w:t>
      </w:r>
      <w:r>
        <w:rPr>
          <w:b/>
          <w:bCs/>
          <w:spacing w:val="11"/>
          <w:lang w:eastAsia="zh-CN"/>
        </w:rPr>
        <w:t>筹集的非自有资金</w:t>
      </w:r>
      <w:r>
        <w:rPr>
          <w:rFonts w:hint="eastAsia"/>
          <w:b/>
          <w:bCs/>
          <w:spacing w:val="11"/>
          <w:lang w:eastAsia="zh-CN"/>
        </w:rPr>
        <w:t>购买</w:t>
      </w:r>
      <w:r>
        <w:rPr>
          <w:b/>
          <w:bCs/>
          <w:spacing w:val="11"/>
          <w:lang w:eastAsia="zh-CN"/>
        </w:rPr>
        <w:t>，同时</w:t>
      </w:r>
      <w:r>
        <w:rPr>
          <w:rFonts w:hint="eastAsia"/>
          <w:b/>
          <w:bCs/>
          <w:spacing w:val="11"/>
          <w:lang w:eastAsia="zh-CN"/>
        </w:rPr>
        <w:t>甲方保证</w:t>
      </w:r>
      <w:r>
        <w:rPr>
          <w:b/>
          <w:bCs/>
          <w:spacing w:val="11"/>
          <w:lang w:eastAsia="zh-CN"/>
        </w:rPr>
        <w:t>将该资金用作</w:t>
      </w:r>
      <w:r>
        <w:rPr>
          <w:rFonts w:hint="eastAsia"/>
          <w:b/>
          <w:bCs/>
          <w:spacing w:val="11"/>
          <w:lang w:eastAsia="zh-CN"/>
        </w:rPr>
        <w:t>本</w:t>
      </w:r>
      <w:r>
        <w:rPr>
          <w:b/>
          <w:bCs/>
          <w:spacing w:val="11"/>
          <w:lang w:eastAsia="zh-CN"/>
        </w:rPr>
        <w:t>协议</w:t>
      </w:r>
      <w:r>
        <w:rPr>
          <w:rFonts w:hint="eastAsia"/>
          <w:b/>
          <w:bCs/>
          <w:spacing w:val="11"/>
          <w:lang w:eastAsia="zh-CN"/>
        </w:rPr>
        <w:t>项</w:t>
      </w:r>
      <w:r>
        <w:rPr>
          <w:b/>
          <w:bCs/>
          <w:spacing w:val="11"/>
          <w:lang w:eastAsia="zh-CN"/>
        </w:rPr>
        <w:t>下交易以及订立</w:t>
      </w:r>
      <w:r>
        <w:rPr>
          <w:rFonts w:hint="eastAsia"/>
          <w:b/>
          <w:bCs/>
          <w:spacing w:val="11"/>
          <w:lang w:eastAsia="zh-CN"/>
        </w:rPr>
        <w:t>、</w:t>
      </w:r>
      <w:r>
        <w:rPr>
          <w:b/>
          <w:bCs/>
          <w:spacing w:val="11"/>
          <w:lang w:eastAsia="zh-CN"/>
        </w:rPr>
        <w:t>履行本协议</w:t>
      </w:r>
      <w:r>
        <w:rPr>
          <w:rFonts w:hint="eastAsia"/>
          <w:b/>
          <w:bCs/>
          <w:spacing w:val="11"/>
          <w:lang w:eastAsia="zh-CN"/>
        </w:rPr>
        <w:t>，已经过内部程序审批，</w:t>
      </w:r>
      <w:r>
        <w:rPr>
          <w:b/>
          <w:bCs/>
          <w:spacing w:val="11"/>
          <w:lang w:eastAsia="zh-CN"/>
        </w:rPr>
        <w:t>不违反任何法律、法规</w:t>
      </w:r>
      <w:r>
        <w:rPr>
          <w:rFonts w:hint="eastAsia"/>
          <w:b/>
          <w:bCs/>
          <w:spacing w:val="11"/>
          <w:lang w:eastAsia="zh-CN"/>
        </w:rPr>
        <w:t>和</w:t>
      </w:r>
      <w:r>
        <w:rPr>
          <w:b/>
          <w:bCs/>
          <w:spacing w:val="11"/>
          <w:lang w:eastAsia="zh-CN"/>
        </w:rPr>
        <w:t>任何</w:t>
      </w:r>
      <w:r>
        <w:rPr>
          <w:b/>
          <w:bCs/>
          <w:spacing w:val="7"/>
          <w:lang w:eastAsia="zh-CN"/>
        </w:rPr>
        <w:t>约束或影响甲方</w:t>
      </w:r>
      <w:r>
        <w:rPr>
          <w:rFonts w:hint="eastAsia"/>
          <w:b/>
          <w:bCs/>
          <w:spacing w:val="7"/>
          <w:lang w:eastAsia="zh-CN"/>
        </w:rPr>
        <w:t>及</w:t>
      </w:r>
      <w:r>
        <w:rPr>
          <w:b/>
          <w:bCs/>
          <w:spacing w:val="7"/>
          <w:lang w:eastAsia="zh-CN"/>
        </w:rPr>
        <w:t>其资产的合同、协议或承诺。</w:t>
      </w:r>
    </w:p>
    <w:p>
      <w:pPr>
        <w:pStyle w:val="3"/>
        <w:spacing w:before="160" w:line="360" w:lineRule="auto"/>
        <w:ind w:left="23" w:right="24" w:firstLine="418"/>
        <w:rPr>
          <w:lang w:eastAsia="zh-CN"/>
        </w:rPr>
      </w:pPr>
      <w:r>
        <w:rPr>
          <w:b/>
          <w:bCs/>
          <w:spacing w:val="7"/>
          <w:lang w:eastAsia="zh-CN"/>
        </w:rPr>
        <w:t>4．甲方承诺所提供的所有资料真实、完整、合法、有效，如有变更，甲方应及时到乙</w:t>
      </w:r>
      <w:r>
        <w:rPr>
          <w:b/>
          <w:bCs/>
          <w:spacing w:val="10"/>
          <w:lang w:eastAsia="zh-CN"/>
        </w:rPr>
        <w:t>方处办理变更手续。若甲方未及时办理相关变更手续，由此导致的相关责任与后果由甲方</w:t>
      </w:r>
      <w:r>
        <w:rPr>
          <w:b/>
          <w:bCs/>
          <w:spacing w:val="4"/>
          <w:lang w:eastAsia="zh-CN"/>
        </w:rPr>
        <w:t>自行承担。</w:t>
      </w:r>
    </w:p>
    <w:p>
      <w:pPr>
        <w:pStyle w:val="3"/>
        <w:spacing w:before="41" w:line="360" w:lineRule="auto"/>
        <w:ind w:right="141" w:firstLine="446" w:firstLineChars="200"/>
        <w:rPr>
          <w:lang w:eastAsia="zh-CN"/>
        </w:rPr>
      </w:pPr>
      <w:r>
        <w:rPr>
          <w:b/>
          <w:bCs/>
          <w:spacing w:val="11"/>
          <w:lang w:eastAsia="zh-CN"/>
        </w:rPr>
        <w:t>5.因甲方理财指定账户资金余额不足或处于非正常状态（包括但不限于冻结、销户等状态）导致乙方无法按时办理扣款</w:t>
      </w:r>
      <w:r>
        <w:rPr>
          <w:rFonts w:hint="eastAsia"/>
          <w:b/>
          <w:bCs/>
          <w:spacing w:val="11"/>
          <w:lang w:eastAsia="zh-CN"/>
        </w:rPr>
        <w:t>，</w:t>
      </w:r>
      <w:r>
        <w:rPr>
          <w:b/>
          <w:bCs/>
          <w:spacing w:val="11"/>
          <w:lang w:eastAsia="zh-CN"/>
        </w:rPr>
        <w:t>或到期理财资金及收益无法入账，或引起其他一切风</w:t>
      </w:r>
      <w:r>
        <w:rPr>
          <w:b/>
          <w:bCs/>
          <w:spacing w:val="7"/>
          <w:lang w:eastAsia="zh-CN"/>
        </w:rPr>
        <w:t>险与损失的，均由甲方自行承担。</w:t>
      </w:r>
    </w:p>
    <w:p>
      <w:pPr>
        <w:pStyle w:val="3"/>
        <w:spacing w:before="161" w:line="360" w:lineRule="auto"/>
        <w:ind w:left="21" w:right="143" w:firstLine="422"/>
        <w:rPr>
          <w:lang w:eastAsia="zh-CN"/>
        </w:rPr>
      </w:pPr>
      <w:r>
        <w:rPr>
          <w:b/>
          <w:bCs/>
          <w:spacing w:val="11"/>
          <w:lang w:eastAsia="zh-CN"/>
        </w:rPr>
        <w:t>6.甲方通过</w:t>
      </w:r>
      <w:r>
        <w:rPr>
          <w:rFonts w:hint="eastAsia"/>
          <w:b/>
          <w:bCs/>
          <w:spacing w:val="11"/>
          <w:lang w:eastAsia="zh-CN"/>
        </w:rPr>
        <w:t>乙方</w:t>
      </w:r>
      <w:r>
        <w:rPr>
          <w:b/>
          <w:bCs/>
          <w:spacing w:val="11"/>
          <w:lang w:eastAsia="zh-CN"/>
        </w:rPr>
        <w:t>网点柜台、网上银行、手机银行等渠道成功提交的委托申请，仅</w:t>
      </w:r>
      <w:r>
        <w:rPr>
          <w:b/>
          <w:bCs/>
          <w:spacing w:val="10"/>
          <w:lang w:eastAsia="zh-CN"/>
        </w:rPr>
        <w:t>代表</w:t>
      </w:r>
      <w:r>
        <w:rPr>
          <w:rFonts w:hint="eastAsia"/>
          <w:b/>
          <w:bCs/>
          <w:spacing w:val="10"/>
          <w:lang w:eastAsia="zh-CN"/>
        </w:rPr>
        <w:t>乙方</w:t>
      </w:r>
      <w:r>
        <w:rPr>
          <w:b/>
          <w:bCs/>
          <w:spacing w:val="10"/>
          <w:lang w:eastAsia="zh-CN"/>
        </w:rPr>
        <w:t>代理理财公司受理了该笔委托，交易最终成功与否以理财公司确认为准，甲</w:t>
      </w:r>
      <w:r>
        <w:rPr>
          <w:b/>
          <w:bCs/>
          <w:spacing w:val="11"/>
          <w:lang w:eastAsia="zh-CN"/>
        </w:rPr>
        <w:t>方可于理财产品交易确认日后的次</w:t>
      </w:r>
      <w:r>
        <w:rPr>
          <w:rFonts w:hint="eastAsia"/>
          <w:b/>
          <w:bCs/>
          <w:spacing w:val="11"/>
          <w:lang w:eastAsia="zh-CN"/>
        </w:rPr>
        <w:t>一工作</w:t>
      </w:r>
      <w:r>
        <w:rPr>
          <w:b/>
          <w:bCs/>
          <w:spacing w:val="11"/>
          <w:lang w:eastAsia="zh-CN"/>
        </w:rPr>
        <w:t>日通过</w:t>
      </w:r>
      <w:r>
        <w:rPr>
          <w:rFonts w:hint="eastAsia"/>
          <w:b/>
          <w:bCs/>
          <w:spacing w:val="11"/>
          <w:lang w:eastAsia="zh-CN"/>
        </w:rPr>
        <w:t>乙方</w:t>
      </w:r>
      <w:r>
        <w:rPr>
          <w:b/>
          <w:bCs/>
          <w:spacing w:val="11"/>
          <w:lang w:eastAsia="zh-CN"/>
        </w:rPr>
        <w:t>网点柜台、网上银行、手机银行等渠道</w:t>
      </w:r>
      <w:r>
        <w:rPr>
          <w:b/>
          <w:bCs/>
          <w:spacing w:val="7"/>
          <w:lang w:eastAsia="zh-CN"/>
        </w:rPr>
        <w:t>查询确认情况。由于甲方未及时查询交易确认情况而导致的后果，由甲方自行承担。</w:t>
      </w:r>
    </w:p>
    <w:p>
      <w:pPr>
        <w:pStyle w:val="3"/>
        <w:spacing w:before="162" w:line="360" w:lineRule="auto"/>
        <w:ind w:left="23" w:firstLine="424"/>
        <w:rPr>
          <w:lang w:eastAsia="zh-CN"/>
        </w:rPr>
      </w:pPr>
      <w:r>
        <w:rPr>
          <w:spacing w:val="9"/>
          <w:lang w:eastAsia="zh-CN"/>
        </w:rPr>
        <w:t>7.甲方通过乙方认/申购本理财产品项下的投资本金及收益，乙方仅在理财产品发行机</w:t>
      </w:r>
      <w:r>
        <w:rPr>
          <w:spacing w:val="7"/>
          <w:lang w:eastAsia="zh-CN"/>
        </w:rPr>
        <w:t>构将前述款项划入乙方的清算账户后，才有义务将</w:t>
      </w:r>
      <w:r>
        <w:rPr>
          <w:spacing w:val="6"/>
          <w:lang w:eastAsia="zh-CN"/>
        </w:rPr>
        <w:t>投资本金及收益划入甲方指定的交易账户。</w:t>
      </w:r>
      <w:r>
        <w:rPr>
          <w:b/>
          <w:bCs/>
          <w:spacing w:val="11"/>
          <w:lang w:eastAsia="zh-CN"/>
        </w:rPr>
        <w:t>如因理财产品发行机构原因导致甲方投资本金与收益未进入</w:t>
      </w:r>
      <w:r>
        <w:rPr>
          <w:rFonts w:hint="eastAsia"/>
          <w:b/>
          <w:bCs/>
          <w:spacing w:val="11"/>
          <w:lang w:eastAsia="zh-CN"/>
        </w:rPr>
        <w:t>乙方的</w:t>
      </w:r>
      <w:r>
        <w:rPr>
          <w:b/>
          <w:bCs/>
          <w:spacing w:val="11"/>
          <w:lang w:eastAsia="zh-CN"/>
        </w:rPr>
        <w:t>清算账户，或因甲方原因导致其未能收到投资本金与收益的，理财产品发行机构和甲方应自行</w:t>
      </w:r>
      <w:r>
        <w:rPr>
          <w:rFonts w:hint="eastAsia"/>
          <w:b/>
          <w:bCs/>
          <w:spacing w:val="11"/>
          <w:lang w:eastAsia="zh-CN"/>
        </w:rPr>
        <w:t>解决争议纠纷并</w:t>
      </w:r>
      <w:r>
        <w:rPr>
          <w:b/>
          <w:bCs/>
          <w:spacing w:val="11"/>
          <w:lang w:eastAsia="zh-CN"/>
        </w:rPr>
        <w:t>承担相应责任，乙方对此</w:t>
      </w:r>
      <w:r>
        <w:rPr>
          <w:b/>
          <w:bCs/>
          <w:spacing w:val="4"/>
          <w:lang w:eastAsia="zh-CN"/>
        </w:rPr>
        <w:t>不承担责任。</w:t>
      </w:r>
    </w:p>
    <w:p>
      <w:pPr>
        <w:pStyle w:val="3"/>
        <w:spacing w:before="160" w:line="360" w:lineRule="auto"/>
        <w:ind w:left="22" w:right="143" w:firstLine="420"/>
        <w:rPr>
          <w:lang w:eastAsia="zh-CN"/>
        </w:rPr>
      </w:pPr>
      <w:r>
        <w:rPr>
          <w:b/>
          <w:bCs/>
          <w:spacing w:val="11"/>
          <w:lang w:eastAsia="zh-CN"/>
        </w:rPr>
        <w:t>8.甲方授权乙方遵循合法、正当、必要、授权的原则，在符合国家法律法规和监管部门规定的前提下，根据理财代销业务需要处理（包括</w:t>
      </w:r>
      <w:r>
        <w:rPr>
          <w:rFonts w:hint="eastAsia"/>
          <w:b/>
          <w:bCs/>
          <w:spacing w:val="11"/>
          <w:lang w:eastAsia="zh-CN"/>
        </w:rPr>
        <w:t>但不限于</w:t>
      </w:r>
      <w:r>
        <w:rPr>
          <w:b/>
          <w:bCs/>
          <w:spacing w:val="11"/>
          <w:lang w:eastAsia="zh-CN"/>
        </w:rPr>
        <w:t>收集、存储、使用、加工、传输、提</w:t>
      </w:r>
      <w:r>
        <w:rPr>
          <w:b/>
          <w:bCs/>
          <w:spacing w:val="5"/>
          <w:lang w:eastAsia="zh-CN"/>
        </w:rPr>
        <w:t>供、公开、删除等）甲方的必要</w:t>
      </w:r>
      <w:r>
        <w:rPr>
          <w:rFonts w:hint="eastAsia"/>
          <w:b/>
          <w:bCs/>
          <w:spacing w:val="5"/>
          <w:lang w:eastAsia="zh-CN"/>
        </w:rPr>
        <w:t>投资者</w:t>
      </w:r>
      <w:r>
        <w:rPr>
          <w:b/>
          <w:bCs/>
          <w:spacing w:val="5"/>
          <w:lang w:eastAsia="zh-CN"/>
        </w:rPr>
        <w:t>金融信息。</w:t>
      </w:r>
    </w:p>
    <w:p>
      <w:pPr>
        <w:pStyle w:val="3"/>
        <w:spacing w:before="161" w:line="360" w:lineRule="auto"/>
        <w:ind w:left="40" w:right="101" w:firstLine="412"/>
        <w:rPr>
          <w:lang w:eastAsia="zh-CN"/>
        </w:rPr>
      </w:pPr>
      <w:r>
        <w:rPr>
          <w:spacing w:val="6"/>
          <w:lang w:eastAsia="zh-CN"/>
        </w:rPr>
        <w:t>（1）乙方出于理财产品投资信息管理目的，收集甲方信息，包括</w:t>
      </w:r>
      <w:r>
        <w:rPr>
          <w:rFonts w:hint="eastAsia"/>
          <w:spacing w:val="6"/>
          <w:lang w:eastAsia="zh-CN"/>
        </w:rPr>
        <w:t>自然人的</w:t>
      </w:r>
      <w:r>
        <w:rPr>
          <w:spacing w:val="6"/>
          <w:lang w:eastAsia="zh-CN"/>
        </w:rPr>
        <w:t>姓名、性别、</w:t>
      </w:r>
      <w:r>
        <w:rPr>
          <w:spacing w:val="7"/>
          <w:lang w:eastAsia="zh-CN"/>
        </w:rPr>
        <w:t>出生年月、证件类型及号码、国籍、</w:t>
      </w:r>
      <w:r>
        <w:rPr>
          <w:rFonts w:hint="eastAsia"/>
          <w:spacing w:val="9"/>
          <w:lang w:eastAsia="zh-CN"/>
        </w:rPr>
        <w:t>职业、</w:t>
      </w:r>
      <w:r>
        <w:rPr>
          <w:spacing w:val="7"/>
          <w:lang w:eastAsia="zh-CN"/>
        </w:rPr>
        <w:t>通讯地址（居住地址、邮编）、手机号码、固定电话、</w:t>
      </w:r>
      <w:r>
        <w:rPr>
          <w:spacing w:val="9"/>
          <w:lang w:eastAsia="zh-CN"/>
        </w:rPr>
        <w:t>电子邮箱，</w:t>
      </w:r>
      <w:r>
        <w:rPr>
          <w:rFonts w:hint="eastAsia"/>
          <w:spacing w:val="9"/>
          <w:lang w:eastAsia="zh-CN"/>
        </w:rPr>
        <w:t>法人或者其他组织的名称、性质、资质、联系方式等基本信息，</w:t>
      </w:r>
      <w:r>
        <w:rPr>
          <w:spacing w:val="9"/>
          <w:lang w:eastAsia="zh-CN"/>
        </w:rPr>
        <w:t>并在乙方业务系统内进行登记、保存，用于理财</w:t>
      </w:r>
      <w:r>
        <w:rPr>
          <w:spacing w:val="8"/>
          <w:lang w:eastAsia="zh-CN"/>
        </w:rPr>
        <w:t>客户信息管理。</w:t>
      </w:r>
    </w:p>
    <w:p>
      <w:pPr>
        <w:pStyle w:val="3"/>
        <w:spacing w:before="160" w:line="360" w:lineRule="auto"/>
        <w:ind w:left="22" w:right="115" w:firstLine="430"/>
        <w:rPr>
          <w:lang w:eastAsia="zh-CN"/>
        </w:rPr>
      </w:pPr>
      <w:r>
        <w:rPr>
          <w:spacing w:val="10"/>
          <w:lang w:eastAsia="zh-CN"/>
        </w:rPr>
        <w:t>（2）乙方出于理财代销业务必要的联系与通知目</w:t>
      </w:r>
      <w:r>
        <w:rPr>
          <w:spacing w:val="9"/>
          <w:lang w:eastAsia="zh-CN"/>
        </w:rPr>
        <w:t>的，使用甲方的手机号码、固定电</w:t>
      </w:r>
      <w:r>
        <w:rPr>
          <w:spacing w:val="8"/>
          <w:lang w:eastAsia="zh-CN"/>
        </w:rPr>
        <w:t>话、电子邮箱、微信等联系方式进行理财产品日常管理、到期提醒、变更通</w:t>
      </w:r>
      <w:r>
        <w:rPr>
          <w:spacing w:val="7"/>
          <w:lang w:eastAsia="zh-CN"/>
        </w:rPr>
        <w:t>知、信息披露、</w:t>
      </w:r>
      <w:r>
        <w:rPr>
          <w:spacing w:val="8"/>
          <w:lang w:eastAsia="zh-CN"/>
        </w:rPr>
        <w:t>投诉处理等非接触性联系。</w:t>
      </w:r>
    </w:p>
    <w:p>
      <w:pPr>
        <w:pStyle w:val="3"/>
        <w:spacing w:before="161" w:line="360" w:lineRule="auto"/>
        <w:ind w:left="23" w:right="172" w:firstLine="429"/>
        <w:rPr>
          <w:lang w:eastAsia="zh-CN"/>
        </w:rPr>
      </w:pPr>
      <w:r>
        <w:rPr>
          <w:spacing w:val="10"/>
          <w:lang w:eastAsia="zh-CN"/>
        </w:rPr>
        <w:t>（3）乙方出于确保理财产品风险等级与客户风险</w:t>
      </w:r>
      <w:r>
        <w:rPr>
          <w:spacing w:val="9"/>
          <w:lang w:eastAsia="zh-CN"/>
        </w:rPr>
        <w:t>承受能力匹配目的，收集、保存甲</w:t>
      </w:r>
      <w:r>
        <w:rPr>
          <w:spacing w:val="7"/>
          <w:lang w:eastAsia="zh-CN"/>
        </w:rPr>
        <w:t>方身份信息、财产信息</w:t>
      </w:r>
      <w:r>
        <w:rPr>
          <w:rFonts w:hint="eastAsia"/>
          <w:spacing w:val="7"/>
          <w:lang w:eastAsia="zh-CN"/>
        </w:rPr>
        <w:t>（包括个人投资者家庭财产信息）</w:t>
      </w:r>
      <w:r>
        <w:rPr>
          <w:spacing w:val="7"/>
          <w:lang w:eastAsia="zh-CN"/>
        </w:rPr>
        <w:t>、投资偏好信息等，并根据甲方提供的前述信息对其进行风</w:t>
      </w:r>
      <w:r>
        <w:rPr>
          <w:spacing w:val="9"/>
          <w:lang w:eastAsia="zh-CN"/>
        </w:rPr>
        <w:t>险承受能力</w:t>
      </w:r>
      <w:r>
        <w:rPr>
          <w:rFonts w:hint="eastAsia"/>
          <w:spacing w:val="9"/>
          <w:lang w:eastAsia="zh-CN"/>
        </w:rPr>
        <w:t>评估</w:t>
      </w:r>
      <w:r>
        <w:rPr>
          <w:spacing w:val="9"/>
          <w:lang w:eastAsia="zh-CN"/>
        </w:rPr>
        <w:t>，向甲方推介符合其风险承受能力的理财产品。</w:t>
      </w:r>
    </w:p>
    <w:p>
      <w:pPr>
        <w:pStyle w:val="3"/>
        <w:spacing w:before="160" w:line="360" w:lineRule="auto"/>
        <w:ind w:left="22" w:right="116" w:firstLine="430"/>
        <w:rPr>
          <w:lang w:eastAsia="zh-CN"/>
        </w:rPr>
      </w:pPr>
      <w:r>
        <w:rPr>
          <w:spacing w:val="6"/>
          <w:lang w:eastAsia="zh-CN"/>
        </w:rPr>
        <w:t>（4）乙方出于合格投资者认定等客户分类管理目的，收集、</w:t>
      </w:r>
      <w:r>
        <w:rPr>
          <w:spacing w:val="5"/>
          <w:lang w:eastAsia="zh-CN"/>
        </w:rPr>
        <w:t>保存甲方财产信息，</w:t>
      </w:r>
      <w:r>
        <w:rPr>
          <w:spacing w:val="8"/>
          <w:lang w:eastAsia="zh-CN"/>
        </w:rPr>
        <w:t>包括</w:t>
      </w:r>
      <w:r>
        <w:rPr>
          <w:rFonts w:hint="eastAsia"/>
          <w:spacing w:val="8"/>
          <w:lang w:eastAsia="zh-CN"/>
        </w:rPr>
        <w:t>但不限于</w:t>
      </w:r>
      <w:r>
        <w:rPr>
          <w:spacing w:val="8"/>
          <w:lang w:eastAsia="zh-CN"/>
        </w:rPr>
        <w:t>银行账号、存款、基金、保险、贵金属</w:t>
      </w:r>
      <w:r>
        <w:rPr>
          <w:spacing w:val="7"/>
          <w:lang w:eastAsia="zh-CN"/>
        </w:rPr>
        <w:t>、资管产品、收入证明、纳税证明及其他甲方自</w:t>
      </w:r>
      <w:r>
        <w:rPr>
          <w:spacing w:val="9"/>
          <w:lang w:eastAsia="zh-CN"/>
        </w:rPr>
        <w:t>愿提供的可证明其金融资产情况的信息，作为评定客户合格投资者身份的佐证材料。</w:t>
      </w:r>
    </w:p>
    <w:p>
      <w:pPr>
        <w:pStyle w:val="3"/>
        <w:spacing w:before="164" w:line="360" w:lineRule="auto"/>
        <w:ind w:left="22" w:right="169" w:firstLine="430"/>
        <w:rPr>
          <w:spacing w:val="10"/>
          <w:lang w:eastAsia="zh-CN"/>
        </w:rPr>
      </w:pPr>
      <w:r>
        <w:rPr>
          <w:spacing w:val="10"/>
          <w:lang w:eastAsia="zh-CN"/>
        </w:rPr>
        <w:t>（5）乙方出于履行反洗钱和反恐怖融资义务的目的，收集、保存甲方信息，包括</w:t>
      </w:r>
      <w:r>
        <w:rPr>
          <w:rFonts w:hint="eastAsia"/>
          <w:spacing w:val="10"/>
          <w:lang w:eastAsia="zh-CN"/>
        </w:rPr>
        <w:t>自然人的</w:t>
      </w:r>
      <w:r>
        <w:rPr>
          <w:spacing w:val="10"/>
          <w:lang w:eastAsia="zh-CN"/>
        </w:rPr>
        <w:t>姓名、性别、国籍、职业、住所地或工作单位地址、联系方式、身份证件类型、身份证件号码、身份证件有效期限</w:t>
      </w:r>
      <w:r>
        <w:rPr>
          <w:rFonts w:hint="eastAsia"/>
          <w:spacing w:val="10"/>
          <w:lang w:eastAsia="zh-CN"/>
        </w:rPr>
        <w:t>，</w:t>
      </w:r>
      <w:r>
        <w:rPr>
          <w:rFonts w:hint="eastAsia"/>
          <w:spacing w:val="9"/>
          <w:lang w:eastAsia="zh-CN"/>
        </w:rPr>
        <w:t>法人或者其他组织的名称、性质、资质、证件、联系方式</w:t>
      </w:r>
      <w:r>
        <w:rPr>
          <w:spacing w:val="10"/>
          <w:lang w:eastAsia="zh-CN"/>
        </w:rPr>
        <w:t>等</w:t>
      </w:r>
      <w:r>
        <w:rPr>
          <w:rFonts w:hint="eastAsia"/>
          <w:spacing w:val="10"/>
          <w:lang w:eastAsia="zh-CN"/>
        </w:rPr>
        <w:t>甲方留存的有效信息、交易记录及法律法规规定的其他相关信息</w:t>
      </w:r>
      <w:r>
        <w:rPr>
          <w:spacing w:val="10"/>
          <w:lang w:eastAsia="zh-CN"/>
        </w:rPr>
        <w:t>，并根据《中华人民共和国反洗钱法》《银行业金融机构反洗钱和反恐怖融资管理办法》等反洗钱和反恐怖融资法律、法规</w:t>
      </w:r>
      <w:r>
        <w:rPr>
          <w:rFonts w:hint="eastAsia"/>
          <w:spacing w:val="10"/>
          <w:lang w:eastAsia="zh-CN"/>
        </w:rPr>
        <w:t>部门</w:t>
      </w:r>
      <w:r>
        <w:rPr>
          <w:spacing w:val="10"/>
          <w:lang w:eastAsia="zh-CN"/>
        </w:rPr>
        <w:t>或监管要求履行反洗钱、反恐怖融资义务。</w:t>
      </w:r>
    </w:p>
    <w:p>
      <w:pPr>
        <w:pStyle w:val="3"/>
        <w:spacing w:before="161" w:line="360" w:lineRule="auto"/>
        <w:ind w:left="22" w:right="27" w:firstLine="446"/>
        <w:jc w:val="both"/>
        <w:rPr>
          <w:b/>
          <w:bCs/>
          <w:spacing w:val="10"/>
          <w:lang w:eastAsia="zh-CN"/>
        </w:rPr>
      </w:pPr>
      <w:r>
        <w:rPr>
          <w:b/>
          <w:bCs/>
          <w:spacing w:val="10"/>
          <w:lang w:eastAsia="zh-CN"/>
        </w:rPr>
        <w:t>（6）根据监管</w:t>
      </w:r>
      <w:r>
        <w:rPr>
          <w:rFonts w:hint="eastAsia"/>
          <w:b/>
          <w:bCs/>
          <w:spacing w:val="10"/>
          <w:lang w:eastAsia="zh-CN"/>
        </w:rPr>
        <w:t>部门</w:t>
      </w:r>
      <w:r>
        <w:rPr>
          <w:b/>
          <w:bCs/>
          <w:spacing w:val="10"/>
          <w:lang w:eastAsia="zh-CN"/>
        </w:rPr>
        <w:t>要求，乙方出于为甲方办理理财代销业务所必需及理财业务投资人信息报送之目的，将</w:t>
      </w:r>
      <w:r>
        <w:rPr>
          <w:rFonts w:hint="eastAsia"/>
          <w:b/>
          <w:bCs/>
          <w:spacing w:val="10"/>
          <w:lang w:eastAsia="zh-CN"/>
        </w:rPr>
        <w:t>自然人</w:t>
      </w:r>
      <w:r>
        <w:rPr>
          <w:b/>
          <w:bCs/>
          <w:spacing w:val="10"/>
          <w:lang w:eastAsia="zh-CN"/>
        </w:rPr>
        <w:t>姓名、</w:t>
      </w:r>
      <w:r>
        <w:rPr>
          <w:rFonts w:hint="eastAsia"/>
          <w:b/>
          <w:bCs/>
          <w:spacing w:val="10"/>
          <w:lang w:eastAsia="zh-CN"/>
        </w:rPr>
        <w:t>性别、国籍、</w:t>
      </w:r>
      <w:r>
        <w:rPr>
          <w:b/>
          <w:bCs/>
          <w:spacing w:val="10"/>
          <w:lang w:eastAsia="zh-CN"/>
        </w:rPr>
        <w:t>证件类型及号码、</w:t>
      </w:r>
      <w:r>
        <w:rPr>
          <w:rFonts w:hint="eastAsia"/>
          <w:b/>
          <w:bCs/>
          <w:spacing w:val="10"/>
          <w:lang w:eastAsia="zh-CN"/>
        </w:rPr>
        <w:t>证件有效日期、联系电话、</w:t>
      </w:r>
      <w:r>
        <w:rPr>
          <w:b/>
          <w:bCs/>
          <w:spacing w:val="10"/>
          <w:lang w:eastAsia="zh-CN"/>
        </w:rPr>
        <w:t>通讯地址、银行账户</w:t>
      </w:r>
      <w:r>
        <w:rPr>
          <w:rFonts w:hint="eastAsia"/>
          <w:b/>
          <w:bCs/>
          <w:spacing w:val="10"/>
          <w:lang w:eastAsia="zh-CN"/>
        </w:rPr>
        <w:t>以及</w:t>
      </w:r>
      <w:r>
        <w:rPr>
          <w:rFonts w:hint="eastAsia"/>
          <w:b/>
          <w:bCs/>
          <w:spacing w:val="9"/>
          <w:lang w:eastAsia="zh-CN"/>
        </w:rPr>
        <w:t>法人或者其他组织的名称、性质、资质、证件、联系方式</w:t>
      </w:r>
      <w:r>
        <w:rPr>
          <w:rFonts w:hint="eastAsia"/>
          <w:b/>
          <w:bCs/>
          <w:spacing w:val="10"/>
          <w:lang w:eastAsia="zh-CN"/>
        </w:rPr>
        <w:t>等国家法律法规、监管部门规定允许收集的办理理财代销业务所必需的相关投资者</w:t>
      </w:r>
      <w:r>
        <w:rPr>
          <w:b/>
          <w:bCs/>
          <w:spacing w:val="10"/>
          <w:lang w:eastAsia="zh-CN"/>
        </w:rPr>
        <w:t>金融信息</w:t>
      </w:r>
      <w:r>
        <w:rPr>
          <w:rFonts w:hint="eastAsia"/>
          <w:b/>
          <w:bCs/>
          <w:spacing w:val="10"/>
          <w:lang w:eastAsia="zh-CN"/>
        </w:rPr>
        <w:t>及投资者理财交易账号、</w:t>
      </w:r>
      <w:r>
        <w:rPr>
          <w:b/>
          <w:bCs/>
          <w:spacing w:val="10"/>
          <w:lang w:eastAsia="zh-CN"/>
        </w:rPr>
        <w:t>交易金额、交易渠道等理财投资交易信息提供给理财产品发行机构</w:t>
      </w:r>
      <w:r>
        <w:rPr>
          <w:rFonts w:hint="eastAsia"/>
          <w:b/>
          <w:bCs/>
          <w:lang w:eastAsia="zh-CN"/>
        </w:rPr>
        <w:t>，用于履行反洗钱、反恐怖融资及非居民金融账户涉税信息尽职调查等金融机构法定义务或向监管部门报送的需要</w:t>
      </w:r>
      <w:r>
        <w:rPr>
          <w:b/>
          <w:bCs/>
          <w:spacing w:val="10"/>
          <w:lang w:eastAsia="zh-CN"/>
        </w:rPr>
        <w:t>。</w:t>
      </w:r>
      <w:r>
        <w:rPr>
          <w:b/>
          <w:bCs/>
          <w:spacing w:val="8"/>
          <w:lang w:eastAsia="zh-CN"/>
        </w:rPr>
        <w:t>理财产品发行机构对乙方</w:t>
      </w:r>
      <w:r>
        <w:rPr>
          <w:rFonts w:hint="eastAsia"/>
          <w:b/>
          <w:bCs/>
          <w:spacing w:val="8"/>
          <w:lang w:eastAsia="zh-CN"/>
        </w:rPr>
        <w:t>提供</w:t>
      </w:r>
      <w:r>
        <w:rPr>
          <w:b/>
          <w:bCs/>
          <w:spacing w:val="8"/>
          <w:lang w:eastAsia="zh-CN"/>
        </w:rPr>
        <w:t>的</w:t>
      </w:r>
      <w:r>
        <w:rPr>
          <w:rFonts w:hint="eastAsia"/>
          <w:b/>
          <w:bCs/>
          <w:spacing w:val="8"/>
          <w:lang w:eastAsia="zh-CN"/>
        </w:rPr>
        <w:t>投资者</w:t>
      </w:r>
      <w:r>
        <w:rPr>
          <w:b/>
          <w:bCs/>
          <w:spacing w:val="8"/>
          <w:lang w:eastAsia="zh-CN"/>
        </w:rPr>
        <w:t>信息负有保密责任</w:t>
      </w:r>
      <w:r>
        <w:rPr>
          <w:rFonts w:hint="eastAsia"/>
          <w:b/>
          <w:bCs/>
          <w:spacing w:val="8"/>
          <w:lang w:eastAsia="zh-CN"/>
        </w:rPr>
        <w:t>。</w:t>
      </w:r>
    </w:p>
    <w:p>
      <w:pPr>
        <w:pStyle w:val="3"/>
        <w:spacing w:before="161" w:line="360" w:lineRule="auto"/>
        <w:ind w:left="22" w:right="58" w:firstLine="430"/>
        <w:rPr>
          <w:lang w:eastAsia="zh-CN"/>
        </w:rPr>
      </w:pPr>
      <w:r>
        <w:rPr>
          <w:spacing w:val="10"/>
          <w:lang w:eastAsia="zh-CN"/>
        </w:rPr>
        <w:t>（7）乙方依照法律、法规及监管</w:t>
      </w:r>
      <w:r>
        <w:rPr>
          <w:rFonts w:hint="eastAsia"/>
          <w:spacing w:val="10"/>
          <w:lang w:eastAsia="zh-CN"/>
        </w:rPr>
        <w:t>部门</w:t>
      </w:r>
      <w:r>
        <w:rPr>
          <w:spacing w:val="10"/>
          <w:lang w:eastAsia="zh-CN"/>
        </w:rPr>
        <w:t>要求报送甲方在</w:t>
      </w:r>
      <w:r>
        <w:rPr>
          <w:spacing w:val="9"/>
          <w:lang w:eastAsia="zh-CN"/>
        </w:rPr>
        <w:t>乙方</w:t>
      </w:r>
      <w:r>
        <w:rPr>
          <w:rFonts w:hint="eastAsia"/>
          <w:spacing w:val="9"/>
          <w:lang w:eastAsia="zh-CN"/>
        </w:rPr>
        <w:t>处录入与生</w:t>
      </w:r>
      <w:r>
        <w:rPr>
          <w:spacing w:val="9"/>
          <w:lang w:eastAsia="zh-CN"/>
        </w:rPr>
        <w:t>成的</w:t>
      </w:r>
      <w:r>
        <w:rPr>
          <w:rFonts w:hint="eastAsia"/>
          <w:spacing w:val="9"/>
          <w:lang w:eastAsia="zh-CN"/>
        </w:rPr>
        <w:t>投资者</w:t>
      </w:r>
      <w:r>
        <w:rPr>
          <w:spacing w:val="9"/>
          <w:lang w:eastAsia="zh-CN"/>
        </w:rPr>
        <w:t>身份信息和理财交易</w:t>
      </w:r>
      <w:r>
        <w:rPr>
          <w:spacing w:val="6"/>
          <w:lang w:eastAsia="zh-CN"/>
        </w:rPr>
        <w:t>信息；</w:t>
      </w:r>
      <w:r>
        <w:rPr>
          <w:rFonts w:hint="eastAsia"/>
          <w:spacing w:val="6"/>
          <w:lang w:eastAsia="zh-CN"/>
        </w:rPr>
        <w:t>乙方依照</w:t>
      </w:r>
      <w:r>
        <w:rPr>
          <w:spacing w:val="6"/>
          <w:lang w:eastAsia="zh-CN"/>
        </w:rPr>
        <w:t>有权机关要求提供甲方</w:t>
      </w:r>
      <w:r>
        <w:rPr>
          <w:rFonts w:hint="eastAsia"/>
          <w:spacing w:val="6"/>
          <w:lang w:eastAsia="zh-CN"/>
        </w:rPr>
        <w:t>投资者</w:t>
      </w:r>
      <w:r>
        <w:rPr>
          <w:spacing w:val="6"/>
          <w:lang w:eastAsia="zh-CN"/>
        </w:rPr>
        <w:t>理财的相关信息和材料（具体以有权机关要求为准）。</w:t>
      </w:r>
    </w:p>
    <w:p>
      <w:pPr>
        <w:pStyle w:val="3"/>
        <w:spacing w:before="162" w:line="360" w:lineRule="auto"/>
        <w:ind w:left="21" w:right="56" w:firstLine="430"/>
        <w:rPr>
          <w:lang w:eastAsia="zh-CN"/>
        </w:rPr>
      </w:pPr>
      <w:r>
        <w:rPr>
          <w:spacing w:val="10"/>
          <w:lang w:eastAsia="zh-CN"/>
        </w:rPr>
        <w:t>（8）乙方通过甲方办理</w:t>
      </w:r>
      <w:r>
        <w:rPr>
          <w:rFonts w:hint="eastAsia"/>
          <w:spacing w:val="10"/>
          <w:lang w:eastAsia="zh-CN"/>
        </w:rPr>
        <w:t>投资者</w:t>
      </w:r>
      <w:r>
        <w:rPr>
          <w:spacing w:val="10"/>
          <w:lang w:eastAsia="zh-CN"/>
        </w:rPr>
        <w:t>理财业务填写的纸</w:t>
      </w:r>
      <w:r>
        <w:rPr>
          <w:spacing w:val="9"/>
          <w:lang w:eastAsia="zh-CN"/>
        </w:rPr>
        <w:t>质或电子资料、</w:t>
      </w:r>
      <w:r>
        <w:rPr>
          <w:rFonts w:hint="eastAsia"/>
          <w:spacing w:val="9"/>
          <w:lang w:eastAsia="zh-CN"/>
        </w:rPr>
        <w:t>甲方</w:t>
      </w:r>
      <w:r>
        <w:rPr>
          <w:spacing w:val="9"/>
          <w:lang w:eastAsia="zh-CN"/>
        </w:rPr>
        <w:t>在乙方留存且</w:t>
      </w:r>
      <w:r>
        <w:rPr>
          <w:spacing w:val="7"/>
          <w:lang w:eastAsia="zh-CN"/>
        </w:rPr>
        <w:t>储存期限未满的</w:t>
      </w:r>
      <w:r>
        <w:rPr>
          <w:rFonts w:hint="eastAsia"/>
          <w:spacing w:val="7"/>
          <w:lang w:eastAsia="zh-CN"/>
        </w:rPr>
        <w:t>投资者</w:t>
      </w:r>
      <w:r>
        <w:rPr>
          <w:spacing w:val="7"/>
          <w:lang w:eastAsia="zh-CN"/>
        </w:rPr>
        <w:t>信息和金融交易行为数据、甲方主动告知等途径收集、存储、加工甲方个人金融信息。</w:t>
      </w:r>
    </w:p>
    <w:p>
      <w:pPr>
        <w:pStyle w:val="3"/>
        <w:spacing w:before="161" w:line="360" w:lineRule="auto"/>
        <w:ind w:left="22" w:right="27" w:firstLine="446"/>
        <w:jc w:val="both"/>
        <w:rPr>
          <w:rStyle w:val="10"/>
          <w:rFonts w:ascii="Arial" w:hAnsi="Arial" w:eastAsia="Arial" w:cs="Arial"/>
          <w:lang w:eastAsia="zh-CN"/>
        </w:rPr>
      </w:pPr>
      <w:r>
        <w:rPr>
          <w:b/>
          <w:bCs/>
          <w:spacing w:val="11"/>
          <w:lang w:eastAsia="zh-CN"/>
        </w:rPr>
        <w:t>甲方已知悉，处理前述金融信息为申请及办理本授权所涉及的理财</w:t>
      </w:r>
      <w:r>
        <w:rPr>
          <w:b/>
          <w:bCs/>
          <w:spacing w:val="10"/>
          <w:lang w:eastAsia="zh-CN"/>
        </w:rPr>
        <w:t>业务所必需，</w:t>
      </w:r>
      <w:r>
        <w:rPr>
          <w:b/>
          <w:bCs/>
          <w:spacing w:val="11"/>
          <w:lang w:eastAsia="zh-CN"/>
        </w:rPr>
        <w:t>如乙方没有获得授权或未获取到前述必要金融信息，乙方将无法为甲方提供相应金融</w:t>
      </w:r>
      <w:r>
        <w:rPr>
          <w:b/>
          <w:bCs/>
          <w:spacing w:val="1"/>
          <w:lang w:eastAsia="zh-CN"/>
        </w:rPr>
        <w:t>服务。</w:t>
      </w:r>
      <w:r>
        <w:rPr>
          <w:b/>
          <w:bCs/>
          <w:spacing w:val="11"/>
          <w:lang w:eastAsia="zh-CN"/>
        </w:rPr>
        <w:t>甲方确认已仔细阅读上述条款，对所有条款的含义及相应的法律后果已全部知晓并</w:t>
      </w:r>
      <w:r>
        <w:rPr>
          <w:b/>
          <w:bCs/>
          <w:spacing w:val="10"/>
          <w:lang w:eastAsia="zh-CN"/>
        </w:rPr>
        <w:t>充分理解，自愿作出本协议所述的授权事项，授权自</w:t>
      </w:r>
      <w:r>
        <w:rPr>
          <w:rFonts w:hint="eastAsia"/>
          <w:b/>
          <w:bCs/>
          <w:spacing w:val="10"/>
          <w:lang w:eastAsia="zh-CN"/>
        </w:rPr>
        <w:t>本协议生效之日起</w:t>
      </w:r>
      <w:r>
        <w:rPr>
          <w:b/>
          <w:bCs/>
          <w:spacing w:val="10"/>
          <w:lang w:eastAsia="zh-CN"/>
        </w:rPr>
        <w:t>，授</w:t>
      </w:r>
      <w:r>
        <w:rPr>
          <w:b/>
          <w:bCs/>
          <w:spacing w:val="9"/>
          <w:lang w:eastAsia="zh-CN"/>
        </w:rPr>
        <w:t>权期</w:t>
      </w:r>
      <w:r>
        <w:rPr>
          <w:b/>
          <w:bCs/>
          <w:spacing w:val="11"/>
          <w:lang w:eastAsia="zh-CN"/>
        </w:rPr>
        <w:t>限至本次申请的业务结清后五年止；</w:t>
      </w:r>
      <w:r>
        <w:rPr>
          <w:rFonts w:hint="eastAsia"/>
          <w:b/>
          <w:bCs/>
          <w:spacing w:val="11"/>
          <w:lang w:eastAsia="zh-CN"/>
        </w:rPr>
        <w:t>授权事项适</w:t>
      </w:r>
      <w:r>
        <w:rPr>
          <w:b/>
          <w:bCs/>
          <w:spacing w:val="11"/>
          <w:lang w:eastAsia="zh-CN"/>
        </w:rPr>
        <w:t>用于反洗钱、反恐怖融资的，授权期限长期有效。</w:t>
      </w:r>
    </w:p>
    <w:p>
      <w:pPr>
        <w:pStyle w:val="3"/>
        <w:spacing w:before="161" w:line="360" w:lineRule="auto"/>
        <w:ind w:left="22" w:right="27" w:firstLine="446"/>
        <w:jc w:val="both"/>
        <w:rPr>
          <w:lang w:eastAsia="zh-CN"/>
        </w:rPr>
      </w:pPr>
      <w:r>
        <w:rPr>
          <w:rFonts w:hint="eastAsia"/>
          <w:b/>
          <w:bCs/>
          <w:spacing w:val="11"/>
          <w:lang w:eastAsia="zh-CN"/>
        </w:rPr>
        <w:t>乙方保障甲方依据《个人信息保护法》等法律法规、监管部门规定所享有的权利，如需撤销授权或有相关异议，甲方可拨打乙方全国统一服务电话96596（或联系办理业务所在经办网点）咨询处理。乙方将根据法律法规、监管部门规定为甲方处理。</w:t>
      </w:r>
    </w:p>
    <w:p>
      <w:pPr>
        <w:pStyle w:val="3"/>
        <w:spacing w:line="360" w:lineRule="auto"/>
        <w:ind w:left="22" w:right="27" w:firstLine="437"/>
        <w:jc w:val="both"/>
        <w:rPr>
          <w:lang w:eastAsia="zh-CN"/>
        </w:rPr>
      </w:pPr>
      <w:r>
        <w:rPr>
          <w:b/>
          <w:bCs/>
          <w:spacing w:val="11"/>
          <w:lang w:eastAsia="zh-CN"/>
        </w:rPr>
        <w:t>乙方应按照国家档案管理和电子数据管理等规定，采取技术措施和其他必要措施，妥</w:t>
      </w:r>
      <w:r>
        <w:rPr>
          <w:b/>
          <w:bCs/>
          <w:spacing w:val="8"/>
          <w:lang w:eastAsia="zh-CN"/>
        </w:rPr>
        <w:t>善保管所收集的甲方金融信息，存储期限为30年。但极端情况下</w:t>
      </w:r>
      <w:r>
        <w:rPr>
          <w:rFonts w:hint="eastAsia"/>
          <w:b/>
          <w:bCs/>
          <w:spacing w:val="8"/>
          <w:lang w:eastAsia="zh-CN"/>
        </w:rPr>
        <w:t>仍</w:t>
      </w:r>
      <w:r>
        <w:rPr>
          <w:b/>
          <w:bCs/>
          <w:spacing w:val="7"/>
          <w:lang w:eastAsia="zh-CN"/>
        </w:rPr>
        <w:t>有可能发生甲方金融</w:t>
      </w:r>
      <w:r>
        <w:rPr>
          <w:b/>
          <w:bCs/>
          <w:spacing w:val="11"/>
          <w:lang w:eastAsia="zh-CN"/>
        </w:rPr>
        <w:t>信息毁损、遗失、泄露等情况，乙方将根据消费者信息保护应急预案等制度规范尽最大可</w:t>
      </w:r>
      <w:r>
        <w:rPr>
          <w:b/>
          <w:bCs/>
          <w:spacing w:val="6"/>
          <w:lang w:eastAsia="zh-CN"/>
        </w:rPr>
        <w:t>能保护甲方合法权益。</w:t>
      </w:r>
    </w:p>
    <w:p>
      <w:pPr>
        <w:pStyle w:val="3"/>
        <w:spacing w:before="165" w:line="360" w:lineRule="auto"/>
        <w:ind w:left="22" w:firstLine="419"/>
        <w:rPr>
          <w:lang w:eastAsia="zh-CN"/>
        </w:rPr>
      </w:pPr>
      <w:r>
        <w:rPr>
          <w:rFonts w:hint="eastAsia"/>
          <w:spacing w:val="9"/>
          <w:lang w:eastAsia="zh-CN"/>
        </w:rPr>
        <w:t>八</w:t>
      </w:r>
      <w:r>
        <w:rPr>
          <w:spacing w:val="9"/>
          <w:lang w:eastAsia="zh-CN"/>
        </w:rPr>
        <w:t>、乙方对本协议及其条款负有保密义务，未经甲方书面许可，乙方</w:t>
      </w:r>
      <w:r>
        <w:rPr>
          <w:spacing w:val="8"/>
          <w:lang w:eastAsia="zh-CN"/>
        </w:rPr>
        <w:t>不得向任何组织、</w:t>
      </w:r>
      <w:r>
        <w:rPr>
          <w:spacing w:val="9"/>
          <w:lang w:eastAsia="zh-CN"/>
        </w:rPr>
        <w:t>个人提供或泄露与甲方有关的业务资料及信息，但法律、法规</w:t>
      </w:r>
      <w:r>
        <w:rPr>
          <w:rFonts w:hint="eastAsia"/>
          <w:spacing w:val="9"/>
          <w:lang w:eastAsia="zh-CN"/>
        </w:rPr>
        <w:t>及监管部门</w:t>
      </w:r>
      <w:r>
        <w:rPr>
          <w:spacing w:val="9"/>
          <w:lang w:eastAsia="zh-CN"/>
        </w:rPr>
        <w:t>另有规定的除外。</w:t>
      </w:r>
    </w:p>
    <w:p>
      <w:pPr>
        <w:pStyle w:val="3"/>
        <w:spacing w:before="160" w:line="360" w:lineRule="auto"/>
        <w:ind w:left="41" w:right="56" w:firstLine="403"/>
        <w:rPr>
          <w:lang w:eastAsia="zh-CN"/>
        </w:rPr>
      </w:pPr>
      <w:r>
        <w:rPr>
          <w:rFonts w:hint="eastAsia"/>
          <w:spacing w:val="7"/>
          <w:lang w:eastAsia="zh-CN"/>
        </w:rPr>
        <w:t>九</w:t>
      </w:r>
      <w:r>
        <w:rPr>
          <w:spacing w:val="7"/>
          <w:lang w:eastAsia="zh-CN"/>
        </w:rPr>
        <w:t>、乙方有权收取与理财产品代销相关的费用，具体收费方式和标准</w:t>
      </w:r>
      <w:r>
        <w:rPr>
          <w:rFonts w:hint="eastAsia"/>
          <w:spacing w:val="7"/>
          <w:lang w:eastAsia="zh-CN"/>
        </w:rPr>
        <w:t>以本理财产品项下</w:t>
      </w:r>
      <w:r>
        <w:rPr>
          <w:spacing w:val="7"/>
          <w:lang w:eastAsia="zh-CN"/>
        </w:rPr>
        <w:t>《产品说明书》及相关公告为准。</w:t>
      </w:r>
    </w:p>
    <w:p>
      <w:pPr>
        <w:pStyle w:val="3"/>
        <w:spacing w:before="162" w:line="360" w:lineRule="auto"/>
        <w:ind w:left="23" w:right="27" w:firstLine="424"/>
        <w:rPr>
          <w:lang w:eastAsia="zh-CN"/>
        </w:rPr>
      </w:pPr>
      <w:r>
        <w:rPr>
          <w:rFonts w:hint="eastAsia"/>
          <w:b/>
          <w:bCs/>
          <w:spacing w:val="10"/>
          <w:lang w:eastAsia="zh-CN"/>
        </w:rPr>
        <w:t>十</w:t>
      </w:r>
      <w:r>
        <w:rPr>
          <w:b/>
          <w:bCs/>
          <w:spacing w:val="10"/>
          <w:lang w:eastAsia="zh-CN"/>
        </w:rPr>
        <w:t>、甲方承诺严格遵守反洗钱、反恐怖融资、税收相关法律法规和规章制度，不会参与或协助洗钱、恐怖融资、逃税活动等违法行为。乙方发现或有合理理由怀疑甲方、甲方</w:t>
      </w:r>
      <w:r>
        <w:rPr>
          <w:b/>
          <w:bCs/>
          <w:spacing w:val="11"/>
          <w:lang w:eastAsia="zh-CN"/>
        </w:rPr>
        <w:t>的资金或甲方的交易行为与洗钱、恐怖融资、逃税等犯罪活动相关的，乙方有权提前终止</w:t>
      </w:r>
      <w:r>
        <w:rPr>
          <w:b/>
          <w:bCs/>
          <w:spacing w:val="7"/>
          <w:lang w:eastAsia="zh-CN"/>
        </w:rPr>
        <w:t>本协议，造成甲方损失的，乙方不承担责任。</w:t>
      </w:r>
    </w:p>
    <w:p>
      <w:pPr>
        <w:pStyle w:val="3"/>
        <w:spacing w:before="162" w:line="360" w:lineRule="auto"/>
        <w:ind w:left="443"/>
        <w:rPr>
          <w:lang w:eastAsia="zh-CN"/>
        </w:rPr>
      </w:pPr>
      <w:r>
        <w:rPr>
          <w:b/>
          <w:bCs/>
          <w:spacing w:val="6"/>
          <w:lang w:eastAsia="zh-CN"/>
        </w:rPr>
        <w:t>十</w:t>
      </w:r>
      <w:r>
        <w:rPr>
          <w:rFonts w:hint="eastAsia"/>
          <w:b/>
          <w:bCs/>
          <w:spacing w:val="6"/>
          <w:lang w:eastAsia="zh-CN"/>
        </w:rPr>
        <w:t>一</w:t>
      </w:r>
      <w:r>
        <w:rPr>
          <w:b/>
          <w:bCs/>
          <w:spacing w:val="6"/>
          <w:lang w:eastAsia="zh-CN"/>
        </w:rPr>
        <w:t>、免责内容</w:t>
      </w:r>
    </w:p>
    <w:p>
      <w:pPr>
        <w:pStyle w:val="3"/>
        <w:spacing w:before="259" w:line="360" w:lineRule="auto"/>
        <w:ind w:left="22" w:right="27" w:firstLine="426"/>
        <w:rPr>
          <w:lang w:eastAsia="zh-CN"/>
        </w:rPr>
      </w:pPr>
      <w:r>
        <w:rPr>
          <w:rFonts w:ascii="Calibri" w:hAnsi="Calibri" w:eastAsia="Calibri" w:cs="Calibri"/>
          <w:b/>
          <w:bCs/>
          <w:spacing w:val="8"/>
          <w:lang w:eastAsia="zh-CN"/>
        </w:rPr>
        <w:t>1</w:t>
      </w:r>
      <w:r>
        <w:rPr>
          <w:b/>
          <w:bCs/>
          <w:spacing w:val="8"/>
          <w:lang w:eastAsia="zh-CN"/>
        </w:rPr>
        <w:t>、由于地震、火灾、战争等不可抗力导致的交易中断、延误等风</w:t>
      </w:r>
      <w:r>
        <w:rPr>
          <w:b/>
          <w:bCs/>
          <w:spacing w:val="7"/>
          <w:lang w:eastAsia="zh-CN"/>
        </w:rPr>
        <w:t>险及损失，任何一方</w:t>
      </w:r>
      <w:r>
        <w:rPr>
          <w:b/>
          <w:bCs/>
          <w:spacing w:val="11"/>
          <w:lang w:eastAsia="zh-CN"/>
        </w:rPr>
        <w:t>不承担责任，但应在条件允许的情况下通知对方，并采取一切必要的补救措施以减少不可</w:t>
      </w:r>
      <w:r>
        <w:rPr>
          <w:b/>
          <w:bCs/>
          <w:spacing w:val="6"/>
          <w:lang w:eastAsia="zh-CN"/>
        </w:rPr>
        <w:t>抗力造成的损失。</w:t>
      </w:r>
    </w:p>
    <w:p>
      <w:pPr>
        <w:pStyle w:val="3"/>
        <w:spacing w:before="200" w:line="360" w:lineRule="auto"/>
        <w:ind w:right="19" w:firstLine="428" w:firstLineChars="200"/>
        <w:jc w:val="both"/>
        <w:rPr>
          <w:lang w:eastAsia="zh-CN"/>
        </w:rPr>
      </w:pPr>
      <w:r>
        <w:rPr>
          <w:rFonts w:ascii="Calibri" w:hAnsi="Calibri" w:eastAsia="Calibri" w:cs="Calibri"/>
          <w:b/>
          <w:bCs/>
          <w:spacing w:val="7"/>
          <w:position w:val="1"/>
          <w:lang w:eastAsia="zh-CN"/>
        </w:rPr>
        <w:t>2</w:t>
      </w:r>
      <w:r>
        <w:rPr>
          <w:b/>
          <w:bCs/>
          <w:spacing w:val="7"/>
          <w:position w:val="1"/>
          <w:lang w:eastAsia="zh-CN"/>
        </w:rPr>
        <w:t>、由于国家有关法律、法规、政策的改变、紧急措施的出台而导致甲方承担的风险</w:t>
      </w:r>
      <w:r>
        <w:rPr>
          <w:rFonts w:hint="eastAsia"/>
          <w:b/>
          <w:bCs/>
          <w:spacing w:val="7"/>
          <w:position w:val="1"/>
          <w:lang w:eastAsia="zh-CN"/>
        </w:rPr>
        <w:t>，</w:t>
      </w:r>
      <w:r>
        <w:rPr>
          <w:b/>
          <w:bCs/>
          <w:spacing w:val="7"/>
          <w:lang w:eastAsia="zh-CN"/>
        </w:rPr>
        <w:t>乙方不承担责任，但应在条件允许的情况下通知甲方（包括但不限于网站公告、网上银行、手机银行</w:t>
      </w:r>
      <w:r>
        <w:rPr>
          <w:b/>
          <w:bCs/>
          <w:spacing w:val="-31"/>
          <w:lang w:eastAsia="zh-CN"/>
        </w:rPr>
        <w:t>），</w:t>
      </w:r>
      <w:r>
        <w:rPr>
          <w:b/>
          <w:bCs/>
          <w:spacing w:val="7"/>
          <w:lang w:eastAsia="zh-CN"/>
        </w:rPr>
        <w:t>并采取一切必要的补救措施以减少以上原因造成的损失。</w:t>
      </w:r>
    </w:p>
    <w:p>
      <w:pPr>
        <w:pStyle w:val="3"/>
        <w:spacing w:before="1" w:line="360" w:lineRule="auto"/>
        <w:ind w:left="47" w:right="73" w:firstLine="395"/>
        <w:outlineLvl w:val="1"/>
        <w:rPr>
          <w:lang w:eastAsia="zh-CN"/>
        </w:rPr>
      </w:pPr>
      <w:r>
        <w:rPr>
          <w:rFonts w:ascii="Calibri" w:hAnsi="Calibri" w:eastAsia="Calibri" w:cs="Calibri"/>
          <w:b/>
          <w:bCs/>
          <w:spacing w:val="8"/>
          <w:lang w:eastAsia="zh-CN"/>
        </w:rPr>
        <w:t>3</w:t>
      </w:r>
      <w:r>
        <w:rPr>
          <w:b/>
          <w:bCs/>
          <w:spacing w:val="8"/>
          <w:lang w:eastAsia="zh-CN"/>
        </w:rPr>
        <w:t>、如由于甲方的原因，本协议指定的账户被有权机关冻结、扣划，则由此</w:t>
      </w:r>
      <w:r>
        <w:rPr>
          <w:b/>
          <w:bCs/>
          <w:spacing w:val="7"/>
          <w:lang w:eastAsia="zh-CN"/>
        </w:rPr>
        <w:t>产生的损失</w:t>
      </w:r>
      <w:r>
        <w:rPr>
          <w:b/>
          <w:bCs/>
          <w:lang w:eastAsia="zh-CN"/>
        </w:rPr>
        <w:t>由甲方承担。</w:t>
      </w:r>
    </w:p>
    <w:p>
      <w:pPr>
        <w:pStyle w:val="3"/>
        <w:spacing w:before="122" w:line="360" w:lineRule="auto"/>
        <w:ind w:left="22" w:right="102" w:firstLine="420"/>
        <w:rPr>
          <w:spacing w:val="9"/>
          <w:lang w:eastAsia="zh-CN"/>
        </w:rPr>
      </w:pPr>
      <w:r>
        <w:rPr>
          <w:spacing w:val="7"/>
          <w:lang w:eastAsia="zh-CN"/>
        </w:rPr>
        <w:t>十</w:t>
      </w:r>
      <w:r>
        <w:rPr>
          <w:rFonts w:hint="eastAsia"/>
          <w:spacing w:val="7"/>
          <w:lang w:eastAsia="zh-CN"/>
        </w:rPr>
        <w:t>二</w:t>
      </w:r>
      <w:r>
        <w:rPr>
          <w:spacing w:val="7"/>
          <w:lang w:eastAsia="zh-CN"/>
        </w:rPr>
        <w:t>、</w:t>
      </w:r>
      <w:r>
        <w:rPr>
          <w:spacing w:val="9"/>
          <w:lang w:eastAsia="zh-CN"/>
        </w:rPr>
        <w:t>本协议适用中华人民共和国法律</w:t>
      </w:r>
      <w:r>
        <w:rPr>
          <w:rFonts w:hint="eastAsia"/>
          <w:spacing w:val="9"/>
          <w:lang w:eastAsia="zh-CN"/>
        </w:rPr>
        <w:t>（为本协议之目的，不包括香港特别行政区、澳门特别行政区和台湾地区法律）</w:t>
      </w:r>
      <w:r>
        <w:rPr>
          <w:spacing w:val="9"/>
          <w:lang w:eastAsia="zh-CN"/>
        </w:rPr>
        <w:t>；法律、法规或规章无明文规定的，可适用通行的</w:t>
      </w:r>
      <w:r>
        <w:rPr>
          <w:spacing w:val="7"/>
          <w:lang w:eastAsia="zh-CN"/>
        </w:rPr>
        <w:t>金融惯例。如本协议履行过程中部分条款与法律、法规或规章的规定相抵触时，有关的权利</w:t>
      </w:r>
      <w:r>
        <w:rPr>
          <w:spacing w:val="9"/>
          <w:lang w:eastAsia="zh-CN"/>
        </w:rPr>
        <w:t>和义务应按相关法律、法规或规章的规定履</w:t>
      </w:r>
      <w:r>
        <w:rPr>
          <w:spacing w:val="8"/>
          <w:lang w:eastAsia="zh-CN"/>
        </w:rPr>
        <w:t>行。</w:t>
      </w:r>
      <w:r>
        <w:rPr>
          <w:spacing w:val="7"/>
          <w:lang w:eastAsia="zh-CN"/>
        </w:rPr>
        <w:t>甲乙双方因履行本协议或与本协议有关的活动而产生的一切争议，应首先本着诚</w:t>
      </w:r>
      <w:r>
        <w:rPr>
          <w:spacing w:val="9"/>
          <w:lang w:eastAsia="zh-CN"/>
        </w:rPr>
        <w:t>信原则通过友好协商解决；不能协商解决的，则提交</w:t>
      </w:r>
      <w:r>
        <w:rPr>
          <w:rFonts w:hint="eastAsia"/>
          <w:spacing w:val="9"/>
          <w:lang w:eastAsia="zh-CN"/>
        </w:rPr>
        <w:t>乙方住所地</w:t>
      </w:r>
      <w:r>
        <w:rPr>
          <w:spacing w:val="9"/>
          <w:lang w:eastAsia="zh-CN"/>
        </w:rPr>
        <w:t>有管辖权人民法院解决。</w:t>
      </w:r>
    </w:p>
    <w:p>
      <w:pPr>
        <w:pStyle w:val="3"/>
        <w:spacing w:before="163" w:line="360" w:lineRule="auto"/>
        <w:ind w:left="443"/>
        <w:rPr>
          <w:lang w:eastAsia="zh-CN"/>
        </w:rPr>
      </w:pPr>
      <w:r>
        <w:rPr>
          <w:spacing w:val="9"/>
          <w:lang w:eastAsia="zh-CN"/>
        </w:rPr>
        <w:t>十</w:t>
      </w:r>
      <w:r>
        <w:rPr>
          <w:rFonts w:hint="eastAsia"/>
          <w:spacing w:val="9"/>
          <w:lang w:eastAsia="zh-CN"/>
        </w:rPr>
        <w:t>三</w:t>
      </w:r>
      <w:r>
        <w:rPr>
          <w:spacing w:val="9"/>
          <w:lang w:eastAsia="zh-CN"/>
        </w:rPr>
        <w:t>、协议的签署、生效及终止</w:t>
      </w:r>
    </w:p>
    <w:p>
      <w:pPr>
        <w:pStyle w:val="3"/>
        <w:spacing w:before="161" w:line="360" w:lineRule="auto"/>
        <w:ind w:left="24" w:right="70" w:firstLine="432"/>
        <w:jc w:val="both"/>
        <w:rPr>
          <w:lang w:eastAsia="zh-CN"/>
        </w:rPr>
      </w:pPr>
      <w:r>
        <w:rPr>
          <w:b/>
          <w:bCs/>
          <w:spacing w:val="7"/>
          <w:lang w:eastAsia="zh-CN"/>
        </w:rPr>
        <w:t>1．购买理财产品前，甲方应仔细阅读本理财产品发行机构提供的《产品说明书</w:t>
      </w:r>
      <w:r>
        <w:rPr>
          <w:b/>
          <w:bCs/>
          <w:spacing w:val="6"/>
          <w:lang w:eastAsia="zh-CN"/>
        </w:rPr>
        <w:t>》《风</w:t>
      </w:r>
      <w:r>
        <w:rPr>
          <w:b/>
          <w:bCs/>
          <w:spacing w:val="5"/>
          <w:lang w:eastAsia="zh-CN"/>
        </w:rPr>
        <w:t>险揭示书》《投资协议书》《投资者权益须知》的全部内容，充分了解投资者的全</w:t>
      </w:r>
      <w:r>
        <w:rPr>
          <w:b/>
          <w:bCs/>
          <w:spacing w:val="4"/>
          <w:lang w:eastAsia="zh-CN"/>
        </w:rPr>
        <w:t>部权利与</w:t>
      </w:r>
      <w:r>
        <w:rPr>
          <w:b/>
          <w:bCs/>
          <w:spacing w:val="11"/>
          <w:lang w:eastAsia="zh-CN"/>
        </w:rPr>
        <w:t>义务及产品的全部风险，如有疑问可通过乙方营业网点或拨打</w:t>
      </w:r>
      <w:r>
        <w:rPr>
          <w:rFonts w:hint="eastAsia"/>
          <w:b/>
          <w:bCs/>
          <w:spacing w:val="11"/>
          <w:lang w:eastAsia="zh-CN"/>
        </w:rPr>
        <w:t>乙方</w:t>
      </w:r>
      <w:r>
        <w:rPr>
          <w:b/>
          <w:bCs/>
          <w:spacing w:val="11"/>
          <w:lang w:eastAsia="zh-CN"/>
        </w:rPr>
        <w:t>全国统一服务电话</w:t>
      </w:r>
      <w:r>
        <w:rPr>
          <w:b/>
          <w:bCs/>
          <w:spacing w:val="-1"/>
          <w:lang w:eastAsia="zh-CN"/>
        </w:rPr>
        <w:t>（</w:t>
      </w:r>
      <w:r>
        <w:rPr>
          <w:rFonts w:hint="eastAsia"/>
          <w:b/>
          <w:bCs/>
          <w:spacing w:val="-1"/>
          <w:lang w:val="en-US" w:eastAsia="zh-CN"/>
        </w:rPr>
        <w:t>96596</w:t>
      </w:r>
      <w:r>
        <w:rPr>
          <w:b/>
          <w:bCs/>
          <w:spacing w:val="-1"/>
          <w:lang w:eastAsia="zh-CN"/>
        </w:rPr>
        <w:t>）向乙方工作人员咨询。《产</w:t>
      </w:r>
      <w:r>
        <w:rPr>
          <w:b/>
          <w:bCs/>
          <w:spacing w:val="-2"/>
          <w:lang w:eastAsia="zh-CN"/>
        </w:rPr>
        <w:t>品说明书》《风险揭示书》《投资协议书》《投资者权益</w:t>
      </w:r>
      <w:r>
        <w:rPr>
          <w:b/>
          <w:bCs/>
          <w:spacing w:val="6"/>
          <w:lang w:eastAsia="zh-CN"/>
        </w:rPr>
        <w:t>须知》构成本协议不可分割的组成部分，与本协议具有同等效力；本协议未尽事宜，以《产</w:t>
      </w:r>
      <w:r>
        <w:rPr>
          <w:b/>
          <w:bCs/>
          <w:spacing w:val="1"/>
          <w:lang w:eastAsia="zh-CN"/>
        </w:rPr>
        <w:t>品说明书》《风险揭示书》《投资协议书》《投资者权益须知》的约定为准。甲方签</w:t>
      </w:r>
      <w:r>
        <w:rPr>
          <w:b/>
          <w:bCs/>
          <w:lang w:eastAsia="zh-CN"/>
        </w:rPr>
        <w:t>署本协议</w:t>
      </w:r>
      <w:r>
        <w:rPr>
          <w:b/>
          <w:bCs/>
          <w:spacing w:val="1"/>
          <w:lang w:eastAsia="zh-CN"/>
        </w:rPr>
        <w:t>即视为甲方已阅读并理解、认可本协议和《产品说明书》《风险揭示书》《投资协议</w:t>
      </w:r>
      <w:r>
        <w:rPr>
          <w:b/>
          <w:bCs/>
          <w:lang w:eastAsia="zh-CN"/>
        </w:rPr>
        <w:t>书》《投</w:t>
      </w:r>
      <w:r>
        <w:rPr>
          <w:b/>
          <w:bCs/>
          <w:spacing w:val="8"/>
          <w:lang w:eastAsia="zh-CN"/>
        </w:rPr>
        <w:t>资者权益须知》的全部内容，并就投资于本理财产品做出独立判</w:t>
      </w:r>
      <w:r>
        <w:rPr>
          <w:b/>
          <w:bCs/>
          <w:spacing w:val="7"/>
          <w:lang w:eastAsia="zh-CN"/>
        </w:rPr>
        <w:t>断。</w:t>
      </w:r>
    </w:p>
    <w:p>
      <w:pPr>
        <w:pStyle w:val="3"/>
        <w:spacing w:before="2" w:line="360" w:lineRule="auto"/>
        <w:ind w:left="26" w:right="71" w:firstLine="418"/>
        <w:rPr>
          <w:lang w:eastAsia="zh-CN"/>
        </w:rPr>
      </w:pPr>
      <w:r>
        <w:rPr>
          <w:b/>
          <w:bCs/>
          <w:spacing w:val="10"/>
          <w:lang w:eastAsia="zh-CN"/>
        </w:rPr>
        <w:t>2.甲方通过乙方的网上银行、手机银行等线上渠道方式购买理财产品</w:t>
      </w:r>
      <w:r>
        <w:rPr>
          <w:rFonts w:hint="eastAsia"/>
          <w:b/>
          <w:bCs/>
          <w:spacing w:val="10"/>
          <w:lang w:eastAsia="zh-CN"/>
        </w:rPr>
        <w:t>的</w:t>
      </w:r>
      <w:r>
        <w:rPr>
          <w:b/>
          <w:bCs/>
          <w:spacing w:val="10"/>
          <w:lang w:eastAsia="zh-CN"/>
        </w:rPr>
        <w:t>，</w:t>
      </w:r>
      <w:r>
        <w:rPr>
          <w:b/>
          <w:bCs/>
          <w:spacing w:val="9"/>
          <w:lang w:eastAsia="zh-CN"/>
        </w:rPr>
        <w:t>甲方</w:t>
      </w:r>
      <w:r>
        <w:rPr>
          <w:rFonts w:hint="eastAsia"/>
          <w:b/>
          <w:bCs/>
          <w:spacing w:val="9"/>
          <w:lang w:eastAsia="zh-CN"/>
        </w:rPr>
        <w:t>点击“同意”/“确定”等明确表述按钮（具体按钮名称以本协议签订页面实际显示为准）</w:t>
      </w:r>
      <w:r>
        <w:rPr>
          <w:b/>
          <w:bCs/>
          <w:spacing w:val="11"/>
          <w:lang w:eastAsia="zh-CN"/>
        </w:rPr>
        <w:t>即表明甲方已自主阅读并清楚知悉本协议全部内容，同意</w:t>
      </w:r>
      <w:r>
        <w:rPr>
          <w:b/>
          <w:bCs/>
          <w:spacing w:val="10"/>
          <w:lang w:eastAsia="zh-CN"/>
        </w:rPr>
        <w:t>受本协议约束，本协议</w:t>
      </w:r>
      <w:r>
        <w:rPr>
          <w:rFonts w:hint="eastAsia"/>
          <w:b/>
          <w:bCs/>
          <w:spacing w:val="10"/>
          <w:lang w:eastAsia="zh-CN"/>
        </w:rPr>
        <w:t>即</w:t>
      </w:r>
      <w:r>
        <w:rPr>
          <w:b/>
          <w:bCs/>
          <w:spacing w:val="10"/>
          <w:lang w:eastAsia="zh-CN"/>
        </w:rPr>
        <w:t>生效。甲方通过乙方营业网点等线下渠道购买理财产品</w:t>
      </w:r>
      <w:r>
        <w:rPr>
          <w:rFonts w:hint="eastAsia"/>
          <w:b/>
          <w:bCs/>
          <w:spacing w:val="10"/>
          <w:lang w:eastAsia="zh-CN"/>
        </w:rPr>
        <w:t>的</w:t>
      </w:r>
      <w:r>
        <w:rPr>
          <w:b/>
          <w:bCs/>
          <w:spacing w:val="10"/>
          <w:lang w:eastAsia="zh-CN"/>
        </w:rPr>
        <w:t>，本协议</w:t>
      </w:r>
      <w:r>
        <w:rPr>
          <w:b/>
          <w:bCs/>
          <w:spacing w:val="7"/>
          <w:lang w:eastAsia="zh-CN"/>
        </w:rPr>
        <w:t>自甲乙双方签字或盖章后生效，一式贰份，甲方壹份，乙方壹份，具有同等法</w:t>
      </w:r>
      <w:r>
        <w:rPr>
          <w:b/>
          <w:bCs/>
          <w:spacing w:val="6"/>
          <w:lang w:eastAsia="zh-CN"/>
        </w:rPr>
        <w:t>律效力。</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r>
        <w:rPr>
          <w:spacing w:val="10"/>
          <w:lang w:eastAsia="zh-CN"/>
        </w:rPr>
        <w:t>3．</w:t>
      </w:r>
      <w:r>
        <w:rPr>
          <w:rFonts w:hint="eastAsia"/>
          <w:spacing w:val="10"/>
          <w:lang w:eastAsia="zh-CN"/>
        </w:rPr>
        <w:t>本</w:t>
      </w:r>
      <w:r>
        <w:rPr>
          <w:spacing w:val="10"/>
          <w:lang w:eastAsia="zh-CN"/>
        </w:rPr>
        <w:t>理财产品到期、提前终止、提前赎回后，本协议自动</w:t>
      </w:r>
      <w:r>
        <w:rPr>
          <w:spacing w:val="9"/>
          <w:lang w:eastAsia="zh-CN"/>
        </w:rPr>
        <w:t>终止（个人金融</w:t>
      </w:r>
      <w:r>
        <w:rPr>
          <w:spacing w:val="2"/>
          <w:lang w:eastAsia="zh-CN"/>
        </w:rPr>
        <w:t>信息授权相关条款除外）。</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p>
    <w:p>
      <w:pPr>
        <w:pStyle w:val="3"/>
        <w:spacing w:before="160" w:line="360" w:lineRule="auto"/>
        <w:ind w:left="22" w:right="102" w:firstLine="424"/>
        <w:rPr>
          <w:spacing w:val="2"/>
          <w:lang w:eastAsia="zh-CN"/>
        </w:rPr>
      </w:pPr>
    </w:p>
    <w:sectPr>
      <w:type w:val="continuous"/>
      <w:pgSz w:w="11906" w:h="16839"/>
      <w:pgMar w:top="862" w:right="1699" w:bottom="567" w:left="1785" w:header="0" w:footer="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FC235"/>
    <w:rsid w:val="000145F3"/>
    <w:rsid w:val="0002568E"/>
    <w:rsid w:val="00114522"/>
    <w:rsid w:val="001808D8"/>
    <w:rsid w:val="001D0DEF"/>
    <w:rsid w:val="00205AE8"/>
    <w:rsid w:val="00253989"/>
    <w:rsid w:val="00264B8E"/>
    <w:rsid w:val="00264BC5"/>
    <w:rsid w:val="00276C14"/>
    <w:rsid w:val="002A2472"/>
    <w:rsid w:val="00356B5E"/>
    <w:rsid w:val="003D423C"/>
    <w:rsid w:val="003E2BF6"/>
    <w:rsid w:val="0040167E"/>
    <w:rsid w:val="00407864"/>
    <w:rsid w:val="004851D5"/>
    <w:rsid w:val="004A225A"/>
    <w:rsid w:val="005D3E6D"/>
    <w:rsid w:val="005F2119"/>
    <w:rsid w:val="00817302"/>
    <w:rsid w:val="00865D1B"/>
    <w:rsid w:val="008D33ED"/>
    <w:rsid w:val="00A04598"/>
    <w:rsid w:val="00A10AD8"/>
    <w:rsid w:val="00A67751"/>
    <w:rsid w:val="00A71EBB"/>
    <w:rsid w:val="00AA3F47"/>
    <w:rsid w:val="00B86059"/>
    <w:rsid w:val="00BF3114"/>
    <w:rsid w:val="00C259C6"/>
    <w:rsid w:val="00C91FBA"/>
    <w:rsid w:val="00DB3947"/>
    <w:rsid w:val="00E04410"/>
    <w:rsid w:val="00EA6849"/>
    <w:rsid w:val="00F21BA9"/>
    <w:rsid w:val="00F82D0E"/>
    <w:rsid w:val="013531DC"/>
    <w:rsid w:val="032F2841"/>
    <w:rsid w:val="03A625EB"/>
    <w:rsid w:val="04DF67AE"/>
    <w:rsid w:val="068B473A"/>
    <w:rsid w:val="089015A6"/>
    <w:rsid w:val="08EFBCB2"/>
    <w:rsid w:val="09E37170"/>
    <w:rsid w:val="0A394F0A"/>
    <w:rsid w:val="0AF676D9"/>
    <w:rsid w:val="0B6F4C37"/>
    <w:rsid w:val="0CEE78D1"/>
    <w:rsid w:val="0D991370"/>
    <w:rsid w:val="1050485C"/>
    <w:rsid w:val="13351958"/>
    <w:rsid w:val="15125020"/>
    <w:rsid w:val="163E350B"/>
    <w:rsid w:val="166F1AFB"/>
    <w:rsid w:val="17D92C9F"/>
    <w:rsid w:val="182C0842"/>
    <w:rsid w:val="18486E76"/>
    <w:rsid w:val="1B636031"/>
    <w:rsid w:val="1C9D40DF"/>
    <w:rsid w:val="1D17798D"/>
    <w:rsid w:val="1D3E7484"/>
    <w:rsid w:val="1F3617AD"/>
    <w:rsid w:val="25A93D5B"/>
    <w:rsid w:val="2E1E5CA5"/>
    <w:rsid w:val="2F5F04B7"/>
    <w:rsid w:val="2FDBA1D8"/>
    <w:rsid w:val="2FFB4417"/>
    <w:rsid w:val="2FFFE502"/>
    <w:rsid w:val="30780C48"/>
    <w:rsid w:val="35D51717"/>
    <w:rsid w:val="36577E74"/>
    <w:rsid w:val="382342BE"/>
    <w:rsid w:val="388525A5"/>
    <w:rsid w:val="3C995114"/>
    <w:rsid w:val="3CFFAF04"/>
    <w:rsid w:val="3D6221DA"/>
    <w:rsid w:val="3DFF4EDF"/>
    <w:rsid w:val="3FFFC235"/>
    <w:rsid w:val="42EB1739"/>
    <w:rsid w:val="4691031F"/>
    <w:rsid w:val="487D702C"/>
    <w:rsid w:val="48885E0A"/>
    <w:rsid w:val="4A254E7F"/>
    <w:rsid w:val="4A4D7985"/>
    <w:rsid w:val="4AC6745E"/>
    <w:rsid w:val="4BBC03D0"/>
    <w:rsid w:val="4D8572F7"/>
    <w:rsid w:val="4E564212"/>
    <w:rsid w:val="4EBB68C4"/>
    <w:rsid w:val="514F2A52"/>
    <w:rsid w:val="51EC3BAC"/>
    <w:rsid w:val="535A35D1"/>
    <w:rsid w:val="54374214"/>
    <w:rsid w:val="54BB2F47"/>
    <w:rsid w:val="56CF2477"/>
    <w:rsid w:val="576C2186"/>
    <w:rsid w:val="579B7107"/>
    <w:rsid w:val="5A227467"/>
    <w:rsid w:val="5B2A59B0"/>
    <w:rsid w:val="5EA3ECA6"/>
    <w:rsid w:val="61441D79"/>
    <w:rsid w:val="61AC1C5D"/>
    <w:rsid w:val="67F6123C"/>
    <w:rsid w:val="6B101E5C"/>
    <w:rsid w:val="6B77A4A6"/>
    <w:rsid w:val="6BFFC613"/>
    <w:rsid w:val="6FE997AE"/>
    <w:rsid w:val="720005E8"/>
    <w:rsid w:val="727701EB"/>
    <w:rsid w:val="74871B0A"/>
    <w:rsid w:val="755D0625"/>
    <w:rsid w:val="76A545B5"/>
    <w:rsid w:val="77C15501"/>
    <w:rsid w:val="79F35BE7"/>
    <w:rsid w:val="7B6E8211"/>
    <w:rsid w:val="7BB297C5"/>
    <w:rsid w:val="7C0E5E38"/>
    <w:rsid w:val="7D4B2B53"/>
    <w:rsid w:val="7DCC4189"/>
    <w:rsid w:val="7E2B6F49"/>
    <w:rsid w:val="7F8E91F5"/>
    <w:rsid w:val="7FEEF547"/>
    <w:rsid w:val="7FFEDE17"/>
    <w:rsid w:val="A5930561"/>
    <w:rsid w:val="BDFBD959"/>
    <w:rsid w:val="D6F7FC5F"/>
    <w:rsid w:val="DF3FB688"/>
    <w:rsid w:val="DFDD2E3E"/>
    <w:rsid w:val="EADFD43D"/>
    <w:rsid w:val="EF4FA6CD"/>
    <w:rsid w:val="EF7E2D5A"/>
    <w:rsid w:val="EFE3CC4E"/>
    <w:rsid w:val="F779BBDC"/>
    <w:rsid w:val="FDE7B527"/>
    <w:rsid w:val="FF7F8274"/>
    <w:rsid w:val="FFDC5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99"/>
  </w:style>
  <w:style w:type="paragraph" w:styleId="3">
    <w:name w:val="Body Text"/>
    <w:basedOn w:val="1"/>
    <w:semiHidden/>
    <w:qFormat/>
    <w:uiPriority w:val="0"/>
    <w:rPr>
      <w:rFonts w:ascii="宋体" w:hAnsi="宋体" w:eastAsia="宋体" w:cs="宋体"/>
      <w:sz w:val="20"/>
      <w:szCs w:val="20"/>
    </w:rPr>
  </w:style>
  <w:style w:type="paragraph" w:styleId="4">
    <w:name w:val="Balloon Text"/>
    <w:basedOn w:val="1"/>
    <w:link w:val="13"/>
    <w:qFormat/>
    <w:uiPriority w:val="0"/>
    <w:rPr>
      <w:sz w:val="18"/>
      <w:szCs w:val="18"/>
    </w:rPr>
  </w:style>
  <w:style w:type="paragraph" w:styleId="5">
    <w:name w:val="footer"/>
    <w:basedOn w:val="1"/>
    <w:link w:val="17"/>
    <w:qFormat/>
    <w:uiPriority w:val="0"/>
    <w:pPr>
      <w:tabs>
        <w:tab w:val="center" w:pos="4153"/>
        <w:tab w:val="right" w:pos="8306"/>
      </w:tabs>
    </w:pPr>
    <w:rPr>
      <w:sz w:val="18"/>
      <w:szCs w:val="18"/>
    </w:rPr>
  </w:style>
  <w:style w:type="paragraph" w:styleId="6">
    <w:name w:val="header"/>
    <w:basedOn w:val="1"/>
    <w:link w:val="16"/>
    <w:qFormat/>
    <w:uiPriority w:val="0"/>
    <w:pPr>
      <w:pBdr>
        <w:bottom w:val="single" w:color="auto" w:sz="6" w:space="1"/>
      </w:pBdr>
      <w:tabs>
        <w:tab w:val="center" w:pos="4153"/>
        <w:tab w:val="right" w:pos="8306"/>
      </w:tabs>
      <w:jc w:val="center"/>
    </w:pPr>
    <w:rPr>
      <w:sz w:val="18"/>
      <w:szCs w:val="18"/>
    </w:rPr>
  </w:style>
  <w:style w:type="paragraph" w:styleId="7">
    <w:name w:val="annotation subject"/>
    <w:basedOn w:val="2"/>
    <w:next w:val="2"/>
    <w:link w:val="15"/>
    <w:qFormat/>
    <w:uiPriority w:val="0"/>
    <w:rPr>
      <w:b/>
      <w:bCs/>
    </w:rPr>
  </w:style>
  <w:style w:type="character" w:styleId="10">
    <w:name w:val="annotation reference"/>
    <w:basedOn w:val="9"/>
    <w:qFormat/>
    <w:uiPriority w:val="0"/>
    <w:rPr>
      <w:sz w:val="21"/>
      <w:szCs w:val="21"/>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19"/>
      <w:szCs w:val="19"/>
    </w:rPr>
  </w:style>
  <w:style w:type="character" w:customStyle="1" w:styleId="13">
    <w:name w:val="批注框文本 字符"/>
    <w:basedOn w:val="9"/>
    <w:link w:val="4"/>
    <w:qFormat/>
    <w:uiPriority w:val="0"/>
    <w:rPr>
      <w:rFonts w:ascii="Arial" w:hAnsi="Arial" w:eastAsia="Arial" w:cs="Arial"/>
      <w:snapToGrid w:val="0"/>
      <w:color w:val="000000"/>
      <w:sz w:val="18"/>
      <w:szCs w:val="18"/>
      <w:lang w:eastAsia="en-US"/>
    </w:rPr>
  </w:style>
  <w:style w:type="character" w:customStyle="1" w:styleId="14">
    <w:name w:val="批注文字 字符"/>
    <w:basedOn w:val="9"/>
    <w:link w:val="2"/>
    <w:qFormat/>
    <w:uiPriority w:val="99"/>
    <w:rPr>
      <w:rFonts w:ascii="Arial" w:hAnsi="Arial" w:eastAsia="Arial" w:cs="Arial"/>
      <w:snapToGrid w:val="0"/>
      <w:color w:val="000000"/>
      <w:sz w:val="21"/>
      <w:szCs w:val="21"/>
      <w:lang w:eastAsia="en-US"/>
    </w:rPr>
  </w:style>
  <w:style w:type="character" w:customStyle="1" w:styleId="15">
    <w:name w:val="批注主题 字符"/>
    <w:basedOn w:val="14"/>
    <w:link w:val="7"/>
    <w:qFormat/>
    <w:uiPriority w:val="0"/>
    <w:rPr>
      <w:rFonts w:ascii="Arial" w:hAnsi="Arial" w:eastAsia="Arial" w:cs="Arial"/>
      <w:b/>
      <w:bCs/>
      <w:snapToGrid w:val="0"/>
      <w:color w:val="000000"/>
      <w:sz w:val="21"/>
      <w:szCs w:val="21"/>
      <w:lang w:eastAsia="en-US"/>
    </w:rPr>
  </w:style>
  <w:style w:type="character" w:customStyle="1" w:styleId="16">
    <w:name w:val="页眉 字符"/>
    <w:basedOn w:val="9"/>
    <w:link w:val="6"/>
    <w:qFormat/>
    <w:uiPriority w:val="0"/>
    <w:rPr>
      <w:rFonts w:ascii="Arial" w:hAnsi="Arial" w:eastAsia="Arial" w:cs="Arial"/>
      <w:snapToGrid w:val="0"/>
      <w:color w:val="000000"/>
      <w:sz w:val="18"/>
      <w:szCs w:val="18"/>
      <w:lang w:eastAsia="en-US"/>
    </w:rPr>
  </w:style>
  <w:style w:type="character" w:customStyle="1" w:styleId="17">
    <w:name w:val="页脚 字符"/>
    <w:basedOn w:val="9"/>
    <w:link w:val="5"/>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4880</Words>
  <Characters>4914</Characters>
  <Lines>36</Lines>
  <Paragraphs>10</Paragraphs>
  <TotalTime>163</TotalTime>
  <ScaleCrop>false</ScaleCrop>
  <LinksUpToDate>false</LinksUpToDate>
  <CharactersWithSpaces>5023</CharactersWithSpaces>
  <Application>WPS Office_11.8.2.12129_F1E327BC-269C-435d-A152-05C5408002CA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2026-10-22T12:12:00Z</dcterms:created>
  <dc:creator>czbank</dc:creator>
  <cp:lastModifiedBy>czbank</cp:lastModifiedBy>
  <dcterms:modified xsi:type="dcterms:W3CDTF">2026-10-22T12:12:09Z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2025-07-31T10:58:06Z</vt:filetime>
  </property>
  <property fmtid="{D5CDD505-2E9C-101B-9397-08002B2CF9AE}" pid="4" name="KSOProductBuildVer">
    <vt:lpwstr>2052-11.8.2.12129</vt:lpwstr>
  </property>
  <property fmtid="{D5CDD505-2E9C-101B-9397-08002B2CF9AE}" pid="5" name="ICV">
    <vt:lpwstr>8D557EAC39FD8E97198DD96A798BF96C</vt:lpwstr>
  </property>
  <property fmtid="{D5CDD505-2E9C-101B-9397-08002B2CF9AE}" pid="6" name="KSOTemplateDocerSaveRecord">
    <vt:lpwstr>eyJoZGlkIjoiOGUzMWRiN2Q3OTQwZDg2ZjJmZmQ5MzEyOTFhMmY1OWMiLCJ1c2VySWQiOiI1OTMyNzAxNjMifQ==</vt:lpwstr>
  </property>
</Properties>
</file>